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7219" w:type="dxa"/>
        <w:jc w:val="center"/>
        <w:tblCellSpacing w:w="0" w:type="dxa"/>
        <w:tblInd w:w="0" w:type="dxa"/>
        <w:tblLayout w:type="fixed"/>
        <w:tblCellMar>
          <w:top w:w="0" w:type="dxa"/>
          <w:left w:w="0" w:type="dxa"/>
          <w:bottom w:w="0" w:type="dxa"/>
          <w:right w:w="0" w:type="dxa"/>
        </w:tblCellMar>
      </w:tblPr>
      <w:tblGrid>
        <w:gridCol w:w="4819"/>
        <w:gridCol w:w="2400"/>
      </w:tblGrid>
      <w:tr>
        <w:tblPrEx>
          <w:tblLayout w:type="fixed"/>
          <w:tblCellMar>
            <w:top w:w="0" w:type="dxa"/>
            <w:left w:w="0" w:type="dxa"/>
            <w:bottom w:w="0" w:type="dxa"/>
            <w:right w:w="0" w:type="dxa"/>
          </w:tblCellMar>
        </w:tblPrEx>
        <w:trPr>
          <w:tblCellSpacing w:w="0" w:type="dxa"/>
          <w:jc w:val="center"/>
        </w:trPr>
        <w:tc>
          <w:tcPr>
            <w:tcW w:w="4819" w:type="dxa"/>
            <w:vAlign w:val="center"/>
          </w:tcPr>
          <w:p>
            <w:pPr>
              <w:widowControl/>
              <w:spacing w:before="100" w:beforeAutospacing="1" w:after="100" w:afterAutospacing="1" w:line="1040" w:lineRule="atLeast"/>
              <w:jc w:val="distribute"/>
              <w:rPr>
                <w:rFonts w:ascii="宋体" w:cs="宋体"/>
                <w:b/>
                <w:bCs/>
                <w:color w:val="FF0000"/>
                <w:kern w:val="0"/>
                <w:sz w:val="80"/>
                <w:szCs w:val="80"/>
              </w:rPr>
            </w:pPr>
            <w:r>
              <w:rPr>
                <w:rFonts w:hint="eastAsia" w:ascii="宋体" w:hAnsi="宋体" w:cs="宋体"/>
                <w:b/>
                <w:bCs/>
                <w:color w:val="FF0000"/>
                <w:kern w:val="0"/>
                <w:sz w:val="80"/>
                <w:szCs w:val="80"/>
              </w:rPr>
              <w:t>江苏省物价局</w:t>
            </w:r>
            <w:r>
              <w:rPr>
                <w:rFonts w:ascii="宋体" w:cs="宋体"/>
                <w:b/>
                <w:bCs/>
                <w:color w:val="FF0000"/>
                <w:kern w:val="0"/>
                <w:sz w:val="80"/>
                <w:szCs w:val="80"/>
              </w:rPr>
              <w:br w:type="textWrapping"/>
            </w:r>
            <w:r>
              <w:rPr>
                <w:rFonts w:hint="eastAsia" w:ascii="宋体" w:hAnsi="宋体" w:cs="宋体"/>
                <w:b/>
                <w:bCs/>
                <w:color w:val="FF0000"/>
                <w:kern w:val="0"/>
                <w:sz w:val="80"/>
                <w:szCs w:val="80"/>
              </w:rPr>
              <w:t>江苏省财政厅</w:t>
            </w:r>
          </w:p>
        </w:tc>
        <w:tc>
          <w:tcPr>
            <w:tcW w:w="2400" w:type="dxa"/>
            <w:vAlign w:val="center"/>
          </w:tcPr>
          <w:p>
            <w:pPr>
              <w:widowControl/>
              <w:spacing w:line="1040" w:lineRule="atLeast"/>
              <w:jc w:val="left"/>
              <w:rPr>
                <w:rFonts w:ascii="宋体" w:cs="宋体"/>
                <w:b/>
                <w:bCs/>
                <w:color w:val="FF0000"/>
                <w:kern w:val="0"/>
                <w:sz w:val="100"/>
                <w:szCs w:val="100"/>
              </w:rPr>
            </w:pPr>
            <w:r>
              <w:rPr>
                <w:rFonts w:hint="eastAsia" w:ascii="宋体" w:hAnsi="宋体" w:cs="宋体"/>
                <w:b/>
                <w:bCs/>
                <w:color w:val="FF0000"/>
                <w:kern w:val="0"/>
                <w:sz w:val="100"/>
                <w:szCs w:val="100"/>
              </w:rPr>
              <w:t>文件</w:t>
            </w:r>
          </w:p>
        </w:tc>
      </w:tr>
    </w:tbl>
    <w:p>
      <w:pPr>
        <w:widowControl/>
        <w:spacing w:line="48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苏价农〔</w:t>
      </w:r>
      <w:r>
        <w:rPr>
          <w:rFonts w:ascii="仿宋" w:hAnsi="仿宋" w:eastAsia="仿宋" w:cs="宋体"/>
          <w:color w:val="000000"/>
          <w:kern w:val="0"/>
          <w:sz w:val="32"/>
          <w:szCs w:val="32"/>
        </w:rPr>
        <w:t>2018</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112</w:t>
      </w:r>
      <w:r>
        <w:rPr>
          <w:rFonts w:hint="eastAsia" w:ascii="仿宋" w:hAnsi="仿宋" w:eastAsia="仿宋" w:cs="宋体"/>
          <w:color w:val="000000"/>
          <w:kern w:val="0"/>
          <w:sz w:val="32"/>
          <w:szCs w:val="32"/>
        </w:rPr>
        <w:t>号</w:t>
      </w:r>
    </w:p>
    <w:p>
      <w:pPr>
        <w:widowControl/>
        <w:spacing w:line="48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pict>
          <v:shape id="_x0000_i1025" o:spt="75" type="#_x0000_t75" style="height:1.5pt;width:0pt;" fillcolor="#FF0000" filled="t" stroked="f" coordsize="21600,21600" o:hr="t" o:hrstd="t" o:hrnoshade="t" o:hralign="center">
            <v:path/>
            <v:fill on="t" focussize="0,0"/>
            <v:stroke on="f"/>
            <v:imagedata r:id="rId4" o:title=""/>
            <o:lock v:ext="edit" aspectratio="t"/>
            <w10:wrap type="none"/>
            <w10:anchorlock/>
          </v:shape>
        </w:pict>
      </w:r>
    </w:p>
    <w:p>
      <w:pPr>
        <w:widowControl/>
        <w:adjustRightInd w:val="0"/>
        <w:snapToGrid w:val="0"/>
        <w:spacing w:line="480" w:lineRule="exact"/>
        <w:jc w:val="left"/>
        <w:rPr>
          <w:rFonts w:ascii="仿宋_GB2312" w:hAnsi="宋体" w:eastAsia="仿宋_GB2312" w:cs="宋体"/>
          <w:color w:val="000000"/>
          <w:kern w:val="0"/>
          <w:sz w:val="10"/>
          <w:szCs w:val="10"/>
        </w:rPr>
      </w:pPr>
    </w:p>
    <w:p>
      <w:pPr>
        <w:widowControl/>
        <w:tabs>
          <w:tab w:val="left" w:pos="8364"/>
        </w:tabs>
        <w:overflowPunct w:val="0"/>
        <w:snapToGrid w:val="0"/>
        <w:spacing w:line="6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江苏省物价局</w:t>
      </w:r>
      <w:r>
        <w:rPr>
          <w:rFonts w:ascii="方正小标宋简体" w:hAnsi="宋体" w:eastAsia="方正小标宋简体" w:cs="宋体"/>
          <w:color w:val="000000"/>
          <w:kern w:val="0"/>
          <w:sz w:val="44"/>
          <w:szCs w:val="44"/>
        </w:rPr>
        <w:t xml:space="preserve"> </w:t>
      </w:r>
      <w:r>
        <w:rPr>
          <w:rFonts w:hint="eastAsia" w:ascii="方正小标宋简体" w:hAnsi="宋体" w:eastAsia="方正小标宋简体" w:cs="宋体"/>
          <w:color w:val="000000"/>
          <w:kern w:val="0"/>
          <w:sz w:val="44"/>
          <w:szCs w:val="44"/>
        </w:rPr>
        <w:t>江苏省财政厅关于</w:t>
      </w:r>
    </w:p>
    <w:p>
      <w:pPr>
        <w:widowControl/>
        <w:tabs>
          <w:tab w:val="left" w:pos="8364"/>
        </w:tabs>
        <w:overflowPunct w:val="0"/>
        <w:snapToGrid w:val="0"/>
        <w:spacing w:line="640" w:lineRule="exact"/>
        <w:jc w:val="center"/>
        <w:rPr>
          <w:rFonts w:ascii="方正小标宋_GBK" w:hAnsi="宋体" w:eastAsia="方正小标宋_GBK" w:cs="宋体"/>
          <w:color w:val="000000"/>
          <w:kern w:val="0"/>
          <w:sz w:val="44"/>
          <w:szCs w:val="44"/>
        </w:rPr>
      </w:pPr>
      <w:r>
        <w:rPr>
          <w:rFonts w:hint="eastAsia" w:ascii="方正小标宋简体" w:hAnsi="宋体" w:eastAsia="方正小标宋简体" w:cs="宋体"/>
          <w:color w:val="000000"/>
          <w:kern w:val="0"/>
          <w:sz w:val="44"/>
          <w:szCs w:val="44"/>
        </w:rPr>
        <w:t>降低水土保持补偿费征收标准的通知</w:t>
      </w:r>
    </w:p>
    <w:p>
      <w:pPr>
        <w:widowControl/>
        <w:snapToGrid w:val="0"/>
        <w:spacing w:line="480" w:lineRule="exact"/>
        <w:jc w:val="left"/>
        <w:rPr>
          <w:rFonts w:hAnsi="宋体" w:eastAsia="仿宋_GB2312" w:cs="宋体"/>
          <w:color w:val="000000"/>
          <w:kern w:val="0"/>
          <w:sz w:val="32"/>
          <w:szCs w:val="32"/>
        </w:rPr>
      </w:pPr>
    </w:p>
    <w:p>
      <w:pPr>
        <w:widowControl/>
        <w:snapToGrid w:val="0"/>
        <w:spacing w:line="54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各设区市、县（市、区）物价局（发改委、发改局），财政局：</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根据《国家发展改革委、财政部关于降低电信网码号资源占用费等部分行政事业性收费标准的通知》（发改价格〔</w:t>
      </w:r>
      <w:r>
        <w:rPr>
          <w:rFonts w:ascii="仿宋" w:hAnsi="仿宋" w:eastAsia="仿宋"/>
          <w:color w:val="000000"/>
          <w:kern w:val="0"/>
          <w:sz w:val="32"/>
          <w:szCs w:val="32"/>
        </w:rPr>
        <w:t>2017</w:t>
      </w:r>
      <w:r>
        <w:rPr>
          <w:rFonts w:hint="eastAsia" w:ascii="仿宋" w:hAnsi="仿宋" w:eastAsia="仿宋" w:cs="宋体"/>
          <w:color w:val="000000"/>
          <w:kern w:val="0"/>
          <w:sz w:val="32"/>
          <w:szCs w:val="32"/>
        </w:rPr>
        <w:t>〕</w:t>
      </w:r>
      <w:r>
        <w:rPr>
          <w:rFonts w:ascii="仿宋" w:hAnsi="仿宋" w:eastAsia="仿宋"/>
          <w:color w:val="000000"/>
          <w:kern w:val="0"/>
          <w:sz w:val="32"/>
          <w:szCs w:val="32"/>
        </w:rPr>
        <w:t>1186</w:t>
      </w:r>
      <w:r>
        <w:rPr>
          <w:rFonts w:hint="eastAsia" w:ascii="仿宋" w:hAnsi="仿宋" w:eastAsia="仿宋" w:cs="宋体"/>
          <w:color w:val="000000"/>
          <w:kern w:val="0"/>
          <w:sz w:val="32"/>
          <w:szCs w:val="32"/>
        </w:rPr>
        <w:t>号）精神和要求，结合我省实际，经研究，决定降低我省水土保持补偿费征收标准。现将有关事项通知如下：</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一、降低我省水土保持补偿费征收标准</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（一）对一般性生产建设项目（依法需要编制水土保持方案的生产建设项目），按照征占用地面积苏南五市（南京、无锡、常州、苏州、镇江）由每平方米</w:t>
      </w:r>
      <w:r>
        <w:rPr>
          <w:rFonts w:ascii="仿宋" w:hAnsi="仿宋" w:eastAsia="仿宋"/>
          <w:color w:val="000000"/>
          <w:kern w:val="0"/>
          <w:sz w:val="32"/>
          <w:szCs w:val="32"/>
        </w:rPr>
        <w:t>1.5</w:t>
      </w:r>
      <w:r>
        <w:rPr>
          <w:rFonts w:hint="eastAsia" w:ascii="仿宋" w:hAnsi="仿宋" w:eastAsia="仿宋" w:cs="宋体"/>
          <w:color w:val="000000"/>
          <w:kern w:val="0"/>
          <w:sz w:val="32"/>
          <w:szCs w:val="32"/>
        </w:rPr>
        <w:t>元（不足</w:t>
      </w:r>
      <w:r>
        <w:rPr>
          <w:rFonts w:ascii="仿宋" w:hAnsi="仿宋" w:eastAsia="仿宋"/>
          <w:color w:val="000000"/>
          <w:kern w:val="0"/>
          <w:sz w:val="32"/>
          <w:szCs w:val="32"/>
        </w:rPr>
        <w:t>1</w:t>
      </w:r>
      <w:r>
        <w:rPr>
          <w:rFonts w:hint="eastAsia" w:ascii="仿宋" w:hAnsi="仿宋" w:eastAsia="仿宋" w:cs="宋体"/>
          <w:color w:val="000000"/>
          <w:kern w:val="0"/>
          <w:sz w:val="32"/>
          <w:szCs w:val="32"/>
        </w:rPr>
        <w:t>平方米的按</w:t>
      </w:r>
      <w:r>
        <w:rPr>
          <w:rFonts w:ascii="仿宋" w:hAnsi="仿宋" w:eastAsia="仿宋"/>
          <w:color w:val="000000"/>
          <w:kern w:val="0"/>
          <w:sz w:val="32"/>
          <w:szCs w:val="32"/>
        </w:rPr>
        <w:t>1</w:t>
      </w:r>
      <w:r>
        <w:rPr>
          <w:rFonts w:hint="eastAsia" w:ascii="仿宋" w:hAnsi="仿宋" w:eastAsia="仿宋" w:cs="宋体"/>
          <w:color w:val="000000"/>
          <w:kern w:val="0"/>
          <w:sz w:val="32"/>
          <w:szCs w:val="32"/>
        </w:rPr>
        <w:t>平方米计，下同）降为每平方米</w:t>
      </w:r>
      <w:r>
        <w:rPr>
          <w:rFonts w:ascii="仿宋" w:hAnsi="仿宋" w:eastAsia="仿宋"/>
          <w:color w:val="000000"/>
          <w:kern w:val="0"/>
          <w:sz w:val="32"/>
          <w:szCs w:val="32"/>
        </w:rPr>
        <w:t>1.2</w:t>
      </w:r>
      <w:r>
        <w:rPr>
          <w:rFonts w:hint="eastAsia" w:ascii="仿宋" w:hAnsi="仿宋" w:eastAsia="仿宋" w:cs="宋体"/>
          <w:color w:val="000000"/>
          <w:kern w:val="0"/>
          <w:sz w:val="32"/>
          <w:szCs w:val="32"/>
        </w:rPr>
        <w:t>元一次性计征；其余地区每平方米</w:t>
      </w:r>
      <w:r>
        <w:rPr>
          <w:rFonts w:ascii="仿宋" w:hAnsi="仿宋" w:eastAsia="仿宋"/>
          <w:color w:val="000000"/>
          <w:kern w:val="0"/>
          <w:sz w:val="32"/>
          <w:szCs w:val="32"/>
        </w:rPr>
        <w:t>1.0</w:t>
      </w:r>
      <w:r>
        <w:rPr>
          <w:rFonts w:hint="eastAsia" w:ascii="仿宋" w:hAnsi="仿宋" w:eastAsia="仿宋" w:cs="宋体"/>
          <w:color w:val="000000"/>
          <w:kern w:val="0"/>
          <w:sz w:val="32"/>
          <w:szCs w:val="32"/>
        </w:rPr>
        <w:t>元一次性计征。对水利水电工程建设项目，水库淹没区不在水土保持补偿费计征范围之内。</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（二）对开采矿产资源的生产建设项目，在建设期间按照征占用地面积一次性计征，具体收费标准按本通知第一款执行。</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在开采期间，对石油、天然气以外的矿产资源按照开采量（采掘、采剥总量）每立方米</w:t>
      </w:r>
      <w:r>
        <w:rPr>
          <w:rFonts w:ascii="仿宋" w:hAnsi="仿宋" w:eastAsia="仿宋"/>
          <w:color w:val="000000"/>
          <w:kern w:val="0"/>
          <w:sz w:val="32"/>
          <w:szCs w:val="32"/>
        </w:rPr>
        <w:t>1</w:t>
      </w:r>
      <w:r>
        <w:rPr>
          <w:rFonts w:hint="eastAsia" w:ascii="仿宋" w:hAnsi="仿宋" w:eastAsia="仿宋" w:cs="宋体"/>
          <w:color w:val="000000"/>
          <w:kern w:val="0"/>
          <w:sz w:val="32"/>
          <w:szCs w:val="32"/>
        </w:rPr>
        <w:t>元计征（不足</w:t>
      </w:r>
      <w:r>
        <w:rPr>
          <w:rFonts w:ascii="仿宋" w:hAnsi="仿宋" w:eastAsia="仿宋"/>
          <w:color w:val="000000"/>
          <w:kern w:val="0"/>
          <w:sz w:val="32"/>
          <w:szCs w:val="32"/>
        </w:rPr>
        <w:t>1</w:t>
      </w:r>
      <w:r>
        <w:rPr>
          <w:rFonts w:hint="eastAsia" w:ascii="仿宋" w:hAnsi="仿宋" w:eastAsia="仿宋" w:cs="宋体"/>
          <w:color w:val="000000"/>
          <w:kern w:val="0"/>
          <w:sz w:val="32"/>
          <w:szCs w:val="32"/>
        </w:rPr>
        <w:t>立方米的按</w:t>
      </w:r>
      <w:r>
        <w:rPr>
          <w:rFonts w:ascii="仿宋" w:hAnsi="仿宋" w:eastAsia="仿宋"/>
          <w:color w:val="000000"/>
          <w:kern w:val="0"/>
          <w:sz w:val="32"/>
          <w:szCs w:val="32"/>
        </w:rPr>
        <w:t>1</w:t>
      </w:r>
      <w:r>
        <w:rPr>
          <w:rFonts w:hint="eastAsia" w:ascii="仿宋" w:hAnsi="仿宋" w:eastAsia="仿宋" w:cs="宋体"/>
          <w:color w:val="000000"/>
          <w:kern w:val="0"/>
          <w:sz w:val="32"/>
          <w:szCs w:val="32"/>
        </w:rPr>
        <w:t>立方米计，下同）。</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石油、天然气根据油气生产井（不包括水井、勘探井）占地面积按年计征，每口油、气生产井占地面积按不超过</w:t>
      </w:r>
      <w:r>
        <w:rPr>
          <w:rFonts w:ascii="仿宋" w:hAnsi="仿宋" w:eastAsia="仿宋"/>
          <w:color w:val="000000"/>
          <w:kern w:val="0"/>
          <w:sz w:val="32"/>
          <w:szCs w:val="32"/>
        </w:rPr>
        <w:t>2000</w:t>
      </w:r>
      <w:r>
        <w:rPr>
          <w:rFonts w:hint="eastAsia" w:ascii="仿宋" w:hAnsi="仿宋" w:eastAsia="仿宋" w:cs="宋体"/>
          <w:color w:val="000000"/>
          <w:kern w:val="0"/>
          <w:sz w:val="32"/>
          <w:szCs w:val="32"/>
        </w:rPr>
        <w:t>平方米计算；对丛式井每增加一口井，增加计征面积按不超过</w:t>
      </w:r>
      <w:r>
        <w:rPr>
          <w:rFonts w:ascii="仿宋" w:hAnsi="仿宋" w:eastAsia="仿宋"/>
          <w:color w:val="000000"/>
          <w:kern w:val="0"/>
          <w:sz w:val="32"/>
          <w:szCs w:val="32"/>
        </w:rPr>
        <w:t>400</w:t>
      </w:r>
      <w:r>
        <w:rPr>
          <w:rFonts w:hint="eastAsia" w:ascii="仿宋" w:hAnsi="仿宋" w:eastAsia="仿宋" w:cs="宋体"/>
          <w:color w:val="000000"/>
          <w:kern w:val="0"/>
          <w:sz w:val="32"/>
          <w:szCs w:val="32"/>
        </w:rPr>
        <w:t>平方米计算，每平方米每年收费</w:t>
      </w:r>
      <w:r>
        <w:rPr>
          <w:rFonts w:ascii="仿宋" w:hAnsi="仿宋" w:eastAsia="仿宋"/>
          <w:color w:val="000000"/>
          <w:kern w:val="0"/>
          <w:sz w:val="32"/>
          <w:szCs w:val="32"/>
        </w:rPr>
        <w:t>1</w:t>
      </w:r>
      <w:r>
        <w:rPr>
          <w:rFonts w:hint="eastAsia" w:ascii="仿宋" w:hAnsi="仿宋" w:eastAsia="仿宋" w:cs="宋体"/>
          <w:color w:val="000000"/>
          <w:kern w:val="0"/>
          <w:sz w:val="32"/>
          <w:szCs w:val="32"/>
        </w:rPr>
        <w:t>元。</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（三）取土、挖砂（河道采砂除外）、采石以及烧制砖、瓦、瓷、石灰的，根据取土、挖砂、采石量，按照每立方米</w:t>
      </w:r>
      <w:r>
        <w:rPr>
          <w:rFonts w:ascii="仿宋" w:hAnsi="仿宋" w:eastAsia="仿宋"/>
          <w:color w:val="000000"/>
          <w:kern w:val="0"/>
          <w:sz w:val="32"/>
          <w:szCs w:val="32"/>
        </w:rPr>
        <w:t>1</w:t>
      </w:r>
      <w:r>
        <w:rPr>
          <w:rFonts w:hint="eastAsia" w:ascii="仿宋" w:hAnsi="仿宋" w:eastAsia="仿宋" w:cs="宋体"/>
          <w:color w:val="000000"/>
          <w:kern w:val="0"/>
          <w:sz w:val="32"/>
          <w:szCs w:val="32"/>
        </w:rPr>
        <w:t>元计征。对缴纳义务人已按前两种方式计征水土保持补偿费的，不再重复计征。</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（四）排放废弃土、石、渣的，根据土、石、渣量，按照每立方米</w:t>
      </w:r>
      <w:r>
        <w:rPr>
          <w:rFonts w:ascii="仿宋" w:hAnsi="仿宋" w:eastAsia="仿宋"/>
          <w:color w:val="000000"/>
          <w:kern w:val="0"/>
          <w:sz w:val="32"/>
          <w:szCs w:val="32"/>
        </w:rPr>
        <w:t>1</w:t>
      </w:r>
      <w:r>
        <w:rPr>
          <w:rFonts w:hint="eastAsia" w:ascii="仿宋" w:hAnsi="仿宋" w:eastAsia="仿宋" w:cs="宋体"/>
          <w:color w:val="000000"/>
          <w:kern w:val="0"/>
          <w:sz w:val="32"/>
          <w:szCs w:val="32"/>
        </w:rPr>
        <w:t>元计征。对缴纳义务人已按前三种方式计征水土保持补偿费的，不再重复计征。</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二、各地要认真落实通知精神，凡通知中要求降低标准的收费项目、应逐项予以落实，认真做好征收工作，切实减轻社会负担，促进实体经济发展。</w:t>
      </w:r>
    </w:p>
    <w:p>
      <w:pPr>
        <w:widowControl/>
        <w:shd w:val="clear" w:color="auto" w:fill="FFFFFF"/>
        <w:snapToGrid w:val="0"/>
        <w:spacing w:line="54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三、各设区市要将通知的贯彻落实情况于</w:t>
      </w:r>
      <w:r>
        <w:rPr>
          <w:rFonts w:ascii="仿宋" w:hAnsi="仿宋" w:eastAsia="仿宋"/>
          <w:color w:val="000000"/>
          <w:kern w:val="0"/>
          <w:sz w:val="32"/>
          <w:szCs w:val="32"/>
        </w:rPr>
        <w:t>2018</w:t>
      </w:r>
      <w:r>
        <w:rPr>
          <w:rFonts w:hint="eastAsia" w:ascii="仿宋" w:hAnsi="仿宋" w:eastAsia="仿宋" w:cs="宋体"/>
          <w:color w:val="000000"/>
          <w:kern w:val="0"/>
          <w:sz w:val="32"/>
          <w:szCs w:val="32"/>
        </w:rPr>
        <w:t>年</w:t>
      </w:r>
      <w:r>
        <w:rPr>
          <w:rFonts w:ascii="仿宋" w:hAnsi="仿宋" w:eastAsia="仿宋"/>
          <w:color w:val="000000"/>
          <w:kern w:val="0"/>
          <w:sz w:val="32"/>
          <w:szCs w:val="32"/>
        </w:rPr>
        <w:t>9</w:t>
      </w:r>
      <w:r>
        <w:rPr>
          <w:rFonts w:hint="eastAsia" w:ascii="仿宋" w:hAnsi="仿宋" w:eastAsia="仿宋" w:cs="宋体"/>
          <w:color w:val="000000"/>
          <w:kern w:val="0"/>
          <w:sz w:val="32"/>
          <w:szCs w:val="32"/>
        </w:rPr>
        <w:t>月</w:t>
      </w:r>
      <w:r>
        <w:rPr>
          <w:rFonts w:ascii="仿宋" w:hAnsi="仿宋" w:eastAsia="仿宋"/>
          <w:color w:val="000000"/>
          <w:kern w:val="0"/>
          <w:sz w:val="32"/>
          <w:szCs w:val="32"/>
        </w:rPr>
        <w:t>15</w:t>
      </w:r>
      <w:r>
        <w:rPr>
          <w:rFonts w:hint="eastAsia" w:ascii="仿宋" w:hAnsi="仿宋" w:eastAsia="仿宋" w:cs="宋体"/>
          <w:color w:val="000000"/>
          <w:kern w:val="0"/>
          <w:sz w:val="32"/>
          <w:szCs w:val="32"/>
        </w:rPr>
        <w:t>日前以书面形式报省物价局、省财政厅。</w:t>
      </w:r>
    </w:p>
    <w:p>
      <w:pPr>
        <w:widowControl/>
        <w:shd w:val="clear" w:color="auto" w:fill="FFFFFF"/>
        <w:snapToGrid w:val="0"/>
        <w:spacing w:line="540" w:lineRule="exact"/>
        <w:ind w:firstLine="640"/>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rPr>
        <w:t>四、本通知自印发日起执行。</w:t>
      </w:r>
    </w:p>
    <w:p>
      <w:pPr>
        <w:widowControl/>
        <w:shd w:val="clear" w:color="auto" w:fill="FFFFFF"/>
        <w:spacing w:line="540" w:lineRule="exact"/>
        <w:jc w:val="center"/>
        <w:rPr>
          <w:rFonts w:ascii="仿宋" w:hAnsi="仿宋" w:eastAsia="仿宋" w:cs="宋体"/>
          <w:color w:val="000000"/>
          <w:kern w:val="0"/>
          <w:sz w:val="24"/>
        </w:rPr>
      </w:pPr>
      <w:r>
        <w:rPr>
          <w:rFonts w:hint="eastAsia" w:ascii="仿宋" w:hAnsi="仿宋" w:eastAsia="仿宋" w:cs="宋体"/>
          <w:color w:val="000000"/>
          <w:kern w:val="0"/>
          <w:sz w:val="32"/>
          <w:szCs w:val="32"/>
          <w:shd w:val="clear" w:color="auto" w:fill="FFFFFF"/>
        </w:rPr>
        <w:t>江苏省物价局</w:t>
      </w:r>
      <w:r>
        <w:rPr>
          <w:rFonts w:ascii="仿宋" w:hAnsi="仿宋" w:eastAsia="仿宋" w:cs="宋体"/>
          <w:color w:val="000000"/>
          <w:kern w:val="0"/>
          <w:sz w:val="32"/>
          <w:szCs w:val="32"/>
          <w:shd w:val="clear" w:color="auto" w:fill="FFFFFF"/>
        </w:rPr>
        <w:t xml:space="preserve">               </w:t>
      </w:r>
      <w:r>
        <w:rPr>
          <w:rFonts w:hint="eastAsia" w:ascii="仿宋" w:hAnsi="仿宋" w:eastAsia="仿宋" w:cs="宋体"/>
          <w:color w:val="000000"/>
          <w:kern w:val="0"/>
          <w:sz w:val="32"/>
          <w:szCs w:val="32"/>
          <w:shd w:val="clear" w:color="auto" w:fill="FFFFFF"/>
        </w:rPr>
        <w:t>江苏省财政厅</w:t>
      </w:r>
    </w:p>
    <w:p>
      <w:pPr>
        <w:widowControl/>
        <w:shd w:val="clear" w:color="auto" w:fill="FFFFFF"/>
        <w:spacing w:line="540" w:lineRule="exact"/>
        <w:jc w:val="both"/>
        <w:rPr>
          <w:rFonts w:ascii="仿宋" w:hAnsi="宋体" w:eastAsia="仿宋" w:cs="宋体"/>
          <w:color w:val="000000"/>
          <w:kern w:val="0"/>
          <w:sz w:val="32"/>
          <w:szCs w:val="32"/>
          <w:shd w:val="clear" w:color="auto" w:fill="FFFFFF"/>
        </w:rPr>
      </w:pPr>
      <w:r>
        <w:rPr>
          <w:rFonts w:hint="eastAsia" w:ascii="仿宋" w:hAnsi="宋体" w:eastAsia="仿宋" w:cs="宋体"/>
          <w:color w:val="000000"/>
          <w:kern w:val="0"/>
          <w:sz w:val="32"/>
          <w:szCs w:val="32"/>
          <w:shd w:val="clear" w:color="auto" w:fill="FFFFFF"/>
        </w:rPr>
        <w:t xml:space="preserve">                            </w:t>
      </w:r>
      <w:r>
        <w:rPr>
          <w:rFonts w:ascii="仿宋" w:hAnsi="宋体" w:eastAsia="仿宋" w:cs="宋体"/>
          <w:color w:val="000000"/>
          <w:kern w:val="0"/>
          <w:sz w:val="32"/>
          <w:szCs w:val="32"/>
          <w:shd w:val="clear" w:color="auto" w:fill="FFFFFF"/>
        </w:rPr>
        <w:t> </w:t>
      </w:r>
      <w:r>
        <w:rPr>
          <w:rFonts w:ascii="仿宋" w:hAnsi="仿宋" w:eastAsia="仿宋"/>
          <w:color w:val="000000"/>
          <w:kern w:val="0"/>
          <w:sz w:val="32"/>
          <w:szCs w:val="32"/>
          <w:shd w:val="clear" w:color="auto" w:fill="FFFFFF"/>
        </w:rPr>
        <w:t>2018</w:t>
      </w:r>
      <w:r>
        <w:rPr>
          <w:rFonts w:hint="eastAsia" w:ascii="仿宋" w:hAnsi="仿宋" w:eastAsia="仿宋" w:cs="宋体"/>
          <w:color w:val="000000"/>
          <w:kern w:val="0"/>
          <w:sz w:val="32"/>
          <w:szCs w:val="32"/>
          <w:shd w:val="clear" w:color="auto" w:fill="FFFFFF"/>
        </w:rPr>
        <w:t>年</w:t>
      </w:r>
      <w:r>
        <w:rPr>
          <w:rFonts w:ascii="仿宋" w:hAnsi="仿宋" w:eastAsia="仿宋"/>
          <w:color w:val="000000"/>
          <w:kern w:val="0"/>
          <w:sz w:val="32"/>
          <w:szCs w:val="32"/>
          <w:shd w:val="clear" w:color="auto" w:fill="FFFFFF"/>
        </w:rPr>
        <w:t>8</w:t>
      </w:r>
      <w:r>
        <w:rPr>
          <w:rFonts w:hint="eastAsia" w:ascii="仿宋" w:hAnsi="仿宋" w:eastAsia="仿宋" w:cs="宋体"/>
          <w:color w:val="000000"/>
          <w:kern w:val="0"/>
          <w:sz w:val="32"/>
          <w:szCs w:val="32"/>
          <w:shd w:val="clear" w:color="auto" w:fill="FFFFFF"/>
        </w:rPr>
        <w:t>月</w:t>
      </w:r>
      <w:r>
        <w:rPr>
          <w:rFonts w:ascii="仿宋" w:hAnsi="仿宋" w:eastAsia="仿宋"/>
          <w:color w:val="000000"/>
          <w:kern w:val="0"/>
          <w:sz w:val="32"/>
          <w:szCs w:val="32"/>
          <w:shd w:val="clear" w:color="auto" w:fill="FFFFFF"/>
        </w:rPr>
        <w:t>21</w:t>
      </w:r>
      <w:r>
        <w:rPr>
          <w:rFonts w:hint="eastAsia" w:ascii="仿宋" w:hAnsi="仿宋" w:eastAsia="仿宋" w:cs="宋体"/>
          <w:color w:val="000000"/>
          <w:kern w:val="0"/>
          <w:sz w:val="32"/>
          <w:szCs w:val="32"/>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425C2"/>
    <w:rsid w:val="4FA425C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2018-09-07T01:00:00Z</dcterms:created>
  <dc:creator>QQ</dc:creator>
  <cp:lastModifiedBy>QQ</cp:lastModifiedBy>
  <dcterms:modified xsi:type="dcterms:W3CDTF">2018-09-07T01:05:49Z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