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sz w:val="36"/>
          <w:szCs w:val="36"/>
        </w:rPr>
      </w:pPr>
    </w:p>
    <w:p>
      <w:pPr>
        <w:rPr>
          <w:color w:val="auto"/>
          <w:sz w:val="36"/>
          <w:szCs w:val="36"/>
        </w:rPr>
      </w:pPr>
    </w:p>
    <w:p>
      <w:pPr>
        <w:rPr>
          <w:color w:val="auto"/>
          <w:sz w:val="36"/>
          <w:szCs w:val="36"/>
        </w:rPr>
      </w:pPr>
    </w:p>
    <w:p>
      <w:pPr>
        <w:rPr>
          <w:color w:val="auto"/>
          <w:sz w:val="36"/>
          <w:szCs w:val="36"/>
        </w:rPr>
      </w:pPr>
    </w:p>
    <w:p>
      <w:pPr>
        <w:adjustRightInd w:val="0"/>
        <w:snapToGrid w:val="0"/>
        <w:jc w:val="center"/>
        <w:outlineLvl w:val="0"/>
        <w:rPr>
          <w:bCs/>
          <w:color w:val="auto"/>
          <w:sz w:val="72"/>
          <w:szCs w:val="72"/>
        </w:rPr>
      </w:pPr>
      <w:r>
        <w:rPr>
          <w:bCs/>
          <w:color w:val="auto"/>
          <w:sz w:val="72"/>
          <w:szCs w:val="72"/>
        </w:rPr>
        <w:t>建设项目环境影响报告表</w:t>
      </w:r>
    </w:p>
    <w:p>
      <w:pPr>
        <w:adjustRightInd w:val="0"/>
        <w:snapToGrid w:val="0"/>
        <w:spacing w:before="192" w:beforeLines="80"/>
        <w:jc w:val="center"/>
        <w:rPr>
          <w:bCs/>
          <w:color w:val="auto"/>
          <w:sz w:val="48"/>
          <w:szCs w:val="48"/>
        </w:rPr>
      </w:pPr>
      <w:r>
        <w:rPr>
          <w:bCs/>
          <w:color w:val="auto"/>
          <w:sz w:val="48"/>
          <w:szCs w:val="48"/>
        </w:rPr>
        <w:t>（污染影响类）</w:t>
      </w:r>
    </w:p>
    <w:p>
      <w:pPr>
        <w:ind w:firstLine="1040"/>
        <w:rPr>
          <w:color w:val="auto"/>
          <w:kern w:val="44"/>
          <w:sz w:val="44"/>
          <w:szCs w:val="44"/>
        </w:rPr>
      </w:pPr>
    </w:p>
    <w:p>
      <w:pPr>
        <w:ind w:firstLine="1040"/>
        <w:rPr>
          <w:color w:val="auto"/>
          <w:sz w:val="44"/>
          <w:szCs w:val="44"/>
        </w:rPr>
      </w:pPr>
    </w:p>
    <w:p>
      <w:pPr>
        <w:ind w:firstLine="1040"/>
        <w:rPr>
          <w:color w:val="auto"/>
          <w:sz w:val="44"/>
          <w:szCs w:val="44"/>
        </w:rPr>
      </w:pPr>
    </w:p>
    <w:p>
      <w:pPr>
        <w:ind w:firstLine="1040"/>
        <w:rPr>
          <w:color w:val="auto"/>
          <w:sz w:val="44"/>
          <w:szCs w:val="44"/>
        </w:rPr>
      </w:pPr>
    </w:p>
    <w:tbl>
      <w:tblPr>
        <w:tblStyle w:val="91"/>
        <w:tblW w:w="480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45"/>
        <w:gridCol w:w="56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0" w:hRule="atLeast"/>
          <w:jc w:val="center"/>
        </w:trPr>
        <w:tc>
          <w:tcPr>
            <w:tcW w:w="1748" w:type="pct"/>
            <w:vAlign w:val="center"/>
          </w:tcPr>
          <w:p>
            <w:pPr>
              <w:jc w:val="distribute"/>
              <w:rPr>
                <w:color w:val="auto"/>
                <w:sz w:val="32"/>
                <w:szCs w:val="32"/>
              </w:rPr>
            </w:pPr>
            <w:r>
              <w:rPr>
                <w:rFonts w:hint="eastAsia"/>
                <w:color w:val="auto"/>
                <w:sz w:val="32"/>
                <w:szCs w:val="32"/>
              </w:rPr>
              <w:t>项目名称：</w:t>
            </w:r>
          </w:p>
        </w:tc>
        <w:tc>
          <w:tcPr>
            <w:tcW w:w="3251" w:type="pct"/>
            <w:tcBorders>
              <w:bottom w:val="single" w:color="auto" w:sz="6" w:space="0"/>
            </w:tcBorders>
            <w:vAlign w:val="center"/>
          </w:tcPr>
          <w:p>
            <w:pPr>
              <w:jc w:val="center"/>
              <w:rPr>
                <w:color w:val="auto"/>
                <w:sz w:val="32"/>
                <w:szCs w:val="32"/>
              </w:rPr>
            </w:pPr>
            <w:r>
              <w:rPr>
                <w:rFonts w:hint="eastAsia"/>
                <w:color w:val="auto"/>
                <w:sz w:val="32"/>
                <w:szCs w:val="32"/>
                <w:lang w:val="en-US" w:eastAsia="zh-CN"/>
              </w:rPr>
              <w:t>年加工1000万米文体用布（桌球布）项目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1748" w:type="pct"/>
            <w:vAlign w:val="center"/>
          </w:tcPr>
          <w:p>
            <w:pPr>
              <w:jc w:val="distribute"/>
              <w:rPr>
                <w:color w:val="auto"/>
                <w:sz w:val="32"/>
                <w:szCs w:val="32"/>
              </w:rPr>
            </w:pPr>
            <w:r>
              <w:rPr>
                <w:rFonts w:hint="eastAsia"/>
                <w:color w:val="auto"/>
                <w:sz w:val="32"/>
                <w:szCs w:val="32"/>
              </w:rPr>
              <w:t>建设单位（盖章）：</w:t>
            </w:r>
          </w:p>
        </w:tc>
        <w:tc>
          <w:tcPr>
            <w:tcW w:w="3251" w:type="pct"/>
            <w:tcBorders>
              <w:top w:val="single" w:color="auto" w:sz="6" w:space="0"/>
              <w:bottom w:val="single" w:color="auto" w:sz="6" w:space="0"/>
            </w:tcBorders>
            <w:vAlign w:val="center"/>
          </w:tcPr>
          <w:p>
            <w:pPr>
              <w:jc w:val="center"/>
              <w:rPr>
                <w:color w:val="auto"/>
                <w:sz w:val="32"/>
                <w:szCs w:val="32"/>
              </w:rPr>
            </w:pPr>
            <w:r>
              <w:rPr>
                <w:rFonts w:hint="eastAsia"/>
                <w:color w:val="auto"/>
                <w:sz w:val="32"/>
                <w:szCs w:val="32"/>
                <w:lang w:val="en-US" w:eastAsia="zh-CN"/>
              </w:rPr>
              <w:t>南通众隆纺织科技有限公司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748" w:type="pct"/>
            <w:vAlign w:val="center"/>
          </w:tcPr>
          <w:p>
            <w:pPr>
              <w:jc w:val="distribute"/>
              <w:rPr>
                <w:color w:val="auto"/>
                <w:sz w:val="32"/>
                <w:szCs w:val="32"/>
              </w:rPr>
            </w:pPr>
            <w:r>
              <w:rPr>
                <w:rFonts w:hint="eastAsia"/>
                <w:color w:val="auto"/>
                <w:sz w:val="32"/>
                <w:szCs w:val="32"/>
              </w:rPr>
              <w:t>编制日期：</w:t>
            </w:r>
          </w:p>
        </w:tc>
        <w:tc>
          <w:tcPr>
            <w:tcW w:w="3251" w:type="pct"/>
            <w:tcBorders>
              <w:top w:val="single" w:color="auto" w:sz="6" w:space="0"/>
              <w:bottom w:val="single" w:color="auto" w:sz="6" w:space="0"/>
            </w:tcBorders>
            <w:vAlign w:val="center"/>
          </w:tcPr>
          <w:p>
            <w:pPr>
              <w:jc w:val="center"/>
              <w:rPr>
                <w:color w:val="auto"/>
                <w:sz w:val="32"/>
                <w:szCs w:val="32"/>
              </w:rPr>
            </w:pPr>
            <w:r>
              <w:rPr>
                <w:rFonts w:hint="eastAsia"/>
                <w:color w:val="auto"/>
                <w:sz w:val="32"/>
                <w:szCs w:val="32"/>
              </w:rPr>
              <w:t>二〇二</w:t>
            </w:r>
            <w:r>
              <w:rPr>
                <w:rFonts w:hint="eastAsia"/>
                <w:color w:val="auto"/>
                <w:sz w:val="32"/>
                <w:szCs w:val="32"/>
                <w:lang w:val="en-US" w:eastAsia="zh-CN"/>
              </w:rPr>
              <w:t>六</w:t>
            </w:r>
            <w:r>
              <w:rPr>
                <w:rFonts w:hint="eastAsia"/>
                <w:color w:val="auto"/>
                <w:sz w:val="32"/>
                <w:szCs w:val="32"/>
              </w:rPr>
              <w:t>年</w:t>
            </w:r>
            <w:r>
              <w:rPr>
                <w:rFonts w:hint="eastAsia"/>
                <w:color w:val="auto"/>
                <w:sz w:val="32"/>
                <w:szCs w:val="32"/>
                <w:lang w:val="en-US" w:eastAsia="zh-CN"/>
              </w:rPr>
              <w:t>五</w:t>
            </w:r>
            <w:r>
              <w:rPr>
                <w:rFonts w:hint="eastAsia"/>
                <w:color w:val="auto"/>
                <w:sz w:val="32"/>
                <w:szCs w:val="32"/>
              </w:rPr>
              <w:t>月</w:t>
            </w:r>
          </w:p>
        </w:tc>
      </w:tr>
    </w:tbl>
    <w:p>
      <w:pPr>
        <w:adjustRightInd w:val="0"/>
        <w:snapToGrid w:val="0"/>
        <w:spacing w:line="288" w:lineRule="auto"/>
        <w:ind w:firstLine="1040"/>
        <w:rPr>
          <w:rFonts w:hint="eastAsia" w:eastAsia="宋体"/>
          <w:color w:val="auto"/>
          <w:sz w:val="36"/>
          <w:szCs w:val="36"/>
          <w:u w:val="single"/>
          <w:lang w:val="en-US" w:eastAsia="zh-CN"/>
        </w:rPr>
      </w:pPr>
      <w:bookmarkStart w:id="0" w:name="_Hlk57884087"/>
      <w:r>
        <w:rPr>
          <w:rFonts w:hint="eastAsia"/>
          <w:color w:val="auto"/>
          <w:sz w:val="36"/>
          <w:szCs w:val="36"/>
          <w:u w:val="single"/>
          <w:lang w:val="en-US" w:eastAsia="zh-CN"/>
        </w:rPr>
        <w:t xml:space="preserve"> </w:t>
      </w: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p>
      <w:pPr>
        <w:adjustRightInd w:val="0"/>
        <w:snapToGrid w:val="0"/>
        <w:spacing w:line="288" w:lineRule="auto"/>
        <w:ind w:firstLine="1040"/>
        <w:rPr>
          <w:color w:val="auto"/>
          <w:sz w:val="36"/>
          <w:szCs w:val="36"/>
        </w:rPr>
      </w:pPr>
    </w:p>
    <w:bookmarkEnd w:id="0"/>
    <w:p>
      <w:pPr>
        <w:adjustRightInd w:val="0"/>
        <w:snapToGrid w:val="0"/>
        <w:spacing w:line="288" w:lineRule="auto"/>
        <w:jc w:val="center"/>
        <w:rPr>
          <w:color w:val="auto"/>
          <w:sz w:val="32"/>
          <w:szCs w:val="32"/>
        </w:rPr>
      </w:pPr>
      <w:r>
        <w:rPr>
          <w:color w:val="auto"/>
          <w:sz w:val="32"/>
          <w:szCs w:val="32"/>
        </w:rPr>
        <w:t>中华人民共和国生态环境部制</w:t>
      </w:r>
    </w:p>
    <w:p>
      <w:pPr>
        <w:adjustRightInd w:val="0"/>
        <w:snapToGrid w:val="0"/>
        <w:spacing w:line="288" w:lineRule="auto"/>
        <w:ind w:firstLine="1040"/>
        <w:rPr>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adjustRightInd w:val="0"/>
        <w:snapToGrid w:val="0"/>
        <w:jc w:val="left"/>
        <w:rPr>
          <w:rFonts w:hint="eastAsia"/>
          <w:color w:val="auto"/>
          <w:szCs w:val="21"/>
          <w:lang w:val="en-US" w:eastAsia="zh-CN"/>
        </w:rPr>
      </w:pPr>
      <w:r>
        <w:rPr>
          <w:rFonts w:hint="eastAsia"/>
          <w:color w:val="auto"/>
          <w:szCs w:val="21"/>
          <w:lang w:val="en-US" w:eastAsia="zh-CN"/>
        </w:rPr>
        <w:t>附图1项目地理位置图</w:t>
      </w:r>
    </w:p>
    <w:p>
      <w:pPr>
        <w:adjustRightInd w:val="0"/>
        <w:snapToGrid w:val="0"/>
        <w:jc w:val="left"/>
        <w:rPr>
          <w:rFonts w:hint="eastAsia"/>
          <w:color w:val="auto"/>
          <w:szCs w:val="21"/>
          <w:lang w:val="en-US" w:eastAsia="zh-CN"/>
        </w:rPr>
      </w:pPr>
      <w:r>
        <w:rPr>
          <w:rFonts w:hint="eastAsia"/>
          <w:color w:val="auto"/>
          <w:szCs w:val="21"/>
          <w:lang w:val="en-US" w:eastAsia="zh-CN"/>
        </w:rPr>
        <w:t>附图2项目周边概况图</w:t>
      </w:r>
    </w:p>
    <w:p>
      <w:pPr>
        <w:adjustRightInd w:val="0"/>
        <w:snapToGrid w:val="0"/>
        <w:jc w:val="left"/>
        <w:rPr>
          <w:rFonts w:hint="eastAsia"/>
          <w:color w:val="auto"/>
          <w:szCs w:val="21"/>
          <w:lang w:val="en-US" w:eastAsia="zh-CN"/>
        </w:rPr>
      </w:pPr>
      <w:r>
        <w:rPr>
          <w:rFonts w:hint="eastAsia"/>
          <w:color w:val="auto"/>
          <w:szCs w:val="21"/>
          <w:lang w:val="en-US" w:eastAsia="zh-CN"/>
        </w:rPr>
        <w:t>]附图3厂区平面图</w:t>
      </w:r>
    </w:p>
    <w:p>
      <w:pPr>
        <w:adjustRightInd w:val="0"/>
        <w:snapToGrid w:val="0"/>
        <w:jc w:val="left"/>
        <w:rPr>
          <w:rFonts w:hint="eastAsia"/>
          <w:color w:val="auto"/>
          <w:szCs w:val="21"/>
          <w:lang w:val="en-US" w:eastAsia="zh-CN"/>
        </w:rPr>
      </w:pPr>
      <w:r>
        <w:rPr>
          <w:rFonts w:hint="eastAsia"/>
          <w:color w:val="auto"/>
          <w:szCs w:val="21"/>
          <w:lang w:val="en-US" w:eastAsia="zh-CN"/>
        </w:rPr>
        <w:t>附图3-1车间平面图</w:t>
      </w:r>
    </w:p>
    <w:p>
      <w:pPr>
        <w:adjustRightInd w:val="0"/>
        <w:snapToGrid w:val="0"/>
        <w:jc w:val="left"/>
        <w:rPr>
          <w:rFonts w:hint="eastAsia"/>
          <w:color w:val="auto"/>
          <w:szCs w:val="21"/>
          <w:lang w:val="en-US" w:eastAsia="zh-CN"/>
        </w:rPr>
      </w:pPr>
      <w:r>
        <w:rPr>
          <w:rFonts w:hint="eastAsia"/>
          <w:color w:val="auto"/>
          <w:szCs w:val="21"/>
          <w:lang w:val="en-US" w:eastAsia="zh-CN"/>
        </w:rPr>
        <w:t>附图4生态空间管控区域规划图</w:t>
      </w:r>
    </w:p>
    <w:p>
      <w:pPr>
        <w:adjustRightInd w:val="0"/>
        <w:snapToGrid w:val="0"/>
        <w:jc w:val="left"/>
        <w:rPr>
          <w:rFonts w:hint="eastAsia"/>
          <w:color w:val="auto"/>
          <w:szCs w:val="21"/>
          <w:lang w:val="en-US" w:eastAsia="zh-CN"/>
        </w:rPr>
      </w:pPr>
      <w:r>
        <w:rPr>
          <w:rFonts w:hint="eastAsia"/>
          <w:color w:val="auto"/>
          <w:szCs w:val="21"/>
          <w:lang w:val="en-US" w:eastAsia="zh-CN"/>
        </w:rPr>
        <w:t>附图5项目周边水系图</w:t>
      </w:r>
    </w:p>
    <w:p>
      <w:pPr>
        <w:adjustRightInd w:val="0"/>
        <w:snapToGrid w:val="0"/>
        <w:jc w:val="left"/>
        <w:rPr>
          <w:rFonts w:hint="eastAsia"/>
          <w:color w:val="auto"/>
          <w:szCs w:val="21"/>
          <w:lang w:val="en-US" w:eastAsia="zh-CN"/>
        </w:rPr>
      </w:pPr>
      <w:r>
        <w:rPr>
          <w:rFonts w:hint="eastAsia"/>
          <w:color w:val="auto"/>
          <w:szCs w:val="21"/>
          <w:lang w:val="en-US" w:eastAsia="zh-CN"/>
        </w:rPr>
        <w:t>附图6本项目与市域"三区三线"划定示意关系图</w:t>
      </w:r>
    </w:p>
    <w:p>
      <w:pPr>
        <w:adjustRightInd w:val="0"/>
        <w:snapToGrid w:val="0"/>
        <w:jc w:val="left"/>
        <w:rPr>
          <w:rFonts w:hint="eastAsia"/>
          <w:color w:val="auto"/>
          <w:szCs w:val="21"/>
          <w:lang w:val="en-US" w:eastAsia="zh-CN"/>
        </w:rPr>
      </w:pPr>
      <w:r>
        <w:rPr>
          <w:rFonts w:hint="eastAsia"/>
          <w:color w:val="auto"/>
          <w:szCs w:val="21"/>
          <w:lang w:val="en-US" w:eastAsia="zh-CN"/>
        </w:rPr>
        <w:t>附图7本项目与如皋市国土空间规划分区示意图</w:t>
      </w:r>
    </w:p>
    <w:p>
      <w:pPr>
        <w:adjustRightInd w:val="0"/>
        <w:snapToGrid w:val="0"/>
        <w:jc w:val="left"/>
        <w:rPr>
          <w:rFonts w:hint="eastAsia"/>
          <w:color w:val="auto"/>
          <w:szCs w:val="21"/>
          <w:lang w:val="en-US" w:eastAsia="zh-CN"/>
        </w:rPr>
      </w:pPr>
      <w:r>
        <w:rPr>
          <w:rFonts w:hint="eastAsia"/>
          <w:color w:val="auto"/>
          <w:szCs w:val="21"/>
          <w:lang w:val="en-US" w:eastAsia="zh-CN"/>
        </w:rPr>
        <w:t>附图8厂区分区防渗图</w:t>
      </w:r>
    </w:p>
    <w:p>
      <w:pPr>
        <w:adjustRightInd w:val="0"/>
        <w:snapToGrid w:val="0"/>
        <w:jc w:val="left"/>
        <w:rPr>
          <w:rFonts w:hint="eastAsia"/>
          <w:color w:val="auto"/>
          <w:szCs w:val="21"/>
          <w:lang w:val="en-US" w:eastAsia="zh-CN"/>
        </w:rPr>
      </w:pPr>
      <w:r>
        <w:rPr>
          <w:rFonts w:hint="eastAsia"/>
          <w:color w:val="auto"/>
          <w:szCs w:val="21"/>
          <w:lang w:val="en-US" w:eastAsia="zh-CN"/>
        </w:rPr>
        <w:t>附图9厂房雨污水管网图</w:t>
      </w:r>
    </w:p>
    <w:p>
      <w:pPr>
        <w:adjustRightInd w:val="0"/>
        <w:snapToGrid w:val="0"/>
        <w:jc w:val="left"/>
        <w:rPr>
          <w:rFonts w:hint="eastAsia"/>
          <w:color w:val="auto"/>
          <w:szCs w:val="21"/>
          <w:lang w:val="en-US" w:eastAsia="zh-CN"/>
        </w:rPr>
      </w:pPr>
      <w:r>
        <w:rPr>
          <w:rFonts w:hint="eastAsia"/>
          <w:color w:val="auto"/>
          <w:szCs w:val="21"/>
          <w:lang w:val="en-US" w:eastAsia="zh-CN"/>
        </w:rPr>
        <w:t>附图10建设项目所在九华镇声环境功能区划分图</w:t>
      </w:r>
    </w:p>
    <w:p>
      <w:pPr>
        <w:adjustRightInd w:val="0"/>
        <w:snapToGrid w:val="0"/>
        <w:jc w:val="left"/>
        <w:rPr>
          <w:rFonts w:hint="eastAsia"/>
          <w:color w:val="auto"/>
          <w:szCs w:val="21"/>
          <w:lang w:val="en-US" w:eastAsia="zh-CN"/>
        </w:rPr>
      </w:pPr>
      <w:r>
        <w:rPr>
          <w:rFonts w:hint="eastAsia"/>
          <w:color w:val="auto"/>
          <w:szCs w:val="21"/>
          <w:lang w:val="en-US" w:eastAsia="zh-CN"/>
        </w:rPr>
        <w:t>附图11本项目风险单元图</w:t>
      </w:r>
    </w:p>
    <w:p>
      <w:pPr>
        <w:adjustRightInd w:val="0"/>
        <w:snapToGrid w:val="0"/>
        <w:jc w:val="left"/>
        <w:rPr>
          <w:rFonts w:hint="eastAsia"/>
          <w:color w:val="auto"/>
          <w:szCs w:val="21"/>
          <w:lang w:val="en-US" w:eastAsia="zh-CN"/>
        </w:rPr>
      </w:pPr>
      <w:r>
        <w:rPr>
          <w:rFonts w:hint="eastAsia"/>
          <w:color w:val="auto"/>
          <w:szCs w:val="21"/>
          <w:lang w:val="en-US" w:eastAsia="zh-CN"/>
        </w:rPr>
        <w:t>附图11 本项目风险单元图</w:t>
      </w:r>
    </w:p>
    <w:p>
      <w:pPr>
        <w:adjustRightInd w:val="0"/>
        <w:snapToGrid w:val="0"/>
        <w:jc w:val="left"/>
        <w:rPr>
          <w:rFonts w:hint="eastAsia"/>
          <w:color w:val="auto"/>
          <w:szCs w:val="21"/>
          <w:lang w:val="en-US" w:eastAsia="zh-CN"/>
        </w:rPr>
      </w:pPr>
    </w:p>
    <w:p>
      <w:pPr>
        <w:adjustRightInd w:val="0"/>
        <w:snapToGrid w:val="0"/>
        <w:jc w:val="left"/>
        <w:rPr>
          <w:rFonts w:hint="eastAsia"/>
          <w:color w:val="auto"/>
          <w:szCs w:val="21"/>
          <w:lang w:val="en-US" w:eastAsia="zh-CN"/>
        </w:rPr>
      </w:pPr>
      <w:r>
        <w:rPr>
          <w:rFonts w:hint="eastAsia"/>
          <w:color w:val="auto"/>
          <w:szCs w:val="21"/>
          <w:lang w:val="en-US" w:eastAsia="zh-CN"/>
        </w:rPr>
        <w:t>附件1备案证</w:t>
      </w:r>
    </w:p>
    <w:p>
      <w:pPr>
        <w:adjustRightInd w:val="0"/>
        <w:snapToGrid w:val="0"/>
        <w:jc w:val="left"/>
        <w:rPr>
          <w:rFonts w:hint="eastAsia"/>
          <w:color w:val="auto"/>
          <w:szCs w:val="21"/>
          <w:lang w:val="en-US" w:eastAsia="zh-CN"/>
        </w:rPr>
      </w:pPr>
      <w:r>
        <w:rPr>
          <w:rFonts w:hint="eastAsia"/>
          <w:color w:val="auto"/>
          <w:szCs w:val="21"/>
          <w:lang w:val="en-US" w:eastAsia="zh-CN"/>
        </w:rPr>
        <w:t>附件2营业执照</w:t>
      </w:r>
    </w:p>
    <w:p>
      <w:pPr>
        <w:adjustRightInd w:val="0"/>
        <w:snapToGrid w:val="0"/>
        <w:jc w:val="left"/>
        <w:rPr>
          <w:rFonts w:hint="eastAsia"/>
          <w:color w:val="auto"/>
          <w:szCs w:val="21"/>
          <w:lang w:val="en-US" w:eastAsia="zh-CN"/>
        </w:rPr>
      </w:pPr>
      <w:r>
        <w:rPr>
          <w:rFonts w:hint="eastAsia"/>
          <w:color w:val="auto"/>
          <w:szCs w:val="21"/>
          <w:lang w:val="en-US" w:eastAsia="zh-CN"/>
        </w:rPr>
        <w:t>附件3土地使用证明</w:t>
      </w:r>
    </w:p>
    <w:p>
      <w:pPr>
        <w:adjustRightInd w:val="0"/>
        <w:snapToGrid w:val="0"/>
        <w:jc w:val="left"/>
        <w:rPr>
          <w:rFonts w:hint="eastAsia"/>
          <w:color w:val="auto"/>
          <w:szCs w:val="21"/>
          <w:lang w:val="en-US" w:eastAsia="zh-CN"/>
        </w:rPr>
      </w:pPr>
      <w:r>
        <w:rPr>
          <w:rFonts w:hint="eastAsia"/>
          <w:color w:val="auto"/>
          <w:szCs w:val="21"/>
          <w:lang w:val="en-US" w:eastAsia="zh-CN"/>
        </w:rPr>
        <w:t>附件4委托书、申请书</w:t>
      </w:r>
    </w:p>
    <w:p>
      <w:pPr>
        <w:adjustRightInd w:val="0"/>
        <w:snapToGrid w:val="0"/>
        <w:jc w:val="left"/>
        <w:rPr>
          <w:rFonts w:hint="eastAsia"/>
          <w:color w:val="auto"/>
          <w:szCs w:val="21"/>
          <w:lang w:val="en-US" w:eastAsia="zh-CN"/>
        </w:rPr>
      </w:pPr>
      <w:r>
        <w:rPr>
          <w:rFonts w:hint="eastAsia"/>
          <w:color w:val="auto"/>
          <w:szCs w:val="21"/>
          <w:lang w:val="en-US" w:eastAsia="zh-CN"/>
        </w:rPr>
        <w:t>附件5江苏省生态环境分区管控</w:t>
      </w:r>
    </w:p>
    <w:p>
      <w:pPr>
        <w:adjustRightInd w:val="0"/>
        <w:snapToGrid w:val="0"/>
        <w:jc w:val="left"/>
        <w:rPr>
          <w:rFonts w:hint="eastAsia"/>
          <w:color w:val="auto"/>
          <w:szCs w:val="21"/>
          <w:lang w:val="en-US" w:eastAsia="zh-CN"/>
        </w:rPr>
      </w:pPr>
      <w:r>
        <w:rPr>
          <w:rFonts w:hint="eastAsia"/>
          <w:color w:val="auto"/>
          <w:szCs w:val="21"/>
          <w:lang w:val="en-US" w:eastAsia="zh-CN"/>
        </w:rPr>
        <w:t>附件5-1江苏省生态环境分区管控截图</w:t>
      </w:r>
    </w:p>
    <w:p>
      <w:pPr>
        <w:adjustRightInd w:val="0"/>
        <w:snapToGrid w:val="0"/>
        <w:jc w:val="left"/>
        <w:rPr>
          <w:rFonts w:hint="eastAsia"/>
          <w:color w:val="auto"/>
          <w:szCs w:val="21"/>
          <w:lang w:val="en-US" w:eastAsia="zh-CN"/>
        </w:rPr>
      </w:pPr>
      <w:r>
        <w:rPr>
          <w:rFonts w:hint="eastAsia"/>
          <w:color w:val="auto"/>
          <w:szCs w:val="21"/>
          <w:lang w:val="en-US" w:eastAsia="zh-CN"/>
        </w:rPr>
        <w:t>附件6南通市生态环境分区管控拟建项目研判信息</w:t>
      </w:r>
    </w:p>
    <w:p>
      <w:pPr>
        <w:adjustRightInd w:val="0"/>
        <w:snapToGrid w:val="0"/>
        <w:jc w:val="left"/>
        <w:rPr>
          <w:rFonts w:hint="eastAsia"/>
          <w:color w:val="auto"/>
          <w:szCs w:val="21"/>
          <w:lang w:val="en-US" w:eastAsia="zh-CN"/>
        </w:rPr>
      </w:pPr>
      <w:r>
        <w:rPr>
          <w:rFonts w:hint="eastAsia"/>
          <w:color w:val="auto"/>
          <w:szCs w:val="21"/>
          <w:lang w:val="en-US" w:eastAsia="zh-CN"/>
        </w:rPr>
        <w:t>附件7华胜自行监测报告</w:t>
      </w:r>
    </w:p>
    <w:p>
      <w:pPr>
        <w:adjustRightInd w:val="0"/>
        <w:snapToGrid w:val="0"/>
        <w:jc w:val="left"/>
        <w:rPr>
          <w:rFonts w:hint="eastAsia"/>
          <w:color w:val="auto"/>
          <w:szCs w:val="21"/>
          <w:lang w:val="en-US" w:eastAsia="zh-CN"/>
        </w:rPr>
      </w:pPr>
      <w:r>
        <w:rPr>
          <w:rFonts w:hint="eastAsia"/>
          <w:color w:val="auto"/>
          <w:szCs w:val="21"/>
          <w:lang w:val="en-US" w:eastAsia="zh-CN"/>
        </w:rPr>
        <w:t>附件8噪声检测报告</w:t>
      </w:r>
    </w:p>
    <w:p>
      <w:pPr>
        <w:adjustRightInd w:val="0"/>
        <w:snapToGrid w:val="0"/>
        <w:jc w:val="left"/>
        <w:rPr>
          <w:rFonts w:hint="eastAsia"/>
          <w:color w:val="auto"/>
          <w:szCs w:val="21"/>
          <w:lang w:val="en-US" w:eastAsia="zh-CN"/>
        </w:rPr>
      </w:pPr>
      <w:r>
        <w:rPr>
          <w:rFonts w:hint="eastAsia"/>
          <w:color w:val="auto"/>
          <w:szCs w:val="21"/>
          <w:lang w:val="en-US" w:eastAsia="zh-CN"/>
        </w:rPr>
        <w:t>附件9法人身份证复印件</w:t>
      </w:r>
    </w:p>
    <w:p>
      <w:pPr>
        <w:adjustRightInd w:val="0"/>
        <w:snapToGrid w:val="0"/>
        <w:jc w:val="left"/>
        <w:rPr>
          <w:rFonts w:hint="eastAsia"/>
          <w:color w:val="auto"/>
          <w:szCs w:val="21"/>
          <w:lang w:val="en-US" w:eastAsia="zh-CN"/>
        </w:rPr>
      </w:pPr>
      <w:r>
        <w:rPr>
          <w:rFonts w:hint="eastAsia"/>
          <w:color w:val="auto"/>
          <w:szCs w:val="21"/>
          <w:lang w:val="en-US" w:eastAsia="zh-CN"/>
        </w:rPr>
        <w:t>附件10环保责任情况说明</w:t>
      </w:r>
    </w:p>
    <w:p>
      <w:pPr>
        <w:adjustRightInd w:val="0"/>
        <w:snapToGrid w:val="0"/>
        <w:jc w:val="left"/>
        <w:rPr>
          <w:rFonts w:hint="eastAsia"/>
          <w:color w:val="auto"/>
          <w:szCs w:val="21"/>
          <w:lang w:val="en-US" w:eastAsia="zh-CN"/>
        </w:rPr>
      </w:pPr>
      <w:r>
        <w:rPr>
          <w:rFonts w:hint="eastAsia"/>
          <w:color w:val="auto"/>
          <w:szCs w:val="21"/>
          <w:lang w:val="en-US" w:eastAsia="zh-CN"/>
        </w:rPr>
        <w:t>附件11环评合同</w:t>
      </w:r>
    </w:p>
    <w:p>
      <w:pPr>
        <w:adjustRightInd w:val="0"/>
        <w:snapToGrid w:val="0"/>
        <w:jc w:val="left"/>
        <w:rPr>
          <w:rFonts w:hint="eastAsia"/>
          <w:color w:val="auto"/>
          <w:szCs w:val="21"/>
          <w:lang w:val="en-US" w:eastAsia="zh-CN"/>
        </w:rPr>
      </w:pPr>
      <w:r>
        <w:rPr>
          <w:rFonts w:hint="eastAsia"/>
          <w:color w:val="auto"/>
          <w:szCs w:val="21"/>
          <w:lang w:val="en-US" w:eastAsia="zh-CN"/>
        </w:rPr>
        <w:t>附件12华胜公司废水情况说明</w:t>
      </w:r>
    </w:p>
    <w:p>
      <w:pPr>
        <w:adjustRightInd w:val="0"/>
        <w:snapToGrid w:val="0"/>
        <w:jc w:val="left"/>
        <w:rPr>
          <w:rFonts w:hint="eastAsia"/>
          <w:color w:val="auto"/>
          <w:szCs w:val="21"/>
          <w:lang w:val="en-US" w:eastAsia="zh-CN"/>
        </w:rPr>
      </w:pPr>
      <w:r>
        <w:rPr>
          <w:rFonts w:hint="eastAsia"/>
          <w:color w:val="auto"/>
          <w:szCs w:val="21"/>
          <w:lang w:val="en-US" w:eastAsia="zh-CN"/>
        </w:rPr>
        <w:t>附件13环评公示截图</w:t>
      </w:r>
    </w:p>
    <w:p>
      <w:pPr>
        <w:adjustRightInd w:val="0"/>
        <w:snapToGrid w:val="0"/>
        <w:jc w:val="left"/>
        <w:rPr>
          <w:rFonts w:hint="eastAsia"/>
          <w:color w:val="auto"/>
          <w:szCs w:val="21"/>
          <w:lang w:val="en-US" w:eastAsia="zh-CN"/>
        </w:rPr>
      </w:pPr>
      <w:r>
        <w:rPr>
          <w:rFonts w:hint="eastAsia"/>
          <w:color w:val="auto"/>
          <w:szCs w:val="21"/>
          <w:lang w:val="en-US" w:eastAsia="zh-CN"/>
        </w:rPr>
        <w:t>附件14工程师现场踏勘</w:t>
      </w:r>
    </w:p>
    <w:p>
      <w:pPr>
        <w:adjustRightInd w:val="0"/>
        <w:snapToGrid w:val="0"/>
        <w:jc w:val="left"/>
        <w:rPr>
          <w:rFonts w:hint="eastAsia"/>
          <w:color w:val="auto"/>
          <w:szCs w:val="21"/>
          <w:lang w:val="en-US" w:eastAsia="zh-CN"/>
        </w:rPr>
      </w:pPr>
      <w:r>
        <w:rPr>
          <w:rFonts w:hint="eastAsia"/>
          <w:color w:val="auto"/>
          <w:szCs w:val="21"/>
          <w:lang w:val="en-US" w:eastAsia="zh-CN"/>
        </w:rPr>
        <w:t>附件14建设项目情况表（众隆)</w:t>
      </w:r>
    </w:p>
    <w:p>
      <w:pPr>
        <w:adjustRightInd w:val="0"/>
        <w:snapToGrid w:val="0"/>
        <w:jc w:val="left"/>
        <w:rPr>
          <w:rFonts w:hint="eastAsia"/>
          <w:color w:val="auto"/>
          <w:szCs w:val="21"/>
          <w:lang w:val="en-US" w:eastAsia="zh-CN"/>
        </w:rPr>
      </w:pPr>
      <w:r>
        <w:rPr>
          <w:rFonts w:hint="eastAsia"/>
          <w:color w:val="auto"/>
          <w:szCs w:val="21"/>
          <w:lang w:val="en-US" w:eastAsia="zh-CN"/>
        </w:rPr>
        <w:t>附件15柔软剂MSDS</w:t>
      </w:r>
    </w:p>
    <w:p>
      <w:pPr>
        <w:adjustRightInd w:val="0"/>
        <w:snapToGrid w:val="0"/>
        <w:jc w:val="left"/>
        <w:rPr>
          <w:rFonts w:hint="eastAsia"/>
          <w:color w:val="auto"/>
          <w:szCs w:val="21"/>
          <w:lang w:val="en-US" w:eastAsia="zh-CN"/>
        </w:rPr>
      </w:pPr>
      <w:r>
        <w:rPr>
          <w:rFonts w:hint="eastAsia"/>
          <w:color w:val="auto"/>
          <w:szCs w:val="21"/>
          <w:lang w:val="en-US" w:eastAsia="zh-CN"/>
        </w:rPr>
        <w:t>附件16锅炉房租赁合同</w:t>
      </w:r>
    </w:p>
    <w:p>
      <w:pPr>
        <w:adjustRightInd w:val="0"/>
        <w:snapToGrid w:val="0"/>
        <w:jc w:val="left"/>
        <w:rPr>
          <w:rFonts w:hint="eastAsia"/>
          <w:color w:val="auto"/>
          <w:szCs w:val="21"/>
          <w:lang w:val="en-US" w:eastAsia="zh-CN"/>
        </w:rPr>
      </w:pPr>
      <w:r>
        <w:rPr>
          <w:rFonts w:hint="eastAsia"/>
          <w:color w:val="auto"/>
          <w:szCs w:val="21"/>
          <w:lang w:val="en-US" w:eastAsia="zh-CN"/>
        </w:rPr>
        <w:t>附件17建设单位承诺书</w:t>
      </w:r>
    </w:p>
    <w:p>
      <w:pPr>
        <w:adjustRightInd w:val="0"/>
        <w:snapToGrid w:val="0"/>
        <w:jc w:val="left"/>
        <w:rPr>
          <w:rFonts w:hint="eastAsia"/>
          <w:color w:val="auto"/>
          <w:szCs w:val="21"/>
          <w:lang w:val="en-US" w:eastAsia="zh-CN"/>
        </w:rPr>
      </w:pPr>
    </w:p>
    <w:p>
      <w:pPr>
        <w:adjustRightInd w:val="0"/>
        <w:snapToGrid w:val="0"/>
        <w:jc w:val="left"/>
        <w:rPr>
          <w:rFonts w:hint="eastAsia"/>
          <w:color w:val="auto"/>
          <w:szCs w:val="21"/>
          <w:lang w:val="en-US" w:eastAsia="zh-CN"/>
        </w:rPr>
      </w:pPr>
    </w:p>
    <w:p>
      <w:pPr>
        <w:adjustRightInd w:val="0"/>
        <w:snapToGrid w:val="0"/>
        <w:jc w:val="left"/>
        <w:rPr>
          <w:rFonts w:hint="eastAsia"/>
          <w:lang w:val="en-US" w:eastAsia="zh-CN"/>
        </w:rPr>
      </w:pPr>
    </w:p>
    <w:p>
      <w:pPr>
        <w:pStyle w:val="82"/>
        <w:jc w:val="center"/>
        <w:outlineLvl w:val="0"/>
        <w:rPr>
          <w:rFonts w:ascii="Times New Roman" w:hAnsi="Times New Roman"/>
          <w:snapToGrid w:val="0"/>
          <w:color w:val="auto"/>
          <w:sz w:val="30"/>
          <w:szCs w:val="30"/>
        </w:rPr>
        <w:sectPr>
          <w:footerReference r:id="rId5" w:type="default"/>
          <w:pgSz w:w="11906" w:h="16838"/>
          <w:pgMar w:top="1440" w:right="1440" w:bottom="1440" w:left="1440" w:header="851" w:footer="851" w:gutter="0"/>
          <w:pgBorders>
            <w:top w:val="none" w:sz="0" w:space="0"/>
            <w:left w:val="none" w:sz="0" w:space="0"/>
            <w:bottom w:val="none" w:sz="0" w:space="0"/>
            <w:right w:val="none" w:sz="0" w:space="0"/>
          </w:pgBorders>
          <w:pgNumType w:start="1"/>
          <w:cols w:space="720" w:num="1"/>
          <w:docGrid w:linePitch="312" w:charSpace="0"/>
        </w:sectPr>
      </w:pPr>
    </w:p>
    <w:p>
      <w:pPr>
        <w:pStyle w:val="82"/>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一、建设项目基本情况</w:t>
      </w:r>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67"/>
        <w:gridCol w:w="662"/>
        <w:gridCol w:w="2222"/>
        <w:gridCol w:w="1954"/>
        <w:gridCol w:w="36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建设项目名称</w:t>
            </w:r>
          </w:p>
        </w:tc>
        <w:tc>
          <w:tcPr>
            <w:tcW w:w="7201" w:type="dxa"/>
            <w:gridSpan w:val="3"/>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年加工1000万米文体用布（桌球布）项目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项目代码</w:t>
            </w:r>
          </w:p>
        </w:tc>
        <w:tc>
          <w:tcPr>
            <w:tcW w:w="7201" w:type="dxa"/>
            <w:gridSpan w:val="3"/>
            <w:vAlign w:val="center"/>
          </w:tcPr>
          <w:p>
            <w:pPr>
              <w:adjustRightInd w:val="0"/>
              <w:snapToGrid w:val="0"/>
              <w:jc w:val="center"/>
              <w:rPr>
                <w:color w:val="auto"/>
                <w:szCs w:val="21"/>
              </w:rPr>
            </w:pPr>
            <w:r>
              <w:rPr>
                <w:rFonts w:hint="eastAsia"/>
                <w:color w:val="auto"/>
                <w:szCs w:val="21"/>
                <w:lang w:val="en-US" w:eastAsia="zh-CN"/>
              </w:rPr>
              <w:t>2602-320682-89-01-204692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建设单位联系人</w:t>
            </w:r>
          </w:p>
        </w:tc>
        <w:tc>
          <w:tcPr>
            <w:tcW w:w="2224"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 xml:space="preserve"> </w:t>
            </w:r>
          </w:p>
        </w:tc>
        <w:tc>
          <w:tcPr>
            <w:tcW w:w="1825" w:type="dxa"/>
            <w:vAlign w:val="center"/>
          </w:tcPr>
          <w:p>
            <w:pPr>
              <w:adjustRightInd w:val="0"/>
              <w:snapToGrid w:val="0"/>
              <w:jc w:val="center"/>
              <w:rPr>
                <w:color w:val="auto"/>
                <w:szCs w:val="21"/>
              </w:rPr>
            </w:pPr>
            <w:r>
              <w:rPr>
                <w:color w:val="auto"/>
                <w:szCs w:val="21"/>
              </w:rPr>
              <w:t>联系方式</w:t>
            </w:r>
          </w:p>
        </w:tc>
        <w:tc>
          <w:tcPr>
            <w:tcW w:w="3152" w:type="dxa"/>
            <w:vAlign w:val="center"/>
          </w:tcPr>
          <w:p>
            <w:pPr>
              <w:adjustRightInd w:val="0"/>
              <w:snapToGrid w:val="0"/>
              <w:jc w:val="center"/>
              <w:rPr>
                <w:rFonts w:hint="eastAsia" w:eastAsia="宋体"/>
                <w:color w:val="auto"/>
                <w:szCs w:val="21"/>
                <w:lang w:eastAsia="zh-CN"/>
              </w:rPr>
            </w:pPr>
            <w:r>
              <w:rPr>
                <w:rFonts w:hint="eastAsia"/>
                <w:color w:val="auto"/>
                <w:szCs w:val="21"/>
                <w:lang w:val="en-US" w:eastAsia="zh-CN"/>
              </w:rPr>
              <w:t xml:space="preserve"> </w:t>
            </w:r>
            <w:bookmarkStart w:id="32" w:name="_GoBack"/>
            <w:bookmarkEnd w:id="32"/>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70"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建设地点</w:t>
            </w:r>
          </w:p>
        </w:tc>
        <w:tc>
          <w:tcPr>
            <w:tcW w:w="7201" w:type="dxa"/>
            <w:gridSpan w:val="3"/>
            <w:vAlign w:val="center"/>
          </w:tcPr>
          <w:p>
            <w:pPr>
              <w:adjustRightInd w:val="0"/>
              <w:snapToGrid w:val="0"/>
              <w:jc w:val="center"/>
              <w:rPr>
                <w:color w:val="auto"/>
                <w:kern w:val="0"/>
                <w:szCs w:val="21"/>
                <w:u w:val="single"/>
              </w:rPr>
            </w:pPr>
            <w:r>
              <w:rPr>
                <w:rFonts w:hint="eastAsia"/>
                <w:color w:val="auto"/>
                <w:szCs w:val="21"/>
              </w:rPr>
              <w:t>江苏省南通市</w:t>
            </w:r>
            <w:r>
              <w:rPr>
                <w:rFonts w:hint="eastAsia"/>
                <w:color w:val="auto"/>
                <w:szCs w:val="21"/>
                <w:lang w:val="en-US" w:eastAsia="zh-CN"/>
              </w:rPr>
              <w:t>如皋市九华镇马桥村18组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地理坐标</w:t>
            </w:r>
          </w:p>
        </w:tc>
        <w:tc>
          <w:tcPr>
            <w:tcW w:w="7201" w:type="dxa"/>
            <w:gridSpan w:val="3"/>
            <w:vAlign w:val="center"/>
          </w:tcPr>
          <w:p>
            <w:pPr>
              <w:jc w:val="center"/>
              <w:rPr>
                <w:color w:val="auto"/>
                <w:szCs w:val="21"/>
              </w:rPr>
            </w:pPr>
            <w:r>
              <w:rPr>
                <w:color w:val="FF0000"/>
                <w:szCs w:val="21"/>
              </w:rPr>
              <w:t>（</w:t>
            </w:r>
            <w:r>
              <w:rPr>
                <w:color w:val="FF0000"/>
                <w:szCs w:val="21"/>
                <w:u w:val="single"/>
              </w:rPr>
              <w:t xml:space="preserve"> 120 </w:t>
            </w:r>
            <w:r>
              <w:rPr>
                <w:color w:val="FF0000"/>
                <w:szCs w:val="21"/>
              </w:rPr>
              <w:t>度</w:t>
            </w:r>
            <w:r>
              <w:rPr>
                <w:color w:val="FF0000"/>
                <w:szCs w:val="21"/>
                <w:u w:val="single"/>
              </w:rPr>
              <w:t xml:space="preserve"> </w:t>
            </w:r>
            <w:r>
              <w:rPr>
                <w:rFonts w:hint="eastAsia"/>
                <w:color w:val="FF0000"/>
                <w:szCs w:val="21"/>
                <w:u w:val="single"/>
                <w:lang w:val="en-US" w:eastAsia="zh-CN"/>
              </w:rPr>
              <w:t>39</w:t>
            </w:r>
            <w:r>
              <w:rPr>
                <w:color w:val="FF0000"/>
                <w:szCs w:val="21"/>
                <w:u w:val="single"/>
              </w:rPr>
              <w:t xml:space="preserve"> </w:t>
            </w:r>
            <w:r>
              <w:rPr>
                <w:color w:val="FF0000"/>
                <w:szCs w:val="21"/>
              </w:rPr>
              <w:t>分</w:t>
            </w:r>
            <w:r>
              <w:rPr>
                <w:rFonts w:hint="eastAsia"/>
                <w:color w:val="FF0000"/>
                <w:szCs w:val="21"/>
                <w:u w:val="single"/>
                <w:lang w:val="en-US" w:eastAsia="zh-CN"/>
              </w:rPr>
              <w:t>12.838</w:t>
            </w:r>
            <w:r>
              <w:rPr>
                <w:color w:val="FF0000"/>
                <w:szCs w:val="21"/>
                <w:u w:val="single"/>
              </w:rPr>
              <w:t xml:space="preserve"> </w:t>
            </w:r>
            <w:r>
              <w:rPr>
                <w:color w:val="FF0000"/>
                <w:szCs w:val="21"/>
              </w:rPr>
              <w:t>秒，</w:t>
            </w:r>
            <w:r>
              <w:rPr>
                <w:color w:val="FF0000"/>
                <w:szCs w:val="21"/>
                <w:u w:val="single"/>
              </w:rPr>
              <w:t xml:space="preserve"> </w:t>
            </w:r>
            <w:r>
              <w:rPr>
                <w:rFonts w:hint="eastAsia"/>
                <w:color w:val="FF0000"/>
                <w:szCs w:val="21"/>
                <w:u w:val="single"/>
              </w:rPr>
              <w:t>3</w:t>
            </w:r>
            <w:r>
              <w:rPr>
                <w:rFonts w:hint="eastAsia"/>
                <w:color w:val="FF0000"/>
                <w:szCs w:val="21"/>
                <w:u w:val="single"/>
                <w:lang w:val="en-US" w:eastAsia="zh-CN"/>
              </w:rPr>
              <w:t>2</w:t>
            </w:r>
            <w:r>
              <w:rPr>
                <w:color w:val="FF0000"/>
                <w:szCs w:val="21"/>
                <w:u w:val="single"/>
              </w:rPr>
              <w:t xml:space="preserve"> </w:t>
            </w:r>
            <w:r>
              <w:rPr>
                <w:color w:val="FF0000"/>
                <w:szCs w:val="21"/>
              </w:rPr>
              <w:t>度</w:t>
            </w:r>
            <w:r>
              <w:rPr>
                <w:color w:val="FF0000"/>
                <w:szCs w:val="21"/>
                <w:u w:val="single"/>
              </w:rPr>
              <w:t xml:space="preserve"> </w:t>
            </w:r>
            <w:r>
              <w:rPr>
                <w:rFonts w:hint="eastAsia"/>
                <w:color w:val="FF0000"/>
                <w:szCs w:val="21"/>
                <w:u w:val="single"/>
                <w:lang w:val="en-US" w:eastAsia="zh-CN"/>
              </w:rPr>
              <w:t>8</w:t>
            </w:r>
            <w:r>
              <w:rPr>
                <w:color w:val="FF0000"/>
                <w:szCs w:val="21"/>
                <w:u w:val="single"/>
              </w:rPr>
              <w:t xml:space="preserve"> </w:t>
            </w:r>
            <w:r>
              <w:rPr>
                <w:color w:val="FF0000"/>
                <w:szCs w:val="21"/>
              </w:rPr>
              <w:t>分</w:t>
            </w:r>
            <w:r>
              <w:rPr>
                <w:color w:val="FF0000"/>
                <w:szCs w:val="21"/>
                <w:u w:val="single"/>
              </w:rPr>
              <w:t xml:space="preserve"> </w:t>
            </w:r>
            <w:r>
              <w:rPr>
                <w:rFonts w:hint="eastAsia"/>
                <w:color w:val="FF0000"/>
                <w:szCs w:val="21"/>
                <w:u w:val="single"/>
                <w:lang w:val="en-US" w:eastAsia="zh-CN"/>
              </w:rPr>
              <w:t>12.577</w:t>
            </w:r>
            <w:r>
              <w:rPr>
                <w:color w:val="FF0000"/>
                <w:szCs w:val="21"/>
                <w:u w:val="single"/>
              </w:rPr>
              <w:t xml:space="preserve"> </w:t>
            </w:r>
            <w:r>
              <w:rPr>
                <w:color w:val="FF0000"/>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国民经济</w:t>
            </w:r>
          </w:p>
          <w:p>
            <w:pPr>
              <w:adjustRightInd w:val="0"/>
              <w:snapToGrid w:val="0"/>
              <w:jc w:val="center"/>
              <w:rPr>
                <w:color w:val="auto"/>
                <w:szCs w:val="21"/>
              </w:rPr>
            </w:pPr>
            <w:r>
              <w:rPr>
                <w:color w:val="auto"/>
                <w:szCs w:val="21"/>
              </w:rPr>
              <w:t>行业类别</w:t>
            </w:r>
          </w:p>
        </w:tc>
        <w:tc>
          <w:tcPr>
            <w:tcW w:w="2224" w:type="dxa"/>
            <w:vAlign w:val="center"/>
          </w:tcPr>
          <w:p>
            <w:pPr>
              <w:adjustRightInd w:val="0"/>
              <w:snapToGrid w:val="0"/>
              <w:jc w:val="center"/>
              <w:rPr>
                <w:rFonts w:hint="eastAsia" w:eastAsia="宋体"/>
                <w:color w:val="auto"/>
                <w:szCs w:val="21"/>
                <w:lang w:eastAsia="zh-CN"/>
              </w:rPr>
            </w:pPr>
            <w:r>
              <w:rPr>
                <w:rFonts w:hint="eastAsia"/>
                <w:color w:val="auto"/>
                <w:szCs w:val="21"/>
              </w:rPr>
              <w:t>C1789其他产业用纺织制成品制造</w:t>
            </w:r>
            <w:r>
              <w:rPr>
                <w:rFonts w:hint="eastAsia"/>
                <w:color w:val="FF0000"/>
                <w:lang w:eastAsia="zh-CN"/>
              </w:rPr>
              <w:t>、</w:t>
            </w:r>
            <w:r>
              <w:rPr>
                <w:rFonts w:hint="eastAsia" w:cs="Times New Roman"/>
                <w:color w:val="FF0000"/>
                <w:szCs w:val="21"/>
                <w:lang w:eastAsia="zh-CN"/>
              </w:rPr>
              <w:t>D4430热力生产和供应</w:t>
            </w:r>
          </w:p>
        </w:tc>
        <w:tc>
          <w:tcPr>
            <w:tcW w:w="1825" w:type="dxa"/>
            <w:vAlign w:val="center"/>
          </w:tcPr>
          <w:p>
            <w:pPr>
              <w:adjustRightInd w:val="0"/>
              <w:snapToGrid w:val="0"/>
              <w:jc w:val="center"/>
              <w:rPr>
                <w:color w:val="auto"/>
                <w:szCs w:val="21"/>
              </w:rPr>
            </w:pPr>
            <w:bookmarkStart w:id="1" w:name="_Hlk49843745"/>
            <w:r>
              <w:rPr>
                <w:color w:val="auto"/>
                <w:szCs w:val="21"/>
              </w:rPr>
              <w:t>建设项目</w:t>
            </w:r>
          </w:p>
          <w:p>
            <w:pPr>
              <w:adjustRightInd w:val="0"/>
              <w:snapToGrid w:val="0"/>
              <w:jc w:val="center"/>
              <w:rPr>
                <w:color w:val="auto"/>
                <w:szCs w:val="21"/>
              </w:rPr>
            </w:pPr>
            <w:r>
              <w:rPr>
                <w:color w:val="auto"/>
                <w:szCs w:val="21"/>
              </w:rPr>
              <w:t>行业类别</w:t>
            </w:r>
            <w:bookmarkEnd w:id="1"/>
          </w:p>
        </w:tc>
        <w:tc>
          <w:tcPr>
            <w:tcW w:w="3152" w:type="dxa"/>
            <w:vAlign w:val="center"/>
          </w:tcPr>
          <w:p>
            <w:pPr>
              <w:adjustRightInd w:val="0"/>
              <w:snapToGrid w:val="0"/>
              <w:jc w:val="both"/>
              <w:rPr>
                <w:color w:val="auto"/>
                <w:szCs w:val="21"/>
              </w:rPr>
            </w:pPr>
            <w:r>
              <w:rPr>
                <w:rFonts w:hint="eastAsia" w:eastAsia="宋体"/>
                <w:color w:val="FF0000"/>
                <w:szCs w:val="21"/>
              </w:rPr>
              <w:t>四十</w:t>
            </w:r>
            <w:r>
              <w:rPr>
                <w:rFonts w:hint="eastAsia" w:eastAsia="宋体"/>
                <w:color w:val="FF0000"/>
                <w:szCs w:val="21"/>
                <w:lang w:val="en-US" w:eastAsia="zh-CN"/>
              </w:rPr>
              <w:t>一</w:t>
            </w:r>
            <w:r>
              <w:rPr>
                <w:rFonts w:hint="eastAsia" w:eastAsia="宋体"/>
                <w:color w:val="FF0000"/>
                <w:szCs w:val="21"/>
              </w:rPr>
              <w:t>、</w:t>
            </w:r>
            <w:r>
              <w:rPr>
                <w:rFonts w:hint="eastAsia" w:eastAsia="宋体"/>
                <w:color w:val="FF0000"/>
                <w:szCs w:val="21"/>
                <w:lang w:val="en-US" w:eastAsia="zh-CN"/>
              </w:rPr>
              <w:t>电力、热力生产和供应业91热力生产和供应工程（包括建设单位自建自用的供热工程）、使用其他高污染燃料的</w:t>
            </w:r>
            <w:r>
              <w:rPr>
                <w:rFonts w:hint="eastAsia"/>
                <w:color w:val="FF0000"/>
                <w:szCs w:val="21"/>
                <w:lang w:val="en-US" w:eastAsia="zh-CN"/>
              </w:rPr>
              <w:t>（</w:t>
            </w:r>
            <w:r>
              <w:rPr>
                <w:rFonts w:hint="eastAsia" w:eastAsia="宋体"/>
                <w:color w:val="FF0000"/>
                <w:szCs w:val="21"/>
                <w:lang w:val="en-US" w:eastAsia="zh-CN"/>
              </w:rPr>
              <w:t>高污染燃料指国环规大气</w:t>
            </w:r>
            <w:r>
              <w:rPr>
                <w:rFonts w:hint="eastAsia" w:ascii="Times New Roman" w:hAnsi="Times New Roman" w:eastAsia="宋体" w:cs="Times New Roman"/>
                <w:color w:val="FF0000"/>
                <w:szCs w:val="21"/>
                <w:lang w:val="en-US" w:eastAsia="zh-CN"/>
              </w:rPr>
              <w:t>〔201</w:t>
            </w:r>
            <w:r>
              <w:rPr>
                <w:rFonts w:hint="eastAsia" w:eastAsia="宋体"/>
                <w:color w:val="FF0000"/>
                <w:szCs w:val="21"/>
                <w:lang w:val="en-US" w:eastAsia="zh-CN"/>
              </w:rPr>
              <w:t>7〕2号《高污染燃料目录》中规定的燃料）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建设性质</w:t>
            </w:r>
          </w:p>
        </w:tc>
        <w:tc>
          <w:tcPr>
            <w:tcW w:w="2224" w:type="dxa"/>
            <w:vAlign w:val="center"/>
          </w:tcPr>
          <w:p>
            <w:pPr>
              <w:jc w:val="left"/>
              <w:rPr>
                <w:color w:val="auto"/>
                <w:szCs w:val="21"/>
              </w:rPr>
            </w:pPr>
            <w:r>
              <w:rPr>
                <w:color w:val="auto"/>
                <w:szCs w:val="21"/>
              </w:rPr>
              <w:sym w:font="Wingdings 2" w:char="0052"/>
            </w:r>
            <w:r>
              <w:rPr>
                <w:color w:val="auto"/>
                <w:szCs w:val="21"/>
              </w:rPr>
              <w:t>新建（迁建）</w:t>
            </w:r>
          </w:p>
          <w:p>
            <w:pPr>
              <w:jc w:val="left"/>
              <w:rPr>
                <w:color w:val="auto"/>
                <w:szCs w:val="21"/>
              </w:rPr>
            </w:pPr>
            <w:r>
              <w:rPr>
                <w:color w:val="auto"/>
                <w:szCs w:val="21"/>
              </w:rPr>
              <w:sym w:font="Wingdings 2" w:char="00A3"/>
            </w:r>
            <w:r>
              <w:rPr>
                <w:color w:val="auto"/>
                <w:szCs w:val="21"/>
              </w:rPr>
              <w:t>改建</w:t>
            </w:r>
          </w:p>
          <w:p>
            <w:pPr>
              <w:jc w:val="left"/>
              <w:rPr>
                <w:color w:val="auto"/>
                <w:szCs w:val="21"/>
              </w:rPr>
            </w:pPr>
            <w:r>
              <w:rPr>
                <w:color w:val="auto"/>
                <w:szCs w:val="21"/>
              </w:rPr>
              <w:sym w:font="Wingdings 2" w:char="00A3"/>
            </w:r>
            <w:r>
              <w:rPr>
                <w:color w:val="auto"/>
                <w:szCs w:val="21"/>
              </w:rPr>
              <w:t>扩建</w:t>
            </w:r>
          </w:p>
          <w:p>
            <w:pPr>
              <w:jc w:val="left"/>
              <w:rPr>
                <w:color w:val="auto"/>
                <w:szCs w:val="21"/>
              </w:rPr>
            </w:pPr>
            <w:r>
              <w:rPr>
                <w:color w:val="auto"/>
                <w:szCs w:val="21"/>
              </w:rPr>
              <w:sym w:font="Wingdings 2" w:char="00A3"/>
            </w:r>
            <w:r>
              <w:rPr>
                <w:color w:val="auto"/>
                <w:szCs w:val="21"/>
              </w:rPr>
              <w:t>技术改造</w:t>
            </w:r>
          </w:p>
        </w:tc>
        <w:tc>
          <w:tcPr>
            <w:tcW w:w="1825" w:type="dxa"/>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申报情形</w:t>
            </w:r>
          </w:p>
        </w:tc>
        <w:tc>
          <w:tcPr>
            <w:tcW w:w="3152" w:type="dxa"/>
            <w:vAlign w:val="center"/>
          </w:tcPr>
          <w:p>
            <w:pPr>
              <w:jc w:val="left"/>
              <w:rPr>
                <w:color w:val="auto"/>
                <w:szCs w:val="21"/>
              </w:rPr>
            </w:pPr>
            <w:r>
              <w:rPr>
                <w:color w:val="auto"/>
                <w:szCs w:val="21"/>
              </w:rPr>
              <w:sym w:font="Wingdings 2" w:char="F052"/>
            </w:r>
            <w:r>
              <w:rPr>
                <w:color w:val="auto"/>
                <w:szCs w:val="21"/>
              </w:rPr>
              <w:t xml:space="preserve">首次申报项目 </w:t>
            </w:r>
          </w:p>
          <w:p>
            <w:pPr>
              <w:jc w:val="left"/>
              <w:rPr>
                <w:color w:val="auto"/>
                <w:szCs w:val="21"/>
              </w:rPr>
            </w:pPr>
            <w:r>
              <w:rPr>
                <w:color w:val="auto"/>
                <w:szCs w:val="21"/>
              </w:rPr>
              <w:sym w:font="Wingdings 2" w:char="00A3"/>
            </w:r>
            <w:r>
              <w:rPr>
                <w:color w:val="auto"/>
                <w:szCs w:val="21"/>
              </w:rPr>
              <w:t>不予批准后再次申报项目</w:t>
            </w:r>
          </w:p>
          <w:p>
            <w:pPr>
              <w:jc w:val="left"/>
              <w:rPr>
                <w:color w:val="auto"/>
                <w:szCs w:val="21"/>
              </w:rPr>
            </w:pPr>
            <w:r>
              <w:rPr>
                <w:color w:val="auto"/>
                <w:szCs w:val="21"/>
              </w:rPr>
              <w:sym w:font="Wingdings 2" w:char="00A3"/>
            </w:r>
            <w:r>
              <w:rPr>
                <w:color w:val="auto"/>
                <w:szCs w:val="21"/>
              </w:rPr>
              <w:t>超五年重新审核项目</w:t>
            </w:r>
          </w:p>
          <w:p>
            <w:pPr>
              <w:jc w:val="left"/>
              <w:rPr>
                <w:color w:val="auto"/>
                <w:szCs w:val="21"/>
              </w:rPr>
            </w:pPr>
            <w:r>
              <w:rPr>
                <w:color w:val="auto"/>
                <w:szCs w:val="21"/>
              </w:rPr>
              <w:sym w:font="Wingdings 2" w:char="00A3"/>
            </w:r>
            <w:r>
              <w:rPr>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项目审批（核准/备案）部门（选填）</w:t>
            </w:r>
          </w:p>
        </w:tc>
        <w:tc>
          <w:tcPr>
            <w:tcW w:w="2224" w:type="dxa"/>
            <w:vAlign w:val="center"/>
          </w:tcPr>
          <w:p>
            <w:pPr>
              <w:adjustRightInd w:val="0"/>
              <w:snapToGrid w:val="0"/>
              <w:jc w:val="center"/>
              <w:rPr>
                <w:color w:val="auto"/>
                <w:szCs w:val="21"/>
              </w:rPr>
            </w:pPr>
            <w:r>
              <w:rPr>
                <w:rFonts w:hint="eastAsia"/>
                <w:color w:val="auto"/>
                <w:szCs w:val="21"/>
                <w:lang w:val="en-US" w:eastAsia="zh-CN"/>
              </w:rPr>
              <w:t>如皋</w:t>
            </w:r>
            <w:r>
              <w:rPr>
                <w:color w:val="auto"/>
                <w:szCs w:val="21"/>
              </w:rPr>
              <w:t>市</w:t>
            </w:r>
            <w:r>
              <w:rPr>
                <w:rFonts w:hint="eastAsia"/>
                <w:color w:val="auto"/>
                <w:szCs w:val="21"/>
              </w:rPr>
              <w:t>数据局</w:t>
            </w:r>
          </w:p>
        </w:tc>
        <w:tc>
          <w:tcPr>
            <w:tcW w:w="1825" w:type="dxa"/>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备案）文号（选填）</w:t>
            </w:r>
          </w:p>
        </w:tc>
        <w:tc>
          <w:tcPr>
            <w:tcW w:w="3152" w:type="dxa"/>
            <w:vAlign w:val="center"/>
          </w:tcPr>
          <w:p>
            <w:pPr>
              <w:adjustRightInd w:val="0"/>
              <w:snapToGrid w:val="0"/>
              <w:jc w:val="center"/>
              <w:rPr>
                <w:color w:val="auto"/>
                <w:szCs w:val="21"/>
              </w:rPr>
            </w:pPr>
            <w:r>
              <w:rPr>
                <w:rFonts w:hint="eastAsia"/>
                <w:color w:val="auto"/>
                <w:szCs w:val="21"/>
                <w:lang w:val="en-US" w:eastAsia="zh-CN"/>
              </w:rPr>
              <w:t>皋数据备〔2026〕375号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总投资（万元）</w:t>
            </w:r>
          </w:p>
        </w:tc>
        <w:tc>
          <w:tcPr>
            <w:tcW w:w="2224"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8000</w:t>
            </w:r>
          </w:p>
        </w:tc>
        <w:tc>
          <w:tcPr>
            <w:tcW w:w="1825" w:type="dxa"/>
            <w:tcMar>
              <w:top w:w="16" w:type="dxa"/>
              <w:left w:w="16" w:type="dxa"/>
              <w:right w:w="16" w:type="dxa"/>
            </w:tcMar>
            <w:vAlign w:val="center"/>
          </w:tcPr>
          <w:p>
            <w:pPr>
              <w:adjustRightInd w:val="0"/>
              <w:snapToGrid w:val="0"/>
              <w:jc w:val="center"/>
              <w:rPr>
                <w:color w:val="auto"/>
                <w:szCs w:val="21"/>
              </w:rPr>
            </w:pPr>
            <w:r>
              <w:rPr>
                <w:color w:val="auto"/>
                <w:szCs w:val="21"/>
              </w:rPr>
              <w:t>环保投资（万元）</w:t>
            </w:r>
          </w:p>
        </w:tc>
        <w:tc>
          <w:tcPr>
            <w:tcW w:w="3152"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环保投资占比（%）</w:t>
            </w:r>
          </w:p>
        </w:tc>
        <w:tc>
          <w:tcPr>
            <w:tcW w:w="2224" w:type="dxa"/>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1.25</w:t>
            </w:r>
          </w:p>
        </w:tc>
        <w:tc>
          <w:tcPr>
            <w:tcW w:w="1825" w:type="dxa"/>
            <w:tcMar>
              <w:top w:w="16" w:type="dxa"/>
              <w:left w:w="16" w:type="dxa"/>
              <w:right w:w="16" w:type="dxa"/>
            </w:tcMar>
            <w:vAlign w:val="center"/>
          </w:tcPr>
          <w:p>
            <w:pPr>
              <w:adjustRightInd w:val="0"/>
              <w:snapToGrid w:val="0"/>
              <w:jc w:val="center"/>
              <w:rPr>
                <w:color w:val="auto"/>
                <w:szCs w:val="21"/>
              </w:rPr>
            </w:pPr>
            <w:r>
              <w:rPr>
                <w:color w:val="auto"/>
                <w:szCs w:val="21"/>
              </w:rPr>
              <w:t>施工工期</w:t>
            </w:r>
          </w:p>
        </w:tc>
        <w:tc>
          <w:tcPr>
            <w:tcW w:w="3152" w:type="dxa"/>
            <w:vAlign w:val="center"/>
          </w:tcPr>
          <w:p>
            <w:pPr>
              <w:adjustRightInd w:val="0"/>
              <w:snapToGrid w:val="0"/>
              <w:jc w:val="center"/>
              <w:rPr>
                <w:color w:val="auto"/>
                <w:szCs w:val="21"/>
              </w:rPr>
            </w:pPr>
            <w:r>
              <w:rPr>
                <w:rFonts w:hint="eastAsia"/>
                <w:color w:val="auto"/>
                <w:szCs w:val="21"/>
              </w:rPr>
              <w:t>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623" w:type="dxa"/>
            <w:gridSpan w:val="2"/>
            <w:tcMar>
              <w:top w:w="16" w:type="dxa"/>
              <w:left w:w="16" w:type="dxa"/>
              <w:right w:w="16" w:type="dxa"/>
            </w:tcMar>
            <w:vAlign w:val="center"/>
          </w:tcPr>
          <w:p>
            <w:pPr>
              <w:adjustRightInd w:val="0"/>
              <w:snapToGrid w:val="0"/>
              <w:jc w:val="center"/>
              <w:rPr>
                <w:color w:val="auto"/>
                <w:szCs w:val="21"/>
              </w:rPr>
            </w:pPr>
            <w:r>
              <w:rPr>
                <w:color w:val="auto"/>
                <w:szCs w:val="21"/>
              </w:rPr>
              <w:t>是否开工建设</w:t>
            </w:r>
          </w:p>
        </w:tc>
        <w:tc>
          <w:tcPr>
            <w:tcW w:w="2224" w:type="dxa"/>
            <w:vAlign w:val="center"/>
          </w:tcPr>
          <w:p>
            <w:pPr>
              <w:adjustRightInd w:val="0"/>
              <w:snapToGrid w:val="0"/>
              <w:rPr>
                <w:color w:val="auto"/>
                <w:szCs w:val="21"/>
              </w:rPr>
            </w:pPr>
            <w:r>
              <w:rPr>
                <w:color w:val="auto"/>
                <w:szCs w:val="21"/>
              </w:rPr>
              <w:sym w:font="Wingdings 2" w:char="F052"/>
            </w:r>
            <w:r>
              <w:rPr>
                <w:color w:val="auto"/>
                <w:szCs w:val="21"/>
              </w:rPr>
              <w:t xml:space="preserve">否   </w:t>
            </w:r>
            <w:r>
              <w:rPr>
                <w:color w:val="auto"/>
                <w:szCs w:val="21"/>
              </w:rPr>
              <w:sym w:font="Wingdings 2" w:char="00A3"/>
            </w:r>
            <w:r>
              <w:rPr>
                <w:color w:val="auto"/>
                <w:szCs w:val="21"/>
              </w:rPr>
              <w:t>是：</w:t>
            </w:r>
          </w:p>
        </w:tc>
        <w:tc>
          <w:tcPr>
            <w:tcW w:w="1825" w:type="dxa"/>
            <w:tcMar>
              <w:top w:w="16" w:type="dxa"/>
              <w:left w:w="16" w:type="dxa"/>
              <w:right w:w="16" w:type="dxa"/>
            </w:tcMar>
            <w:vAlign w:val="center"/>
          </w:tcPr>
          <w:p>
            <w:pPr>
              <w:adjustRightInd w:val="0"/>
              <w:snapToGrid w:val="0"/>
              <w:jc w:val="center"/>
              <w:rPr>
                <w:color w:val="auto"/>
                <w:szCs w:val="21"/>
              </w:rPr>
            </w:pPr>
            <w:r>
              <w:rPr>
                <w:color w:val="auto"/>
                <w:szCs w:val="21"/>
              </w:rPr>
              <w:t>用地（用海）</w:t>
            </w:r>
          </w:p>
          <w:p>
            <w:pPr>
              <w:adjustRightInd w:val="0"/>
              <w:snapToGrid w:val="0"/>
              <w:jc w:val="center"/>
              <w:rPr>
                <w:color w:val="auto"/>
                <w:szCs w:val="21"/>
              </w:rPr>
            </w:pPr>
            <w:r>
              <w:rPr>
                <w:color w:val="auto"/>
                <w:szCs w:val="21"/>
              </w:rPr>
              <w:t>面积（m</w:t>
            </w:r>
            <w:r>
              <w:rPr>
                <w:color w:val="auto"/>
                <w:szCs w:val="21"/>
                <w:vertAlign w:val="superscript"/>
              </w:rPr>
              <w:t>2</w:t>
            </w:r>
            <w:r>
              <w:rPr>
                <w:color w:val="auto"/>
                <w:szCs w:val="21"/>
              </w:rPr>
              <w:t>）</w:t>
            </w:r>
          </w:p>
        </w:tc>
        <w:tc>
          <w:tcPr>
            <w:tcW w:w="3152" w:type="dxa"/>
            <w:vAlign w:val="center"/>
          </w:tcPr>
          <w:p>
            <w:pPr>
              <w:adjustRightInd w:val="0"/>
              <w:snapToGrid w:val="0"/>
              <w:jc w:val="center"/>
              <w:rPr>
                <w:color w:val="auto"/>
                <w:szCs w:val="21"/>
              </w:rPr>
            </w:pPr>
            <w:r>
              <w:rPr>
                <w:rFonts w:hint="eastAsia" w:eastAsia="宋体"/>
                <w:color w:val="auto"/>
                <w:szCs w:val="21"/>
              </w:rPr>
              <w:t>租用南通华胜数码纺织科技有限公司位于如皋市九华镇马桥村18组现有厂房</w:t>
            </w:r>
            <w:r>
              <w:rPr>
                <w:rFonts w:hint="eastAsia" w:eastAsia="宋体"/>
                <w:color w:val="auto"/>
                <w:szCs w:val="21"/>
                <w:lang w:eastAsia="zh-CN"/>
              </w:rPr>
              <w:t>（</w:t>
            </w:r>
            <w:r>
              <w:rPr>
                <w:rFonts w:hint="eastAsia" w:eastAsia="宋体"/>
                <w:color w:val="auto"/>
                <w:szCs w:val="21"/>
                <w:lang w:val="en-US" w:eastAsia="zh-CN"/>
              </w:rPr>
              <w:t>1200m</w:t>
            </w:r>
            <w:r>
              <w:rPr>
                <w:rFonts w:hint="eastAsia" w:eastAsia="宋体"/>
                <w:color w:val="auto"/>
                <w:szCs w:val="21"/>
                <w:vertAlign w:val="superscript"/>
                <w:lang w:val="en-US" w:eastAsia="zh-CN"/>
              </w:rPr>
              <w:t>2</w:t>
            </w:r>
            <w:r>
              <w:rPr>
                <w:rFonts w:hint="eastAsia" w:eastAsia="宋体"/>
                <w:color w:val="auto"/>
                <w:szCs w:val="21"/>
                <w:lang w:eastAsia="zh-CN"/>
              </w:rPr>
              <w:t>）</w:t>
            </w:r>
            <w:r>
              <w:rPr>
                <w:rFonts w:eastAsia="宋体"/>
                <w:color w:val="auto"/>
                <w:szCs w:val="21"/>
              </w:rPr>
              <w:t>，</w:t>
            </w:r>
            <w:r>
              <w:rPr>
                <w:color w:val="auto"/>
                <w:szCs w:val="21"/>
              </w:rPr>
              <w:t>不新增用地面积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13" w:type="dxa"/>
            <w:vAlign w:val="center"/>
          </w:tcPr>
          <w:p>
            <w:pPr>
              <w:autoSpaceDE w:val="0"/>
              <w:autoSpaceDN w:val="0"/>
              <w:adjustRightInd w:val="0"/>
              <w:snapToGrid w:val="0"/>
              <w:jc w:val="center"/>
              <w:rPr>
                <w:color w:val="auto"/>
                <w:kern w:val="0"/>
                <w:szCs w:val="21"/>
              </w:rPr>
            </w:pPr>
            <w:r>
              <w:rPr>
                <w:color w:val="auto"/>
                <w:kern w:val="0"/>
                <w:szCs w:val="21"/>
              </w:rPr>
              <w:t>专项评价设置情况</w:t>
            </w:r>
          </w:p>
        </w:tc>
        <w:tc>
          <w:tcPr>
            <w:tcW w:w="8011" w:type="dxa"/>
            <w:gridSpan w:val="4"/>
            <w:vAlign w:val="center"/>
          </w:tcPr>
          <w:p>
            <w:pPr>
              <w:autoSpaceDE w:val="0"/>
              <w:autoSpaceDN w:val="0"/>
              <w:adjustRightInd w:val="0"/>
              <w:snapToGrid w:val="0"/>
              <w:spacing w:line="360" w:lineRule="auto"/>
              <w:ind w:firstLine="420" w:firstLineChars="200"/>
              <w:jc w:val="left"/>
              <w:rPr>
                <w:color w:val="FF0000"/>
                <w:kern w:val="0"/>
                <w:sz w:val="24"/>
              </w:rPr>
            </w:pPr>
            <w:r>
              <w:rPr>
                <w:color w:val="FF0000"/>
                <w:kern w:val="0"/>
                <w:szCs w:val="21"/>
              </w:rPr>
              <w:t>根据《建设项目环境影响报告表编制技</w:t>
            </w:r>
            <w:r>
              <w:rPr>
                <w:rFonts w:ascii="Times New Roman" w:hAnsi="Times New Roman" w:eastAsia="宋体" w:cs="Times New Roman"/>
                <w:color w:val="FF0000"/>
                <w:kern w:val="0"/>
                <w:szCs w:val="21"/>
              </w:rPr>
              <w:t>术指南（污染影响类）》（试行）中表1专项评价设置原则表</w:t>
            </w:r>
            <w:r>
              <w:rPr>
                <w:rFonts w:hint="eastAsia" w:ascii="Times New Roman" w:hAnsi="Times New Roman" w:eastAsia="宋体" w:cs="Times New Roman"/>
                <w:color w:val="FF0000"/>
                <w:kern w:val="0"/>
                <w:szCs w:val="21"/>
              </w:rPr>
              <w:t>，本项目专项设置情况判断如下：</w:t>
            </w:r>
          </w:p>
          <w:p>
            <w:pPr>
              <w:autoSpaceDE w:val="0"/>
              <w:autoSpaceDN w:val="0"/>
              <w:adjustRightInd w:val="0"/>
              <w:snapToGrid w:val="0"/>
              <w:jc w:val="center"/>
              <w:rPr>
                <w:color w:val="FF0000"/>
                <w:sz w:val="21"/>
                <w:szCs w:val="21"/>
              </w:rPr>
            </w:pPr>
            <w:r>
              <w:rPr>
                <w:rFonts w:hint="eastAsia"/>
                <w:b/>
                <w:bCs/>
                <w:color w:val="FF0000"/>
                <w:kern w:val="0"/>
                <w:sz w:val="21"/>
                <w:szCs w:val="21"/>
              </w:rPr>
              <w:t>表1-1 专项设置情况判断表</w:t>
            </w:r>
          </w:p>
          <w:tbl>
            <w:tblPr>
              <w:tblStyle w:val="91"/>
              <w:tblW w:w="8788" w:type="dxa"/>
              <w:tblInd w:w="17"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38"/>
              <w:gridCol w:w="2852"/>
              <w:gridCol w:w="2606"/>
              <w:gridCol w:w="996"/>
              <w:gridCol w:w="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tcBorders>
                    <w:bottom w:val="single" w:color="auto" w:sz="12" w:space="0"/>
                  </w:tcBorders>
                  <w:vAlign w:val="center"/>
                </w:tcPr>
                <w:p>
                  <w:pPr>
                    <w:autoSpaceDE w:val="0"/>
                    <w:autoSpaceDN w:val="0"/>
                    <w:adjustRightInd w:val="0"/>
                    <w:snapToGrid w:val="0"/>
                    <w:jc w:val="center"/>
                    <w:rPr>
                      <w:b/>
                      <w:bCs/>
                      <w:color w:val="FF0000"/>
                      <w:sz w:val="20"/>
                      <w:szCs w:val="22"/>
                    </w:rPr>
                  </w:pPr>
                  <w:r>
                    <w:rPr>
                      <w:rFonts w:hint="eastAsia"/>
                      <w:b/>
                      <w:bCs/>
                      <w:color w:val="FF0000"/>
                      <w:sz w:val="20"/>
                      <w:szCs w:val="22"/>
                    </w:rPr>
                    <w:t>专项评价的类别</w:t>
                  </w:r>
                </w:p>
              </w:tc>
              <w:tc>
                <w:tcPr>
                  <w:tcW w:w="1622" w:type="pct"/>
                  <w:tcBorders>
                    <w:bottom w:val="single" w:color="auto" w:sz="12" w:space="0"/>
                  </w:tcBorders>
                  <w:vAlign w:val="center"/>
                </w:tcPr>
                <w:p>
                  <w:pPr>
                    <w:autoSpaceDE w:val="0"/>
                    <w:autoSpaceDN w:val="0"/>
                    <w:adjustRightInd w:val="0"/>
                    <w:snapToGrid w:val="0"/>
                    <w:jc w:val="center"/>
                    <w:rPr>
                      <w:b/>
                      <w:bCs/>
                      <w:color w:val="FF0000"/>
                      <w:sz w:val="20"/>
                      <w:szCs w:val="22"/>
                    </w:rPr>
                  </w:pPr>
                  <w:r>
                    <w:rPr>
                      <w:rFonts w:hint="eastAsia"/>
                      <w:b/>
                      <w:bCs/>
                      <w:color w:val="FF0000"/>
                      <w:sz w:val="20"/>
                      <w:szCs w:val="22"/>
                    </w:rPr>
                    <w:t>设置原则</w:t>
                  </w:r>
                </w:p>
              </w:tc>
              <w:tc>
                <w:tcPr>
                  <w:tcW w:w="1482" w:type="pct"/>
                  <w:tcBorders>
                    <w:bottom w:val="single" w:color="auto" w:sz="12" w:space="0"/>
                  </w:tcBorders>
                  <w:vAlign w:val="center"/>
                </w:tcPr>
                <w:p>
                  <w:pPr>
                    <w:autoSpaceDE w:val="0"/>
                    <w:autoSpaceDN w:val="0"/>
                    <w:adjustRightInd w:val="0"/>
                    <w:snapToGrid w:val="0"/>
                    <w:jc w:val="center"/>
                    <w:rPr>
                      <w:b/>
                      <w:bCs/>
                      <w:color w:val="FF0000"/>
                      <w:sz w:val="20"/>
                      <w:szCs w:val="22"/>
                    </w:rPr>
                  </w:pPr>
                  <w:r>
                    <w:rPr>
                      <w:rFonts w:hint="eastAsia"/>
                      <w:b/>
                      <w:bCs/>
                      <w:color w:val="FF0000"/>
                      <w:sz w:val="20"/>
                      <w:szCs w:val="22"/>
                    </w:rPr>
                    <w:t>本项目情况</w:t>
                  </w:r>
                </w:p>
              </w:tc>
              <w:tc>
                <w:tcPr>
                  <w:tcW w:w="566" w:type="pct"/>
                  <w:tcBorders>
                    <w:bottom w:val="single" w:color="auto" w:sz="12" w:space="0"/>
                  </w:tcBorders>
                  <w:vAlign w:val="center"/>
                </w:tcPr>
                <w:p>
                  <w:pPr>
                    <w:autoSpaceDE w:val="0"/>
                    <w:autoSpaceDN w:val="0"/>
                    <w:adjustRightInd w:val="0"/>
                    <w:snapToGrid w:val="0"/>
                    <w:jc w:val="center"/>
                    <w:rPr>
                      <w:b/>
                      <w:bCs/>
                      <w:color w:val="FF0000"/>
                      <w:sz w:val="20"/>
                      <w:szCs w:val="22"/>
                    </w:rPr>
                  </w:pPr>
                  <w:r>
                    <w:rPr>
                      <w:rFonts w:hint="eastAsia"/>
                      <w:b/>
                      <w:bCs/>
                      <w:color w:val="FF0000"/>
                      <w:sz w:val="20"/>
                      <w:szCs w:val="22"/>
                    </w:rPr>
                    <w:t>是否设置专项</w:t>
                  </w:r>
                </w:p>
              </w:tc>
              <w:tc>
                <w:tcPr>
                  <w:tcW w:w="566" w:type="pct"/>
                  <w:tcBorders>
                    <w:bottom w:val="single" w:color="auto" w:sz="12" w:space="0"/>
                  </w:tcBorders>
                  <w:vAlign w:val="center"/>
                </w:tcPr>
                <w:p>
                  <w:pPr>
                    <w:autoSpaceDE w:val="0"/>
                    <w:autoSpaceDN w:val="0"/>
                    <w:adjustRightInd w:val="0"/>
                    <w:snapToGrid w:val="0"/>
                    <w:jc w:val="center"/>
                    <w:rPr>
                      <w:rFonts w:hint="eastAsia"/>
                      <w:b/>
                      <w:bCs/>
                      <w:color w:val="FF0000"/>
                      <w:sz w:val="20"/>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1" w:type="pct"/>
                  <w:tcBorders>
                    <w:top w:val="single" w:color="auto" w:sz="12" w:space="0"/>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大气</w:t>
                  </w:r>
                </w:p>
              </w:tc>
              <w:tc>
                <w:tcPr>
                  <w:tcW w:w="1622" w:type="pct"/>
                  <w:tcBorders>
                    <w:top w:val="single" w:color="auto" w:sz="12" w:space="0"/>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排放废气含有毒有害污染物、二噁英、苯并[a]芘、氰化物、氯气且厂界外 500 米范围内有环境空气保护目标的建设项目</w:t>
                  </w:r>
                </w:p>
              </w:tc>
              <w:tc>
                <w:tcPr>
                  <w:tcW w:w="1482" w:type="pct"/>
                  <w:tcBorders>
                    <w:top w:val="single" w:color="auto" w:sz="12" w:space="0"/>
                    <w:tl2br w:val="nil"/>
                    <w:tr2bl w:val="nil"/>
                  </w:tcBorders>
                  <w:vAlign w:val="center"/>
                </w:tcPr>
                <w:p>
                  <w:pPr>
                    <w:autoSpaceDE w:val="0"/>
                    <w:autoSpaceDN w:val="0"/>
                    <w:adjustRightInd w:val="0"/>
                    <w:snapToGrid w:val="0"/>
                    <w:jc w:val="center"/>
                    <w:rPr>
                      <w:color w:val="FF0000"/>
                      <w:sz w:val="20"/>
                      <w:szCs w:val="22"/>
                    </w:rPr>
                  </w:pPr>
                  <w:r>
                    <w:rPr>
                      <w:color w:val="FF0000"/>
                      <w:kern w:val="0"/>
                      <w:sz w:val="20"/>
                      <w:szCs w:val="20"/>
                    </w:rPr>
                    <w:t>本项目</w:t>
                  </w:r>
                  <w:r>
                    <w:rPr>
                      <w:rFonts w:hint="eastAsia"/>
                      <w:color w:val="FF0000"/>
                      <w:kern w:val="0"/>
                      <w:sz w:val="20"/>
                      <w:szCs w:val="20"/>
                    </w:rPr>
                    <w:t>排放废气含有毒有害污染物</w:t>
                  </w:r>
                  <w:r>
                    <w:rPr>
                      <w:rFonts w:hint="eastAsia"/>
                      <w:color w:val="FF0000"/>
                      <w:kern w:val="0"/>
                      <w:sz w:val="20"/>
                      <w:szCs w:val="20"/>
                      <w:lang w:eastAsia="zh-CN"/>
                    </w:rPr>
                    <w:t>（</w:t>
                  </w:r>
                  <w:r>
                    <w:rPr>
                      <w:rFonts w:hint="eastAsia"/>
                      <w:color w:val="FF0000"/>
                      <w:kern w:val="0"/>
                      <w:sz w:val="20"/>
                      <w:szCs w:val="20"/>
                      <w:lang w:val="en-US" w:eastAsia="zh-CN"/>
                    </w:rPr>
                    <w:t>汞</w:t>
                  </w:r>
                  <w:r>
                    <w:rPr>
                      <w:rFonts w:hint="eastAsia"/>
                      <w:color w:val="FF0000"/>
                      <w:kern w:val="0"/>
                      <w:sz w:val="20"/>
                      <w:szCs w:val="20"/>
                      <w:lang w:eastAsia="zh-CN"/>
                    </w:rPr>
                    <w:t>），</w:t>
                  </w:r>
                  <w:r>
                    <w:rPr>
                      <w:rFonts w:hint="eastAsia"/>
                      <w:color w:val="FF0000"/>
                      <w:kern w:val="0"/>
                      <w:sz w:val="20"/>
                      <w:szCs w:val="20"/>
                      <w:lang w:val="en-US" w:eastAsia="zh-CN"/>
                    </w:rPr>
                    <w:t>且界外500米范围内有环境空气保护目标</w:t>
                  </w:r>
                  <w:r>
                    <w:rPr>
                      <w:color w:val="FF0000"/>
                      <w:kern w:val="0"/>
                      <w:sz w:val="20"/>
                      <w:szCs w:val="20"/>
                    </w:rPr>
                    <w:t>，需设置</w:t>
                  </w:r>
                  <w:r>
                    <w:rPr>
                      <w:rFonts w:hint="eastAsia"/>
                      <w:color w:val="FF0000"/>
                      <w:kern w:val="0"/>
                      <w:sz w:val="20"/>
                      <w:szCs w:val="20"/>
                      <w:lang w:val="en-US" w:eastAsia="zh-CN"/>
                    </w:rPr>
                    <w:t>大气</w:t>
                  </w:r>
                  <w:r>
                    <w:rPr>
                      <w:color w:val="FF0000"/>
                      <w:kern w:val="0"/>
                      <w:sz w:val="20"/>
                      <w:szCs w:val="20"/>
                    </w:rPr>
                    <w:t>专项评价。</w:t>
                  </w:r>
                </w:p>
              </w:tc>
              <w:tc>
                <w:tcPr>
                  <w:tcW w:w="566" w:type="pct"/>
                  <w:tcBorders>
                    <w:top w:val="single" w:color="auto" w:sz="12" w:space="0"/>
                    <w:tl2br w:val="nil"/>
                    <w:tr2bl w:val="nil"/>
                  </w:tcBorders>
                  <w:vAlign w:val="center"/>
                </w:tcPr>
                <w:p>
                  <w:pPr>
                    <w:autoSpaceDE w:val="0"/>
                    <w:autoSpaceDN w:val="0"/>
                    <w:adjustRightInd w:val="0"/>
                    <w:snapToGrid w:val="0"/>
                    <w:jc w:val="center"/>
                    <w:rPr>
                      <w:rFonts w:hint="eastAsia" w:eastAsia="宋体"/>
                      <w:color w:val="FF0000"/>
                      <w:sz w:val="20"/>
                      <w:szCs w:val="22"/>
                      <w:lang w:eastAsia="zh-CN"/>
                    </w:rPr>
                  </w:pPr>
                  <w:r>
                    <w:rPr>
                      <w:rFonts w:hint="eastAsia"/>
                      <w:color w:val="FF0000"/>
                      <w:sz w:val="20"/>
                      <w:szCs w:val="22"/>
                      <w:lang w:val="en-US" w:eastAsia="zh-CN"/>
                    </w:rPr>
                    <w:t>是</w:t>
                  </w:r>
                </w:p>
              </w:tc>
              <w:tc>
                <w:tcPr>
                  <w:tcW w:w="566" w:type="pct"/>
                  <w:tcBorders>
                    <w:top w:val="single" w:color="auto" w:sz="12" w:space="0"/>
                    <w:tl2br w:val="nil"/>
                    <w:tr2bl w:val="nil"/>
                  </w:tcBorders>
                  <w:vAlign w:val="center"/>
                </w:tcPr>
                <w:p>
                  <w:pPr>
                    <w:autoSpaceDE w:val="0"/>
                    <w:autoSpaceDN w:val="0"/>
                    <w:adjustRightInd w:val="0"/>
                    <w:snapToGrid w:val="0"/>
                    <w:jc w:val="center"/>
                    <w:rPr>
                      <w:rFonts w:hint="eastAsia"/>
                      <w:color w:val="FF0000"/>
                      <w:sz w:val="20"/>
                      <w:szCs w:val="22"/>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地表水</w:t>
                  </w:r>
                </w:p>
              </w:tc>
              <w:tc>
                <w:tcPr>
                  <w:tcW w:w="1622"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新增工业废水直排建设项目（槽罐车外送污水处理厂的除外）；新增废水直排的污水集中处理厂</w:t>
                  </w:r>
                </w:p>
              </w:tc>
              <w:tc>
                <w:tcPr>
                  <w:tcW w:w="1482" w:type="pct"/>
                  <w:tcBorders>
                    <w:tl2br w:val="nil"/>
                    <w:tr2bl w:val="nil"/>
                  </w:tcBorders>
                  <w:vAlign w:val="center"/>
                </w:tcPr>
                <w:p>
                  <w:pPr>
                    <w:autoSpaceDE w:val="0"/>
                    <w:autoSpaceDN w:val="0"/>
                    <w:adjustRightInd w:val="0"/>
                    <w:snapToGrid w:val="0"/>
                    <w:jc w:val="center"/>
                    <w:rPr>
                      <w:rFonts w:hint="default" w:eastAsia="宋体"/>
                      <w:color w:val="FF0000"/>
                      <w:sz w:val="20"/>
                      <w:szCs w:val="22"/>
                      <w:lang w:val="en-US" w:eastAsia="zh-CN"/>
                    </w:rPr>
                  </w:pPr>
                  <w:r>
                    <w:rPr>
                      <w:rFonts w:hint="eastAsia"/>
                      <w:color w:val="FF0000"/>
                      <w:sz w:val="20"/>
                      <w:szCs w:val="22"/>
                    </w:rPr>
                    <w:t>本项目废水接管至如皋市</w:t>
                  </w:r>
                  <w:r>
                    <w:rPr>
                      <w:rFonts w:hint="eastAsia"/>
                      <w:color w:val="FF0000"/>
                      <w:sz w:val="20"/>
                      <w:szCs w:val="22"/>
                      <w:lang w:val="en-US" w:eastAsia="zh-CN"/>
                    </w:rPr>
                    <w:t>九华镇污水处理厂</w:t>
                  </w:r>
                </w:p>
              </w:tc>
              <w:tc>
                <w:tcPr>
                  <w:tcW w:w="566"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否</w:t>
                  </w:r>
                </w:p>
              </w:tc>
              <w:tc>
                <w:tcPr>
                  <w:tcW w:w="566" w:type="pct"/>
                  <w:tcBorders>
                    <w:tl2br w:val="nil"/>
                    <w:tr2bl w:val="nil"/>
                  </w:tcBorders>
                  <w:vAlign w:val="center"/>
                </w:tcPr>
                <w:p>
                  <w:pPr>
                    <w:autoSpaceDE w:val="0"/>
                    <w:autoSpaceDN w:val="0"/>
                    <w:adjustRightInd w:val="0"/>
                    <w:snapToGrid w:val="0"/>
                    <w:jc w:val="center"/>
                    <w:rPr>
                      <w:rFonts w:hint="eastAsia"/>
                      <w:color w:val="FF0000"/>
                      <w:sz w:val="20"/>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1"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环境风险</w:t>
                  </w:r>
                </w:p>
              </w:tc>
              <w:tc>
                <w:tcPr>
                  <w:tcW w:w="1622"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有毒有害和易燃易爆危险物质存储量超过临界量的建设项目</w:t>
                  </w:r>
                </w:p>
              </w:tc>
              <w:tc>
                <w:tcPr>
                  <w:tcW w:w="1482"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本项目危险物质存储量未超过临界量</w:t>
                  </w:r>
                </w:p>
              </w:tc>
              <w:tc>
                <w:tcPr>
                  <w:tcW w:w="566"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否</w:t>
                  </w:r>
                </w:p>
              </w:tc>
              <w:tc>
                <w:tcPr>
                  <w:tcW w:w="566" w:type="pct"/>
                  <w:tcBorders>
                    <w:tl2br w:val="nil"/>
                    <w:tr2bl w:val="nil"/>
                  </w:tcBorders>
                  <w:vAlign w:val="center"/>
                </w:tcPr>
                <w:p>
                  <w:pPr>
                    <w:autoSpaceDE w:val="0"/>
                    <w:autoSpaceDN w:val="0"/>
                    <w:adjustRightInd w:val="0"/>
                    <w:snapToGrid w:val="0"/>
                    <w:jc w:val="center"/>
                    <w:rPr>
                      <w:rFonts w:hint="eastAsia"/>
                      <w:color w:val="FF0000"/>
                      <w:sz w:val="20"/>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61"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生态</w:t>
                  </w:r>
                </w:p>
              </w:tc>
              <w:tc>
                <w:tcPr>
                  <w:tcW w:w="1622"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取水口下游500米范围内有重要水生生物的自然产卵场、索饵场、越冬场和洄游通道的新增河道取水的污染类建设项目</w:t>
                  </w:r>
                </w:p>
              </w:tc>
              <w:tc>
                <w:tcPr>
                  <w:tcW w:w="1482"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本项目不向河道取水，500m 范围不涉及取水口，不涉及重要水生生物</w:t>
                  </w:r>
                </w:p>
              </w:tc>
              <w:tc>
                <w:tcPr>
                  <w:tcW w:w="566"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否</w:t>
                  </w:r>
                </w:p>
              </w:tc>
              <w:tc>
                <w:tcPr>
                  <w:tcW w:w="566" w:type="pct"/>
                  <w:tcBorders>
                    <w:tl2br w:val="nil"/>
                    <w:tr2bl w:val="nil"/>
                  </w:tcBorders>
                  <w:vAlign w:val="center"/>
                </w:tcPr>
                <w:p>
                  <w:pPr>
                    <w:autoSpaceDE w:val="0"/>
                    <w:autoSpaceDN w:val="0"/>
                    <w:adjustRightInd w:val="0"/>
                    <w:snapToGrid w:val="0"/>
                    <w:jc w:val="center"/>
                    <w:rPr>
                      <w:rFonts w:hint="eastAsia"/>
                      <w:color w:val="FF0000"/>
                      <w:sz w:val="20"/>
                      <w:szCs w:val="22"/>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761"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海洋</w:t>
                  </w:r>
                </w:p>
              </w:tc>
              <w:tc>
                <w:tcPr>
                  <w:tcW w:w="1622"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直接向海排放污染物的海洋工程建设项目</w:t>
                  </w:r>
                </w:p>
              </w:tc>
              <w:tc>
                <w:tcPr>
                  <w:tcW w:w="1482"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本项目不涉及</w:t>
                  </w:r>
                </w:p>
              </w:tc>
              <w:tc>
                <w:tcPr>
                  <w:tcW w:w="566" w:type="pct"/>
                  <w:tcBorders>
                    <w:tl2br w:val="nil"/>
                    <w:tr2bl w:val="nil"/>
                  </w:tcBorders>
                  <w:vAlign w:val="center"/>
                </w:tcPr>
                <w:p>
                  <w:pPr>
                    <w:autoSpaceDE w:val="0"/>
                    <w:autoSpaceDN w:val="0"/>
                    <w:adjustRightInd w:val="0"/>
                    <w:snapToGrid w:val="0"/>
                    <w:jc w:val="center"/>
                    <w:rPr>
                      <w:color w:val="FF0000"/>
                      <w:sz w:val="20"/>
                      <w:szCs w:val="22"/>
                    </w:rPr>
                  </w:pPr>
                  <w:r>
                    <w:rPr>
                      <w:rFonts w:hint="eastAsia"/>
                      <w:color w:val="FF0000"/>
                      <w:sz w:val="20"/>
                      <w:szCs w:val="22"/>
                    </w:rPr>
                    <w:t>否</w:t>
                  </w:r>
                </w:p>
              </w:tc>
              <w:tc>
                <w:tcPr>
                  <w:tcW w:w="566" w:type="pct"/>
                  <w:tcBorders>
                    <w:tl2br w:val="nil"/>
                    <w:tr2bl w:val="nil"/>
                  </w:tcBorders>
                  <w:vAlign w:val="center"/>
                </w:tcPr>
                <w:p>
                  <w:pPr>
                    <w:autoSpaceDE w:val="0"/>
                    <w:autoSpaceDN w:val="0"/>
                    <w:adjustRightInd w:val="0"/>
                    <w:snapToGrid w:val="0"/>
                    <w:jc w:val="center"/>
                    <w:rPr>
                      <w:rFonts w:hint="eastAsia"/>
                      <w:color w:val="FF0000"/>
                      <w:sz w:val="20"/>
                      <w:szCs w:val="22"/>
                    </w:rPr>
                  </w:pPr>
                </w:p>
              </w:tc>
            </w:tr>
          </w:tbl>
          <w:p>
            <w:pPr>
              <w:keepNext w:val="0"/>
              <w:keepLines w:val="0"/>
              <w:pageBreakBefore w:val="0"/>
              <w:widowControl w:val="0"/>
              <w:kinsoku/>
              <w:wordWrap/>
              <w:overflowPunct/>
              <w:topLinePunct w:val="0"/>
              <w:autoSpaceDE w:val="0"/>
              <w:autoSpaceDN w:val="0"/>
              <w:bidi w:val="0"/>
              <w:adjustRightInd w:val="0"/>
              <w:snapToGrid w:val="0"/>
              <w:spacing w:line="240" w:lineRule="auto"/>
              <w:textAlignment w:val="auto"/>
              <w:rPr>
                <w:rFonts w:hint="eastAsia" w:ascii="Times New Roman" w:hAnsi="Times New Roman" w:eastAsia="宋体" w:cs="Times New Roman"/>
                <w:b w:val="0"/>
                <w:bCs w:val="0"/>
                <w:color w:val="FF0000"/>
                <w:kern w:val="0"/>
                <w:sz w:val="18"/>
                <w:szCs w:val="18"/>
              </w:rPr>
            </w:pPr>
            <w:r>
              <w:rPr>
                <w:rFonts w:hint="eastAsia" w:ascii="Times New Roman" w:hAnsi="Times New Roman" w:eastAsia="宋体" w:cs="Times New Roman"/>
                <w:b w:val="0"/>
                <w:bCs w:val="0"/>
                <w:color w:val="FF0000"/>
                <w:kern w:val="0"/>
                <w:sz w:val="18"/>
                <w:szCs w:val="18"/>
              </w:rPr>
              <w:t>注：1.废气中有毒有害污染物指纳入《有毒有害大气污染物名录》的污染物（不包括无排放标 准的污染物）。2.环境空气保护目标指自然保护区、风景名胜区、居住区、文化区和农村地区 中人群较集中的区域。3.临界量及其计算方法可参考《建设项目环境风险评价技术导则》 （HJ169）附录B、附录C。</w:t>
            </w:r>
          </w:p>
          <w:p>
            <w:pPr>
              <w:autoSpaceDE w:val="0"/>
              <w:autoSpaceDN w:val="0"/>
              <w:adjustRightInd w:val="0"/>
              <w:snapToGrid w:val="0"/>
              <w:spacing w:line="360" w:lineRule="exact"/>
              <w:ind w:firstLine="420" w:firstLineChars="200"/>
              <w:rPr>
                <w:color w:val="auto"/>
                <w:kern w:val="0"/>
                <w:szCs w:val="21"/>
              </w:rPr>
            </w:pPr>
            <w:r>
              <w:rPr>
                <w:rFonts w:hint="eastAsia" w:ascii="Times New Roman" w:hAnsi="Times New Roman" w:eastAsia="宋体" w:cs="Times New Roman"/>
                <w:b w:val="0"/>
                <w:bCs w:val="0"/>
                <w:color w:val="FF0000"/>
                <w:kern w:val="0"/>
                <w:szCs w:val="21"/>
                <w:lang w:eastAsia="zh-CN"/>
              </w:rPr>
              <w:t>根据上表分析，本项目</w:t>
            </w:r>
            <w:r>
              <w:rPr>
                <w:rFonts w:hint="eastAsia" w:ascii="Times New Roman" w:hAnsi="Times New Roman" w:eastAsia="宋体" w:cs="Times New Roman"/>
                <w:b w:val="0"/>
                <w:bCs w:val="0"/>
                <w:color w:val="FF0000"/>
                <w:kern w:val="0"/>
                <w:szCs w:val="21"/>
                <w:lang w:val="en-US" w:eastAsia="zh-CN"/>
              </w:rPr>
              <w:t>需</w:t>
            </w:r>
            <w:r>
              <w:rPr>
                <w:rFonts w:hint="eastAsia" w:ascii="Times New Roman" w:hAnsi="Times New Roman" w:eastAsia="宋体" w:cs="Times New Roman"/>
                <w:b w:val="0"/>
                <w:bCs w:val="0"/>
                <w:color w:val="FF0000"/>
                <w:kern w:val="0"/>
                <w:szCs w:val="21"/>
                <w:lang w:eastAsia="zh-CN"/>
              </w:rPr>
              <w:t>设置</w:t>
            </w:r>
            <w:r>
              <w:rPr>
                <w:rFonts w:hint="eastAsia" w:ascii="Times New Roman" w:hAnsi="Times New Roman" w:eastAsia="宋体" w:cs="Times New Roman"/>
                <w:b w:val="0"/>
                <w:bCs w:val="0"/>
                <w:color w:val="FF0000"/>
                <w:kern w:val="0"/>
                <w:szCs w:val="21"/>
                <w:lang w:val="en-US" w:eastAsia="zh-CN"/>
              </w:rPr>
              <w:t>大气</w:t>
            </w:r>
            <w:r>
              <w:rPr>
                <w:rFonts w:hint="eastAsia" w:ascii="Times New Roman" w:hAnsi="Times New Roman" w:eastAsia="宋体" w:cs="Times New Roman"/>
                <w:b w:val="0"/>
                <w:bCs w:val="0"/>
                <w:color w:val="FF0000"/>
                <w:kern w:val="0"/>
                <w:szCs w:val="21"/>
                <w:lang w:eastAsia="zh-CN"/>
              </w:rPr>
              <w:t>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13" w:type="dxa"/>
            <w:vAlign w:val="center"/>
          </w:tcPr>
          <w:p>
            <w:pPr>
              <w:autoSpaceDE w:val="0"/>
              <w:autoSpaceDN w:val="0"/>
              <w:adjustRightInd w:val="0"/>
              <w:snapToGrid w:val="0"/>
              <w:jc w:val="center"/>
              <w:rPr>
                <w:color w:val="auto"/>
                <w:kern w:val="0"/>
                <w:szCs w:val="21"/>
              </w:rPr>
            </w:pPr>
            <w:r>
              <w:rPr>
                <w:color w:val="auto"/>
                <w:szCs w:val="21"/>
              </w:rPr>
              <w:t>规划情况</w:t>
            </w:r>
          </w:p>
        </w:tc>
        <w:tc>
          <w:tcPr>
            <w:tcW w:w="8011" w:type="dxa"/>
            <w:gridSpan w:val="4"/>
            <w:vAlign w:val="center"/>
          </w:tcPr>
          <w:p>
            <w:pPr>
              <w:autoSpaceDE w:val="0"/>
              <w:autoSpaceDN w:val="0"/>
              <w:adjustRightInd w:val="0"/>
              <w:snapToGrid w:val="0"/>
              <w:spacing w:line="360" w:lineRule="exact"/>
              <w:rPr>
                <w:rFonts w:hint="eastAsia" w:ascii="Times New Roman" w:hAnsi="Times New Roman" w:eastAsia="宋体" w:cs="Times New Roman"/>
                <w:b w:val="0"/>
                <w:bCs w:val="0"/>
                <w:color w:val="FF0000"/>
                <w:kern w:val="0"/>
                <w:szCs w:val="21"/>
              </w:rPr>
            </w:pPr>
            <w:r>
              <w:rPr>
                <w:rFonts w:hint="eastAsia" w:ascii="Times New Roman" w:hAnsi="Times New Roman" w:eastAsia="宋体" w:cs="Times New Roman"/>
                <w:b w:val="0"/>
                <w:bCs w:val="0"/>
                <w:color w:val="FF0000"/>
                <w:kern w:val="0"/>
                <w:szCs w:val="21"/>
              </w:rPr>
              <w:t>规划名称：</w:t>
            </w:r>
            <w:r>
              <w:rPr>
                <w:rFonts w:hint="eastAsia" w:ascii="Times New Roman" w:hAnsi="Times New Roman" w:eastAsia="宋体" w:cs="Times New Roman"/>
                <w:b w:val="0"/>
                <w:bCs w:val="0"/>
                <w:color w:val="FF0000"/>
                <w:kern w:val="0"/>
                <w:szCs w:val="21"/>
                <w:lang w:eastAsia="zh-CN"/>
              </w:rPr>
              <w:t>《如皋市国土空间总体规划（2021-2035年）</w:t>
            </w:r>
            <w:r>
              <w:rPr>
                <w:rFonts w:hint="eastAsia" w:ascii="Times New Roman" w:hAnsi="Times New Roman" w:eastAsia="宋体" w:cs="Times New Roman"/>
                <w:b w:val="0"/>
                <w:bCs w:val="0"/>
                <w:color w:val="FF0000"/>
                <w:kern w:val="0"/>
                <w:szCs w:val="21"/>
              </w:rPr>
              <w:t>；</w:t>
            </w:r>
          </w:p>
          <w:p>
            <w:pPr>
              <w:autoSpaceDE w:val="0"/>
              <w:autoSpaceDN w:val="0"/>
              <w:adjustRightInd w:val="0"/>
              <w:snapToGrid w:val="0"/>
              <w:spacing w:line="360" w:lineRule="exact"/>
              <w:rPr>
                <w:rFonts w:hint="eastAsia" w:ascii="Times New Roman" w:hAnsi="Times New Roman" w:eastAsia="宋体" w:cs="Times New Roman"/>
                <w:b w:val="0"/>
                <w:bCs w:val="0"/>
                <w:color w:val="FF0000"/>
                <w:kern w:val="0"/>
                <w:szCs w:val="21"/>
              </w:rPr>
            </w:pPr>
            <w:r>
              <w:rPr>
                <w:rFonts w:hint="eastAsia" w:ascii="Times New Roman" w:hAnsi="Times New Roman" w:eastAsia="宋体" w:cs="Times New Roman"/>
                <w:b w:val="0"/>
                <w:bCs w:val="0"/>
                <w:color w:val="FF0000"/>
                <w:kern w:val="0"/>
                <w:szCs w:val="21"/>
              </w:rPr>
              <w:t>审批机关：</w:t>
            </w:r>
            <w:r>
              <w:rPr>
                <w:rFonts w:hint="eastAsia" w:ascii="Times New Roman" w:hAnsi="Times New Roman" w:eastAsia="宋体" w:cs="Times New Roman"/>
                <w:b w:val="0"/>
                <w:bCs w:val="0"/>
                <w:color w:val="FF0000"/>
                <w:kern w:val="0"/>
                <w:szCs w:val="21"/>
                <w:lang w:val="en-US" w:eastAsia="zh-CN"/>
              </w:rPr>
              <w:t>江苏省</w:t>
            </w:r>
            <w:r>
              <w:rPr>
                <w:rFonts w:hint="eastAsia" w:ascii="Times New Roman" w:hAnsi="Times New Roman" w:eastAsia="宋体" w:cs="Times New Roman"/>
                <w:b w:val="0"/>
                <w:bCs w:val="0"/>
                <w:color w:val="FF0000"/>
                <w:kern w:val="0"/>
                <w:szCs w:val="21"/>
              </w:rPr>
              <w:t>人民政府；</w:t>
            </w:r>
          </w:p>
          <w:p>
            <w:pPr>
              <w:autoSpaceDE w:val="0"/>
              <w:autoSpaceDN w:val="0"/>
              <w:adjustRightInd w:val="0"/>
              <w:snapToGrid w:val="0"/>
              <w:spacing w:line="360" w:lineRule="exact"/>
              <w:rPr>
                <w:rFonts w:hint="eastAsia" w:ascii="Times New Roman" w:hAnsi="Times New Roman" w:eastAsia="宋体" w:cs="Times New Roman"/>
                <w:b w:val="0"/>
                <w:bCs w:val="0"/>
                <w:color w:val="FF0000"/>
                <w:kern w:val="0"/>
                <w:szCs w:val="21"/>
              </w:rPr>
            </w:pPr>
            <w:r>
              <w:rPr>
                <w:rFonts w:hint="eastAsia" w:ascii="Times New Roman" w:hAnsi="Times New Roman" w:eastAsia="宋体" w:cs="Times New Roman"/>
                <w:b w:val="0"/>
                <w:bCs w:val="0"/>
                <w:color w:val="FF0000"/>
                <w:kern w:val="0"/>
                <w:szCs w:val="21"/>
              </w:rPr>
              <w:t>审批文件名称及文号：</w:t>
            </w:r>
            <w:r>
              <w:rPr>
                <w:b w:val="0"/>
                <w:bCs w:val="0"/>
                <w:color w:val="FF0000"/>
              </w:rPr>
              <w:t>《</w:t>
            </w:r>
            <w:r>
              <w:rPr>
                <w:rFonts w:hint="eastAsia"/>
                <w:b w:val="0"/>
                <w:bCs w:val="0"/>
                <w:color w:val="FF0000"/>
              </w:rPr>
              <w:t>省政府关于南通市海门区、如东县、启东市、如皋市、海安市国土空间总体规划（2021</w:t>
            </w:r>
            <w:r>
              <w:rPr>
                <w:rFonts w:hint="eastAsia"/>
                <w:b w:val="0"/>
                <w:bCs w:val="0"/>
                <w:color w:val="FF0000"/>
                <w:lang w:val="en-US" w:eastAsia="zh-CN"/>
              </w:rPr>
              <w:t>-</w:t>
            </w:r>
            <w:r>
              <w:rPr>
                <w:rFonts w:hint="eastAsia"/>
                <w:b w:val="0"/>
                <w:bCs w:val="0"/>
                <w:color w:val="FF0000"/>
              </w:rPr>
              <w:t>2035年）的批复</w:t>
            </w:r>
            <w:r>
              <w:rPr>
                <w:rFonts w:hint="eastAsia" w:ascii="Times New Roman" w:hAnsi="Times New Roman" w:eastAsia="宋体" w:cs="Times New Roman"/>
                <w:b w:val="0"/>
                <w:bCs w:val="0"/>
                <w:color w:val="FF0000"/>
                <w:kern w:val="0"/>
                <w:szCs w:val="21"/>
                <w:lang w:eastAsia="zh-CN"/>
              </w:rPr>
              <w:t>》（苏政复〔2023〕43号）。</w:t>
            </w:r>
          </w:p>
          <w:p>
            <w:pPr>
              <w:autoSpaceDE w:val="0"/>
              <w:autoSpaceDN w:val="0"/>
              <w:adjustRightInd w:val="0"/>
              <w:snapToGrid w:val="0"/>
              <w:spacing w:line="360" w:lineRule="exact"/>
              <w:rPr>
                <w:rFonts w:hint="eastAsia" w:ascii="Times New Roman" w:hAnsi="Times New Roman" w:eastAsia="宋体" w:cs="Times New Roman"/>
                <w:b w:val="0"/>
                <w:bCs w:val="0"/>
                <w:color w:val="FF0000"/>
                <w:kern w:val="0"/>
                <w:szCs w:val="21"/>
              </w:rPr>
            </w:pPr>
          </w:p>
          <w:p>
            <w:pPr>
              <w:autoSpaceDE w:val="0"/>
              <w:autoSpaceDN w:val="0"/>
              <w:adjustRightInd w:val="0"/>
              <w:snapToGrid w:val="0"/>
              <w:spacing w:line="360" w:lineRule="exact"/>
              <w:rPr>
                <w:rFonts w:hint="eastAsia" w:ascii="Times New Roman" w:hAnsi="Times New Roman" w:eastAsia="宋体" w:cs="Times New Roman"/>
                <w:b w:val="0"/>
                <w:bCs w:val="0"/>
                <w:color w:val="FF0000"/>
                <w:kern w:val="0"/>
                <w:szCs w:val="21"/>
              </w:rPr>
            </w:pPr>
            <w:r>
              <w:rPr>
                <w:rFonts w:hint="eastAsia" w:ascii="Times New Roman" w:hAnsi="Times New Roman" w:eastAsia="宋体" w:cs="Times New Roman"/>
                <w:b w:val="0"/>
                <w:bCs w:val="0"/>
                <w:color w:val="FF0000"/>
                <w:kern w:val="0"/>
                <w:szCs w:val="21"/>
              </w:rPr>
              <w:t>规划名称：《</w:t>
            </w:r>
            <w:r>
              <w:rPr>
                <w:b w:val="0"/>
                <w:bCs w:val="0"/>
                <w:color w:val="FF0000"/>
              </w:rPr>
              <w:t>如皋市九华镇总体规划（2018</w:t>
            </w:r>
            <w:r>
              <w:rPr>
                <w:rFonts w:hint="eastAsia"/>
                <w:b w:val="0"/>
                <w:bCs w:val="0"/>
                <w:color w:val="FF0000"/>
                <w:lang w:val="en-US" w:eastAsia="zh-CN"/>
              </w:rPr>
              <w:t>-</w:t>
            </w:r>
            <w:r>
              <w:rPr>
                <w:b w:val="0"/>
                <w:bCs w:val="0"/>
                <w:color w:val="FF0000"/>
              </w:rPr>
              <w:t>2035）（2020年调整）</w:t>
            </w:r>
            <w:r>
              <w:rPr>
                <w:rFonts w:hint="eastAsia" w:ascii="Times New Roman" w:hAnsi="Times New Roman" w:eastAsia="宋体" w:cs="Times New Roman"/>
                <w:b w:val="0"/>
                <w:bCs w:val="0"/>
                <w:color w:val="FF0000"/>
                <w:kern w:val="0"/>
                <w:szCs w:val="21"/>
              </w:rPr>
              <w:t>》；</w:t>
            </w:r>
          </w:p>
          <w:p>
            <w:pPr>
              <w:autoSpaceDE w:val="0"/>
              <w:autoSpaceDN w:val="0"/>
              <w:adjustRightInd w:val="0"/>
              <w:snapToGrid w:val="0"/>
              <w:spacing w:line="360" w:lineRule="exact"/>
              <w:rPr>
                <w:rFonts w:hint="eastAsia" w:ascii="Times New Roman" w:hAnsi="Times New Roman" w:eastAsia="宋体" w:cs="Times New Roman"/>
                <w:b w:val="0"/>
                <w:bCs w:val="0"/>
                <w:color w:val="FF0000"/>
                <w:kern w:val="0"/>
                <w:szCs w:val="21"/>
              </w:rPr>
            </w:pPr>
            <w:r>
              <w:rPr>
                <w:rFonts w:hint="eastAsia" w:ascii="Times New Roman" w:hAnsi="Times New Roman" w:eastAsia="宋体" w:cs="Times New Roman"/>
                <w:b w:val="0"/>
                <w:bCs w:val="0"/>
                <w:color w:val="FF0000"/>
                <w:kern w:val="0"/>
                <w:szCs w:val="21"/>
              </w:rPr>
              <w:t>审批机关：</w:t>
            </w:r>
            <w:r>
              <w:rPr>
                <w:rFonts w:hint="eastAsia" w:ascii="Times New Roman" w:hAnsi="Times New Roman" w:eastAsia="宋体" w:cs="Times New Roman"/>
                <w:b w:val="0"/>
                <w:bCs w:val="0"/>
                <w:color w:val="FF0000"/>
                <w:kern w:val="0"/>
                <w:szCs w:val="21"/>
                <w:lang w:val="en-US" w:eastAsia="zh-CN"/>
              </w:rPr>
              <w:t>如皋市</w:t>
            </w:r>
            <w:r>
              <w:rPr>
                <w:rFonts w:hint="eastAsia" w:ascii="Times New Roman" w:hAnsi="Times New Roman" w:eastAsia="宋体" w:cs="Times New Roman"/>
                <w:b w:val="0"/>
                <w:bCs w:val="0"/>
                <w:color w:val="FF0000"/>
                <w:kern w:val="0"/>
                <w:szCs w:val="21"/>
              </w:rPr>
              <w:t>人民政府；</w:t>
            </w:r>
          </w:p>
          <w:p>
            <w:pPr>
              <w:autoSpaceDE w:val="0"/>
              <w:autoSpaceDN w:val="0"/>
              <w:adjustRightInd w:val="0"/>
              <w:snapToGrid w:val="0"/>
              <w:spacing w:line="360" w:lineRule="exact"/>
              <w:rPr>
                <w:color w:val="auto"/>
                <w:kern w:val="0"/>
                <w:szCs w:val="21"/>
              </w:rPr>
            </w:pPr>
            <w:r>
              <w:rPr>
                <w:rFonts w:hint="eastAsia" w:ascii="Times New Roman" w:hAnsi="Times New Roman" w:eastAsia="宋体" w:cs="Times New Roman"/>
                <w:b w:val="0"/>
                <w:bCs w:val="0"/>
                <w:color w:val="FF0000"/>
                <w:kern w:val="0"/>
                <w:szCs w:val="21"/>
              </w:rPr>
              <w:t>审批文件名称及文号：</w:t>
            </w:r>
            <w:r>
              <w:rPr>
                <w:b w:val="0"/>
                <w:bCs w:val="0"/>
                <w:color w:val="FF0000"/>
              </w:rPr>
              <w:t>《省政府关于如皋市九华镇总体规划调整的批复》（皋政复〔2020〕124号）</w:t>
            </w:r>
            <w:r>
              <w:rPr>
                <w:rFonts w:hint="eastAsia" w:ascii="Times New Roman" w:hAnsi="Times New Roman" w:eastAsia="宋体" w:cs="Times New Roman"/>
                <w:b w:val="0"/>
                <w:bCs w:val="0"/>
                <w:color w:val="FF0000"/>
                <w:kern w:val="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3" w:type="dxa"/>
            <w:vAlign w:val="center"/>
          </w:tcPr>
          <w:p>
            <w:pPr>
              <w:adjustRightInd w:val="0"/>
              <w:snapToGrid w:val="0"/>
              <w:jc w:val="center"/>
              <w:rPr>
                <w:color w:val="auto"/>
                <w:szCs w:val="21"/>
              </w:rPr>
            </w:pPr>
            <w:r>
              <w:rPr>
                <w:color w:val="auto"/>
                <w:szCs w:val="21"/>
              </w:rPr>
              <w:t>规划环境影响</w:t>
            </w:r>
          </w:p>
          <w:p>
            <w:pPr>
              <w:adjustRightInd w:val="0"/>
              <w:snapToGrid w:val="0"/>
              <w:jc w:val="center"/>
              <w:rPr>
                <w:color w:val="auto"/>
                <w:kern w:val="0"/>
                <w:szCs w:val="21"/>
              </w:rPr>
            </w:pPr>
            <w:r>
              <w:rPr>
                <w:color w:val="auto"/>
                <w:szCs w:val="21"/>
              </w:rPr>
              <w:t>评价情况</w:t>
            </w:r>
          </w:p>
        </w:tc>
        <w:tc>
          <w:tcPr>
            <w:tcW w:w="8011" w:type="dxa"/>
            <w:gridSpan w:val="4"/>
            <w:vAlign w:val="center"/>
          </w:tcPr>
          <w:p>
            <w:pPr>
              <w:autoSpaceDE w:val="0"/>
              <w:autoSpaceDN w:val="0"/>
              <w:adjustRightInd w:val="0"/>
              <w:snapToGrid w:val="0"/>
              <w:spacing w:after="120" w:afterLines="50" w:line="400" w:lineRule="exact"/>
              <w:jc w:val="center"/>
              <w:rPr>
                <w:rFonts w:hint="eastAsia" w:eastAsia="宋体"/>
                <w:color w:val="auto"/>
                <w:kern w:val="0"/>
                <w:szCs w:val="21"/>
                <w:lang w:val="en-US" w:eastAsia="zh-CN"/>
              </w:rPr>
            </w:pPr>
            <w:r>
              <w:rPr>
                <w:rFonts w:hint="eastAsia"/>
                <w:color w:val="auto"/>
                <w:kern w:val="0"/>
                <w:szCs w:val="21"/>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50" w:hRule="atLeast"/>
          <w:jc w:val="center"/>
        </w:trPr>
        <w:tc>
          <w:tcPr>
            <w:tcW w:w="813" w:type="dxa"/>
            <w:vAlign w:val="center"/>
          </w:tcPr>
          <w:p>
            <w:pPr>
              <w:adjustRightInd w:val="0"/>
              <w:snapToGrid w:val="0"/>
              <w:jc w:val="center"/>
              <w:rPr>
                <w:color w:val="auto"/>
                <w:szCs w:val="21"/>
              </w:rPr>
            </w:pPr>
            <w:r>
              <w:rPr>
                <w:color w:val="auto"/>
                <w:kern w:val="0"/>
                <w:szCs w:val="21"/>
              </w:rPr>
              <w:t>规划及规划环境</w:t>
            </w:r>
            <w:r>
              <w:rPr>
                <w:color w:val="auto"/>
                <w:szCs w:val="21"/>
              </w:rPr>
              <w:t>影响评价符合性分析</w:t>
            </w:r>
          </w:p>
        </w:tc>
        <w:tc>
          <w:tcPr>
            <w:tcW w:w="8011" w:type="dxa"/>
            <w:gridSpan w:val="4"/>
            <w:vAlign w:val="top"/>
          </w:tcPr>
          <w:p>
            <w:pPr>
              <w:spacing w:line="360" w:lineRule="auto"/>
              <w:ind w:firstLine="0" w:firstLineChars="0"/>
              <w:rPr>
                <w:b/>
                <w:bCs/>
                <w:color w:val="000000"/>
              </w:rPr>
            </w:pPr>
            <w:r>
              <w:rPr>
                <w:rFonts w:hint="eastAsia" w:ascii="Times New Roman" w:hAnsi="Times New Roman" w:eastAsia="宋体" w:cs="Times New Roman"/>
                <w:b/>
                <w:bCs/>
                <w:color w:val="auto"/>
                <w:kern w:val="0"/>
                <w:szCs w:val="21"/>
              </w:rPr>
              <w:t>1、</w:t>
            </w:r>
            <w:r>
              <w:rPr>
                <w:b/>
                <w:bCs/>
                <w:color w:val="000000"/>
              </w:rPr>
              <w:t>与《如皋市九华镇总体规划（2018</w:t>
            </w:r>
            <w:r>
              <w:rPr>
                <w:rFonts w:hint="eastAsia"/>
                <w:b/>
                <w:bCs/>
                <w:color w:val="000000"/>
                <w:lang w:val="en-US" w:eastAsia="zh-CN"/>
              </w:rPr>
              <w:t>-</w:t>
            </w:r>
            <w:r>
              <w:rPr>
                <w:b/>
                <w:bCs/>
                <w:color w:val="000000"/>
              </w:rPr>
              <w:t>2035）（2020年调整）》符合性分析</w:t>
            </w:r>
          </w:p>
          <w:p>
            <w:pPr>
              <w:spacing w:line="360" w:lineRule="auto"/>
              <w:ind w:firstLine="420"/>
              <w:rPr>
                <w:color w:val="000000"/>
              </w:rPr>
            </w:pPr>
            <w:r>
              <w:rPr>
                <w:color w:val="000000"/>
              </w:rPr>
              <w:t>（1）规划提出镇区建设用地范围：北至玄武路，西至洋港河，南至沪陕高速，东至环东路，规划建设用地面积约7.70平方公里，规划总用地面积约8.66平方公里。</w:t>
            </w:r>
          </w:p>
          <w:p>
            <w:pPr>
              <w:spacing w:line="360" w:lineRule="auto"/>
              <w:ind w:firstLine="420"/>
              <w:rPr>
                <w:color w:val="000000"/>
              </w:rPr>
            </w:pPr>
            <w:r>
              <w:rPr>
                <w:color w:val="000000"/>
              </w:rPr>
              <w:t>（2）规划重点：</w:t>
            </w:r>
            <w:r>
              <w:rPr>
                <w:rFonts w:hint="eastAsia" w:ascii="宋体" w:hAnsi="宋体" w:cs="宋体"/>
                <w:color w:val="000000"/>
              </w:rPr>
              <w:t>①</w:t>
            </w:r>
            <w:r>
              <w:rPr>
                <w:color w:val="000000"/>
              </w:rPr>
              <w:t>加快产业优化升级：以九华镇现状特色产业发展为依托，探讨产业发展对城镇的影响，加强九华镇在产业发展方面区域统筹研究，通过南通市域和如皋市域产业发展研究分析，把握九华镇产业发展的动因和发展方向。</w:t>
            </w:r>
            <w:r>
              <w:rPr>
                <w:rFonts w:hint="eastAsia" w:ascii="宋体" w:hAnsi="宋体" w:cs="宋体"/>
                <w:color w:val="000000"/>
              </w:rPr>
              <w:t>②</w:t>
            </w:r>
            <w:r>
              <w:rPr>
                <w:color w:val="000000"/>
              </w:rPr>
              <w:t>优化城乡空间结构：梳理现状城乡空间资源，进行城乡空间资源的整合和优化。研究城乡空间结构演化的动力和影响因素，分析城乡发展条件，合理确定城镇未来发展的空间，优化用地布局，提高土地集约利用，走健康可持续发展之路。</w:t>
            </w:r>
            <w:r>
              <w:rPr>
                <w:rFonts w:hint="eastAsia" w:ascii="宋体" w:hAnsi="宋体" w:cs="宋体"/>
                <w:color w:val="000000"/>
              </w:rPr>
              <w:t>③</w:t>
            </w:r>
            <w:r>
              <w:rPr>
                <w:color w:val="000000"/>
              </w:rPr>
              <w:t>交通引导发展：重视南通市、如皋市相关政策及工程建设对九华镇的影响，积极响应外部交通条件的变化，构建完善的交通网络，加快发展公交系统，并通过交通引导发展，促进土地集约、集聚、合理利用，提升九华镇的职能，有序推进城镇化进程。完善江河联运集疏运体系，合理确定联运通道、货运通道和物流枢纽。</w:t>
            </w:r>
            <w:r>
              <w:rPr>
                <w:rFonts w:hint="eastAsia" w:ascii="宋体" w:hAnsi="宋体" w:cs="宋体"/>
                <w:color w:val="000000"/>
              </w:rPr>
              <w:t>④</w:t>
            </w:r>
            <w:r>
              <w:rPr>
                <w:color w:val="000000"/>
              </w:rPr>
              <w:t>强化地方特色塑造：积极依托苏中最大的长寿养生基地，加强镇区特色引导，塑造传统与现代辉映的城镇空间景观；加强水系保护与整治，引导滨水空间的合理利用，塑造自然与人文交融的水乡空间特色，继承并继续推进九华镇作为长寿养生小镇的建设。</w:t>
            </w:r>
          </w:p>
          <w:p>
            <w:pPr>
              <w:spacing w:line="360" w:lineRule="auto"/>
              <w:ind w:firstLine="420"/>
              <w:rPr>
                <w:color w:val="000000"/>
              </w:rPr>
            </w:pPr>
            <w:r>
              <w:rPr>
                <w:color w:val="000000"/>
              </w:rPr>
              <w:t>（3）产业空间布局：根据主要交通干线的切割和空间整合的调整，确定九华镇域分为5个产业片区，分别为镇域东部片区优质粮油规模化生产片区、西北部特色农业及休闲旅游片区、南部生态设施农业片区、204国道以南装备制造产业园区、镇区养生旅游休闲区。</w:t>
            </w:r>
          </w:p>
          <w:p>
            <w:pPr>
              <w:spacing w:line="360" w:lineRule="auto"/>
              <w:ind w:firstLine="420"/>
              <w:rPr>
                <w:color w:val="000000"/>
              </w:rPr>
            </w:pPr>
            <w:r>
              <w:rPr>
                <w:rFonts w:hint="eastAsia" w:ascii="宋体" w:hAnsi="宋体" w:cs="宋体"/>
                <w:color w:val="000000"/>
              </w:rPr>
              <w:t>①</w:t>
            </w:r>
            <w:r>
              <w:rPr>
                <w:color w:val="000000"/>
              </w:rPr>
              <w:t>优质粮油规模化生产片区：老204国道以东地区，推进农业生产规模化。依托九华镇现代农业示范园区的优势平台，通皋大道道口优势，进一步推进农业规模化的进程。复制千亩有机稻米基地、甜瓜青玉米基地、生态特种水产养殖园等的成功经验，分步骤使生产总量达到一定规模，继而集约化配套基础设施，促进基地功能现代化、设施完善化，最后通过申创等级农业园区，将项目产业做大做强。</w:t>
            </w:r>
          </w:p>
          <w:p>
            <w:pPr>
              <w:spacing w:line="360" w:lineRule="auto"/>
              <w:ind w:firstLine="420"/>
              <w:rPr>
                <w:color w:val="000000"/>
              </w:rPr>
            </w:pPr>
            <w:r>
              <w:rPr>
                <w:rFonts w:hint="eastAsia" w:ascii="宋体" w:hAnsi="宋体" w:cs="宋体"/>
                <w:color w:val="000000"/>
              </w:rPr>
              <w:t>②</w:t>
            </w:r>
            <w:r>
              <w:rPr>
                <w:color w:val="000000"/>
              </w:rPr>
              <w:t>西北部特色农业及休闲旅游片区：重点建设优质生态农业生产基地，重点发展苗木花卉、特色经果林、绿色蔬菜等产业，也适当发展优质高效粮油产业。洋港村有苗木基地，马桥村有生态农庄、葡萄种植园。主要依靠南通市的客源市场，通过开发休闲垂钓、农家餐饮、参与农事活动等方式，发展农家乐和休闲旅游，充分利用南通市郊的区位优势，发展乡村旅游。</w:t>
            </w:r>
          </w:p>
          <w:p>
            <w:pPr>
              <w:spacing w:line="360" w:lineRule="auto"/>
              <w:ind w:firstLine="420"/>
              <w:rPr>
                <w:color w:val="000000"/>
              </w:rPr>
            </w:pPr>
            <w:r>
              <w:rPr>
                <w:rFonts w:hint="eastAsia" w:ascii="宋体" w:hAnsi="宋体" w:cs="宋体"/>
                <w:color w:val="000000"/>
              </w:rPr>
              <w:t>③</w:t>
            </w:r>
            <w:r>
              <w:rPr>
                <w:color w:val="000000"/>
              </w:rPr>
              <w:t>南部生态设施农业片区：重点发展生态农业。定位九华镇、如皋市、南通市高端市场，充分发挥生态优势，大力发展无公害农产品基地，逐步实现由无公害农业向绿色农业、生态农业</w:t>
            </w:r>
            <w:r>
              <w:rPr>
                <w:rFonts w:hint="eastAsia"/>
                <w:color w:val="000000"/>
                <w:lang w:eastAsia="zh-CN"/>
              </w:rPr>
              <w:t>过渡</w:t>
            </w:r>
            <w:r>
              <w:rPr>
                <w:color w:val="000000"/>
              </w:rPr>
              <w:t>。加强农产品安全、农机安全体系建设，严格控制和有效解决化肥、农药、禽畜养殖等农业面源污染，维护农业生产和生态安全。</w:t>
            </w:r>
          </w:p>
          <w:p>
            <w:pPr>
              <w:spacing w:line="360" w:lineRule="auto"/>
              <w:ind w:firstLine="420"/>
              <w:rPr>
                <w:color w:val="000000"/>
              </w:rPr>
            </w:pPr>
            <w:r>
              <w:rPr>
                <w:rFonts w:hint="eastAsia" w:ascii="宋体" w:hAnsi="宋体" w:cs="宋体"/>
                <w:color w:val="000000"/>
              </w:rPr>
              <w:t>④</w:t>
            </w:r>
            <w:r>
              <w:rPr>
                <w:color w:val="000000"/>
              </w:rPr>
              <w:t>装备制造产业园区：以镇区工业园区为主，在发展机械制造、纺织服装等传统优势产业基础上，积极培育物流产业、机械电子、新材料、新能源等新兴产业。</w:t>
            </w:r>
          </w:p>
          <w:p>
            <w:pPr>
              <w:spacing w:line="360" w:lineRule="auto"/>
              <w:ind w:firstLine="420"/>
              <w:rPr>
                <w:color w:val="000000"/>
              </w:rPr>
            </w:pPr>
            <w:r>
              <w:rPr>
                <w:rFonts w:hint="eastAsia" w:ascii="宋体" w:hAnsi="宋体" w:cs="宋体"/>
                <w:color w:val="000000"/>
              </w:rPr>
              <w:t>⑤</w:t>
            </w:r>
            <w:r>
              <w:rPr>
                <w:color w:val="000000"/>
              </w:rPr>
              <w:t>镇区养生旅游休闲区：重点发展商贸、养老地产和休闲旅游业。其中，商贸和地产主要集中在镇区的生活服务业集中区内，养老地产结合九华镇现有养生基地共同打造休闲养生小镇。</w:t>
            </w:r>
          </w:p>
          <w:p>
            <w:pPr>
              <w:spacing w:line="360" w:lineRule="auto"/>
              <w:ind w:firstLine="420"/>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eastAsia="zh-CN"/>
              </w:rPr>
              <w:t>（</w:t>
            </w:r>
            <w:r>
              <w:rPr>
                <w:rFonts w:hint="eastAsia" w:ascii="Times New Roman" w:hAnsi="Times New Roman" w:eastAsia="宋体" w:cs="Times New Roman"/>
                <w:color w:val="FF0000"/>
                <w:lang w:val="en-US" w:eastAsia="zh-CN"/>
              </w:rPr>
              <w:t>4）产业发展策略</w:t>
            </w:r>
          </w:p>
          <w:p>
            <w:pPr>
              <w:spacing w:line="360" w:lineRule="auto"/>
              <w:ind w:firstLine="420"/>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①</w:t>
            </w:r>
            <w:r>
              <w:rPr>
                <w:rFonts w:ascii="Times New Roman" w:hAnsi="Times New Roman" w:eastAsia="宋体" w:cs="Times New Roman"/>
                <w:color w:val="FF0000"/>
              </w:rPr>
              <w:t>按照城乡产业互补的原则，合理安排城乡产业空间布局</w:t>
            </w:r>
            <w:r>
              <w:rPr>
                <w:rFonts w:hint="eastAsia" w:ascii="Times New Roman" w:hAnsi="Times New Roman" w:eastAsia="宋体" w:cs="Times New Roman"/>
                <w:color w:val="FF0000"/>
                <w:lang w:eastAsia="zh-CN"/>
              </w:rPr>
              <w:t>，</w:t>
            </w:r>
            <w:r>
              <w:rPr>
                <w:rFonts w:ascii="Times New Roman" w:hAnsi="Times New Roman" w:eastAsia="宋体" w:cs="Times New Roman"/>
                <w:color w:val="FF0000"/>
              </w:rPr>
              <w:t>引导产业集聚 发展、集约经营。</w:t>
            </w:r>
          </w:p>
          <w:p>
            <w:pPr>
              <w:spacing w:line="360" w:lineRule="auto"/>
              <w:ind w:firstLine="420"/>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②</w:t>
            </w:r>
            <w:r>
              <w:rPr>
                <w:rFonts w:ascii="Times New Roman" w:hAnsi="Times New Roman" w:eastAsia="宋体" w:cs="Times New Roman"/>
                <w:color w:val="FF0000"/>
              </w:rPr>
              <w:t>加快农业现代化，积极推进现代高效农业、设施农业的发展。利用通皋大道道口优势，发展都市观光型、生态旅游型农业，吸引上海、南通及周边县市游客，形成具有地方特色和竞争优势的现代农业体系。</w:t>
            </w:r>
          </w:p>
          <w:p>
            <w:pPr>
              <w:spacing w:line="360" w:lineRule="auto"/>
              <w:ind w:firstLine="420"/>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③</w:t>
            </w:r>
            <w:r>
              <w:rPr>
                <w:rFonts w:ascii="Times New Roman" w:hAnsi="Times New Roman" w:eastAsia="宋体" w:cs="Times New Roman"/>
                <w:color w:val="FF0000"/>
              </w:rPr>
              <w:t>从自身出发，立足区域，发挥产业联动效应，以液压机械铸造、纺织等传统产业为基础，建设传统产业尤其是液压机械铸造基地；重点打造汽车零配件、高端装备制造等产业园区，积极策应上海未来部分产业梯度转移；充分利用沪通高铁站口等优越区位，大力发展物流产业。</w:t>
            </w:r>
          </w:p>
          <w:p>
            <w:pPr>
              <w:spacing w:line="360" w:lineRule="auto"/>
              <w:ind w:firstLine="420"/>
              <w:rPr>
                <w:rFonts w:ascii="Times New Roman" w:hAnsi="Times New Roman" w:eastAsia="宋体" w:cs="Times New Roman"/>
                <w:color w:val="FF0000"/>
              </w:rPr>
            </w:pPr>
            <w:r>
              <w:rPr>
                <w:rFonts w:hint="eastAsia" w:ascii="Times New Roman" w:hAnsi="Times New Roman" w:eastAsia="宋体" w:cs="Times New Roman"/>
                <w:color w:val="FF0000"/>
                <w:lang w:val="en-US" w:eastAsia="zh-CN"/>
              </w:rPr>
              <w:t>④</w:t>
            </w:r>
            <w:r>
              <w:rPr>
                <w:rFonts w:ascii="Times New Roman" w:hAnsi="Times New Roman" w:eastAsia="宋体" w:cs="Times New Roman"/>
                <w:color w:val="FF0000"/>
              </w:rPr>
              <w:t>完善和构建服务业体系，运用现代服务技术和经营方式重点改造提升传统商贸流通业和生活服务业，大力发展文化产业，养生地产等；优化城镇环境，结合地区特色培育养生旅游产品；大力推进第三产业健康、持续发展。</w:t>
            </w:r>
          </w:p>
          <w:p>
            <w:pPr>
              <w:spacing w:line="360" w:lineRule="auto"/>
              <w:ind w:firstLine="420"/>
              <w:rPr>
                <w:color w:val="FF0000"/>
              </w:rPr>
            </w:pPr>
            <w:r>
              <w:rPr>
                <w:rFonts w:hint="eastAsia"/>
                <w:color w:val="FF0000"/>
                <w:lang w:val="en-US" w:eastAsia="zh-CN"/>
              </w:rPr>
              <w:t>本项目位于</w:t>
            </w:r>
            <w:r>
              <w:rPr>
                <w:rFonts w:hint="eastAsia"/>
                <w:color w:val="FF0000"/>
                <w:szCs w:val="21"/>
              </w:rPr>
              <w:t>江苏省南通市</w:t>
            </w:r>
            <w:r>
              <w:rPr>
                <w:rFonts w:hint="eastAsia"/>
                <w:color w:val="FF0000"/>
                <w:szCs w:val="21"/>
                <w:lang w:val="en-US" w:eastAsia="zh-CN"/>
              </w:rPr>
              <w:t>如皋市九华镇马桥村18组</w:t>
            </w:r>
            <w:r>
              <w:rPr>
                <w:rFonts w:hint="eastAsia"/>
                <w:color w:val="FF0000"/>
                <w:lang w:val="en-US" w:eastAsia="zh-CN"/>
              </w:rPr>
              <w:t>，位于马桥工业集中区，不属于以上</w:t>
            </w:r>
            <w:r>
              <w:rPr>
                <w:color w:val="FF0000"/>
              </w:rPr>
              <w:t>5个产业片区</w:t>
            </w:r>
            <w:r>
              <w:rPr>
                <w:rFonts w:hint="eastAsia"/>
                <w:color w:val="FF0000"/>
                <w:lang w:eastAsia="zh-CN"/>
              </w:rPr>
              <w:t>，</w:t>
            </w:r>
            <w:r>
              <w:rPr>
                <w:rFonts w:hint="eastAsia"/>
                <w:color w:val="FF0000"/>
                <w:lang w:val="en-US" w:eastAsia="zh-CN"/>
              </w:rPr>
              <w:t>所在区域为重点管控单元，</w:t>
            </w:r>
            <w:r>
              <w:rPr>
                <w:rFonts w:hint="eastAsia"/>
                <w:color w:val="FF0000"/>
              </w:rPr>
              <w:t>本</w:t>
            </w:r>
            <w:r>
              <w:rPr>
                <w:color w:val="FF0000"/>
              </w:rPr>
              <w:t>项目主要</w:t>
            </w:r>
            <w:r>
              <w:rPr>
                <w:rFonts w:hint="eastAsia"/>
                <w:color w:val="FF0000"/>
              </w:rPr>
              <w:t>为</w:t>
            </w:r>
            <w:r>
              <w:rPr>
                <w:rFonts w:hint="eastAsia"/>
                <w:color w:val="FF0000"/>
                <w:szCs w:val="21"/>
              </w:rPr>
              <w:t>1000万米文体用布（桌球布）</w:t>
            </w:r>
            <w:r>
              <w:rPr>
                <w:color w:val="FF0000"/>
              </w:rPr>
              <w:t>的生产，</w:t>
            </w:r>
            <w:r>
              <w:rPr>
                <w:rFonts w:hint="eastAsia"/>
                <w:color w:val="FF0000"/>
                <w:lang w:val="en-US" w:eastAsia="zh-CN"/>
              </w:rPr>
              <w:t>主</w:t>
            </w:r>
            <w:r>
              <w:rPr>
                <w:color w:val="FF0000"/>
              </w:rPr>
              <w:t>行业类别为C</w:t>
            </w:r>
            <w:r>
              <w:rPr>
                <w:rFonts w:hint="eastAsia"/>
                <w:color w:val="FF0000"/>
              </w:rPr>
              <w:t>1789</w:t>
            </w:r>
            <w:r>
              <w:rPr>
                <w:rFonts w:hint="eastAsia"/>
                <w:color w:val="FF0000"/>
                <w:szCs w:val="21"/>
              </w:rPr>
              <w:t>其他产业用纺织制成品制造</w:t>
            </w:r>
            <w:r>
              <w:rPr>
                <w:color w:val="FF0000"/>
              </w:rPr>
              <w:t>，属于</w:t>
            </w:r>
            <w:r>
              <w:rPr>
                <w:rFonts w:hint="eastAsia"/>
                <w:color w:val="FF0000"/>
              </w:rPr>
              <w:t>纺织</w:t>
            </w:r>
            <w:r>
              <w:rPr>
                <w:color w:val="FF0000"/>
              </w:rPr>
              <w:t>业，</w:t>
            </w:r>
            <w:r>
              <w:rPr>
                <w:rFonts w:hint="eastAsia"/>
                <w:color w:val="FF0000"/>
                <w:lang w:val="en-US" w:eastAsia="zh-CN"/>
              </w:rPr>
              <w:t>新建锅炉为D4430</w:t>
            </w:r>
            <w:r>
              <w:rPr>
                <w:rFonts w:hint="eastAsia" w:cs="Times New Roman"/>
                <w:color w:val="FF0000"/>
                <w:szCs w:val="21"/>
                <w:lang w:eastAsia="zh-CN"/>
              </w:rPr>
              <w:t>热力生产和供应，</w:t>
            </w:r>
            <w:r>
              <w:rPr>
                <w:color w:val="FF0000"/>
              </w:rPr>
              <w:t>符合如皋市九华镇总体规划中</w:t>
            </w:r>
            <w:r>
              <w:rPr>
                <w:rFonts w:hint="eastAsia"/>
                <w:color w:val="FF0000"/>
                <w:lang w:eastAsia="zh-CN"/>
              </w:rPr>
              <w:t>“</w:t>
            </w:r>
            <w:r>
              <w:rPr>
                <w:rFonts w:ascii="Times New Roman" w:hAnsi="Times New Roman" w:eastAsia="宋体" w:cs="Times New Roman"/>
                <w:color w:val="FF0000"/>
              </w:rPr>
              <w:t>以液压机械铸造、纺织等传统产业为基础，建设传统产业尤其是液压机械铸造基地</w:t>
            </w:r>
            <w:r>
              <w:rPr>
                <w:rFonts w:hint="eastAsia"/>
                <w:color w:val="FF0000"/>
                <w:lang w:eastAsia="zh-CN"/>
              </w:rPr>
              <w:t>”</w:t>
            </w:r>
            <w:r>
              <w:rPr>
                <w:color w:val="FF0000"/>
              </w:rPr>
              <w:t>的</w:t>
            </w:r>
            <w:r>
              <w:rPr>
                <w:rFonts w:hint="eastAsia" w:ascii="Times New Roman" w:hAnsi="Times New Roman" w:eastAsia="宋体" w:cs="Times New Roman"/>
                <w:color w:val="FF0000"/>
                <w:lang w:val="en-US" w:eastAsia="zh-CN"/>
              </w:rPr>
              <w:t>产业发展策略</w:t>
            </w:r>
            <w:r>
              <w:rPr>
                <w:rFonts w:hint="eastAsia"/>
                <w:color w:val="FF0000"/>
              </w:rPr>
              <w:t>，</w:t>
            </w:r>
            <w:r>
              <w:rPr>
                <w:color w:val="FF0000"/>
              </w:rPr>
              <w:t>与如皋市九华镇总体规划相符。</w:t>
            </w:r>
          </w:p>
          <w:p>
            <w:pPr>
              <w:autoSpaceDE w:val="0"/>
              <w:autoSpaceDN w:val="0"/>
              <w:adjustRightInd w:val="0"/>
              <w:snapToGrid w:val="0"/>
              <w:spacing w:line="400" w:lineRule="exact"/>
              <w:ind w:firstLine="420" w:firstLineChars="200"/>
              <w:jc w:val="both"/>
              <w:rPr>
                <w:color w:val="auto"/>
                <w:kern w:val="0"/>
                <w:szCs w:val="21"/>
              </w:rPr>
            </w:pPr>
          </w:p>
          <w:p>
            <w:pPr>
              <w:autoSpaceDE w:val="0"/>
              <w:autoSpaceDN w:val="0"/>
              <w:adjustRightInd w:val="0"/>
              <w:snapToGrid w:val="0"/>
              <w:spacing w:line="360" w:lineRule="exact"/>
              <w:jc w:val="both"/>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91" w:hRule="atLeast"/>
          <w:jc w:val="center"/>
        </w:trPr>
        <w:tc>
          <w:tcPr>
            <w:tcW w:w="813" w:type="dxa"/>
            <w:tcMar>
              <w:left w:w="28" w:type="dxa"/>
              <w:right w:w="28" w:type="dxa"/>
            </w:tcMar>
            <w:vAlign w:val="center"/>
          </w:tcPr>
          <w:p>
            <w:pPr>
              <w:pStyle w:val="82"/>
              <w:adjustRightInd w:val="0"/>
              <w:snapToGrid w:val="0"/>
              <w:spacing w:before="0" w:beforeAutospacing="0" w:after="0" w:afterAutospacing="0"/>
              <w:jc w:val="center"/>
              <w:rPr>
                <w:rFonts w:ascii="Times New Roman" w:hAnsi="Times New Roman"/>
                <w:color w:val="auto"/>
                <w:kern w:val="2"/>
                <w:sz w:val="21"/>
                <w:szCs w:val="21"/>
                <w:lang w:val="en-US" w:eastAsia="zh-CN"/>
              </w:rPr>
            </w:pPr>
            <w:r>
              <w:rPr>
                <w:rFonts w:ascii="Times New Roman" w:hAnsi="Times New Roman"/>
                <w:color w:val="auto"/>
                <w:kern w:val="2"/>
                <w:sz w:val="21"/>
                <w:szCs w:val="21"/>
                <w:lang w:val="en-US" w:eastAsia="zh-CN"/>
              </w:rPr>
              <w:t>其他相符性分析</w:t>
            </w:r>
          </w:p>
        </w:tc>
        <w:tc>
          <w:tcPr>
            <w:tcW w:w="8193" w:type="dxa"/>
            <w:gridSpan w:val="4"/>
            <w:vAlign w:val="center"/>
          </w:tcPr>
          <w:p>
            <w:pPr>
              <w:autoSpaceDE w:val="0"/>
              <w:autoSpaceDN w:val="0"/>
              <w:adjustRightInd w:val="0"/>
              <w:snapToGrid w:val="0"/>
              <w:spacing w:line="400" w:lineRule="exact"/>
              <w:ind w:firstLine="422" w:firstLineChars="200"/>
              <w:rPr>
                <w:b/>
                <w:kern w:val="0"/>
                <w:szCs w:val="21"/>
              </w:rPr>
            </w:pPr>
            <w:r>
              <w:rPr>
                <w:b/>
                <w:kern w:val="0"/>
                <w:szCs w:val="21"/>
              </w:rPr>
              <w:t>1、产业政策相符性分析</w:t>
            </w:r>
          </w:p>
          <w:p>
            <w:pPr>
              <w:autoSpaceDE w:val="0"/>
              <w:autoSpaceDN w:val="0"/>
              <w:adjustRightInd w:val="0"/>
              <w:snapToGrid w:val="0"/>
              <w:spacing w:line="400" w:lineRule="exact"/>
              <w:ind w:firstLine="420" w:firstLineChars="200"/>
              <w:rPr>
                <w:rFonts w:hint="eastAsia"/>
                <w:bCs/>
                <w:kern w:val="0"/>
                <w:szCs w:val="21"/>
                <w:lang w:eastAsia="zh-CN"/>
              </w:rPr>
            </w:pPr>
            <w:r>
              <w:rPr>
                <w:rFonts w:hint="eastAsia"/>
                <w:bCs/>
                <w:kern w:val="0"/>
                <w:szCs w:val="21"/>
              </w:rPr>
              <w:t>本项目</w:t>
            </w:r>
            <w:r>
              <w:rPr>
                <w:rFonts w:hint="eastAsia"/>
                <w:bCs/>
                <w:kern w:val="0"/>
                <w:szCs w:val="21"/>
                <w:lang w:val="en-US" w:eastAsia="zh-CN"/>
              </w:rPr>
              <w:t>主行业</w:t>
            </w:r>
            <w:r>
              <w:rPr>
                <w:rFonts w:hint="eastAsia"/>
                <w:bCs/>
                <w:kern w:val="0"/>
                <w:szCs w:val="21"/>
              </w:rPr>
              <w:t>属于</w:t>
            </w:r>
            <w:r>
              <w:rPr>
                <w:rFonts w:hint="eastAsia"/>
                <w:szCs w:val="21"/>
              </w:rPr>
              <w:t>C1789其他产业用纺织制成品制造</w:t>
            </w:r>
            <w:r>
              <w:rPr>
                <w:rFonts w:hint="eastAsia"/>
                <w:bCs/>
                <w:kern w:val="0"/>
                <w:szCs w:val="21"/>
              </w:rPr>
              <w:t>，</w:t>
            </w:r>
            <w:r>
              <w:rPr>
                <w:rFonts w:hint="eastAsia"/>
                <w:bCs/>
                <w:kern w:val="0"/>
                <w:szCs w:val="21"/>
                <w:lang w:val="en-US" w:eastAsia="zh-CN"/>
              </w:rPr>
              <w:t>新建锅炉属于</w:t>
            </w:r>
            <w:r>
              <w:rPr>
                <w:rFonts w:hint="eastAsia"/>
                <w:bCs/>
                <w:kern w:val="0"/>
                <w:szCs w:val="21"/>
              </w:rPr>
              <w:t>D4430热力生产和供应</w:t>
            </w:r>
            <w:r>
              <w:rPr>
                <w:rFonts w:hint="eastAsia"/>
                <w:bCs/>
                <w:kern w:val="0"/>
                <w:szCs w:val="21"/>
                <w:lang w:eastAsia="zh-CN"/>
              </w:rPr>
              <w:t>，</w:t>
            </w:r>
            <w:r>
              <w:rPr>
                <w:rFonts w:hint="eastAsia"/>
                <w:bCs/>
                <w:kern w:val="0"/>
                <w:szCs w:val="21"/>
              </w:rPr>
              <w:t>对照《产业结构调整指导目录（2024年本）》不属于其中限制类、淘汰类项目</w:t>
            </w:r>
            <w:r>
              <w:rPr>
                <w:rFonts w:hint="eastAsia"/>
                <w:bCs/>
                <w:kern w:val="0"/>
                <w:szCs w:val="21"/>
                <w:lang w:eastAsia="zh-CN"/>
              </w:rPr>
              <w:t>；</w:t>
            </w:r>
          </w:p>
          <w:p>
            <w:pPr>
              <w:autoSpaceDE w:val="0"/>
              <w:autoSpaceDN w:val="0"/>
              <w:adjustRightInd w:val="0"/>
              <w:snapToGrid w:val="0"/>
              <w:spacing w:line="400" w:lineRule="exact"/>
              <w:ind w:firstLine="420" w:firstLineChars="200"/>
              <w:rPr>
                <w:rFonts w:hint="eastAsia"/>
                <w:bCs/>
                <w:color w:val="FF0000"/>
                <w:kern w:val="0"/>
                <w:szCs w:val="21"/>
                <w:lang w:eastAsia="zh-CN"/>
              </w:rPr>
            </w:pPr>
            <w:r>
              <w:rPr>
                <w:rFonts w:hint="eastAsia"/>
                <w:bCs/>
                <w:color w:val="FF0000"/>
                <w:kern w:val="0"/>
                <w:szCs w:val="21"/>
              </w:rPr>
              <w:t>对照《环境保护综合名录（2021年版）》</w:t>
            </w:r>
            <w:r>
              <w:rPr>
                <w:rFonts w:hint="eastAsia"/>
                <w:bCs/>
                <w:color w:val="FF0000"/>
                <w:kern w:val="0"/>
                <w:szCs w:val="21"/>
                <w:lang w:eastAsia="zh-CN"/>
              </w:rPr>
              <w:t>，</w:t>
            </w:r>
            <w:r>
              <w:rPr>
                <w:rFonts w:hint="eastAsia"/>
                <w:bCs/>
                <w:color w:val="FF0000"/>
                <w:kern w:val="0"/>
                <w:szCs w:val="21"/>
                <w:lang w:val="en-US" w:eastAsia="zh-CN"/>
              </w:rPr>
              <w:t>本项目不在名录中</w:t>
            </w:r>
            <w:r>
              <w:rPr>
                <w:rFonts w:hint="eastAsia"/>
                <w:bCs/>
                <w:color w:val="FF0000"/>
                <w:kern w:val="0"/>
                <w:szCs w:val="21"/>
                <w:lang w:eastAsia="zh-CN"/>
              </w:rPr>
              <w:t>；</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FF0000"/>
                <w:kern w:val="0"/>
                <w:szCs w:val="21"/>
                <w:lang w:val="en-US" w:eastAsia="zh-CN"/>
              </w:rPr>
            </w:pPr>
            <w:r>
              <w:rPr>
                <w:rFonts w:hint="eastAsia" w:ascii="Times New Roman" w:hAnsi="Times New Roman" w:eastAsia="宋体" w:cs="Times New Roman"/>
                <w:bCs/>
                <w:color w:val="FF0000"/>
                <w:kern w:val="0"/>
                <w:szCs w:val="21"/>
                <w:lang w:val="en-US" w:eastAsia="zh-CN"/>
              </w:rPr>
              <w:t>对照江苏省产业结构调整限制、淘汰和禁止目录 》（苏政发〔2018〕32号），</w:t>
            </w:r>
            <w:r>
              <w:rPr>
                <w:rFonts w:hint="eastAsia" w:ascii="Times New Roman" w:hAnsi="Times New Roman" w:eastAsia="宋体" w:cs="Times New Roman"/>
                <w:bCs/>
                <w:color w:val="FF0000"/>
                <w:kern w:val="0"/>
                <w:szCs w:val="21"/>
              </w:rPr>
              <w:t>本项目不属于其中的限制类、淘汰类和禁止类项目</w:t>
            </w:r>
            <w:r>
              <w:rPr>
                <w:rFonts w:hint="eastAsia" w:ascii="Times New Roman" w:hAnsi="Times New Roman" w:eastAsia="宋体" w:cs="Times New Roman"/>
                <w:bCs/>
                <w:color w:val="FF0000"/>
                <w:kern w:val="0"/>
                <w:szCs w:val="21"/>
                <w:lang w:eastAsia="zh-CN"/>
              </w:rPr>
              <w:t>；</w:t>
            </w:r>
          </w:p>
          <w:p>
            <w:pPr>
              <w:autoSpaceDE w:val="0"/>
              <w:autoSpaceDN w:val="0"/>
              <w:adjustRightInd w:val="0"/>
              <w:snapToGrid w:val="0"/>
              <w:spacing w:line="400" w:lineRule="exact"/>
              <w:ind w:firstLine="420" w:firstLineChars="200"/>
              <w:rPr>
                <w:rFonts w:hint="eastAsia"/>
                <w:color w:val="FF0000"/>
                <w:kern w:val="0"/>
                <w:szCs w:val="21"/>
                <w:lang w:eastAsia="zh-CN"/>
              </w:rPr>
            </w:pPr>
            <w:r>
              <w:rPr>
                <w:color w:val="FF0000"/>
                <w:kern w:val="0"/>
                <w:szCs w:val="21"/>
              </w:rPr>
              <w:t>对照《市场准入负面清单（</w:t>
            </w:r>
            <w:r>
              <w:rPr>
                <w:rFonts w:hint="eastAsia"/>
                <w:color w:val="FF0000"/>
                <w:kern w:val="0"/>
                <w:szCs w:val="21"/>
              </w:rPr>
              <w:t>2025</w:t>
            </w:r>
            <w:r>
              <w:rPr>
                <w:color w:val="FF0000"/>
                <w:kern w:val="0"/>
                <w:szCs w:val="21"/>
              </w:rPr>
              <w:t>年版）》，本项目不属于其中的禁止准入类或许可准入类</w:t>
            </w:r>
            <w:r>
              <w:rPr>
                <w:rFonts w:hint="eastAsia"/>
                <w:color w:val="FF0000"/>
                <w:kern w:val="0"/>
                <w:szCs w:val="21"/>
                <w:lang w:eastAsia="zh-CN"/>
              </w:rPr>
              <w:t>；</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FF0000"/>
                <w:kern w:val="0"/>
                <w:szCs w:val="21"/>
                <w:lang w:eastAsia="zh-CN"/>
              </w:rPr>
            </w:pPr>
            <w:r>
              <w:rPr>
                <w:rFonts w:hint="eastAsia" w:ascii="Times New Roman" w:hAnsi="Times New Roman" w:eastAsia="宋体" w:cs="Times New Roman"/>
                <w:color w:val="FF0000"/>
                <w:kern w:val="0"/>
                <w:szCs w:val="21"/>
                <w:lang w:val="en-US" w:eastAsia="zh-CN"/>
              </w:rPr>
              <w:t>对照</w:t>
            </w:r>
            <w:r>
              <w:rPr>
                <w:rFonts w:ascii="Times New Roman" w:hAnsi="Times New Roman" w:eastAsia="宋体" w:cs="Times New Roman"/>
                <w:color w:val="FF0000"/>
                <w:kern w:val="0"/>
                <w:szCs w:val="21"/>
              </w:rPr>
              <w:t>《长江经济带发展负面清单指南（2022年版）》</w:t>
            </w:r>
            <w:r>
              <w:rPr>
                <w:rFonts w:hint="eastAsia" w:ascii="Times New Roman" w:hAnsi="Times New Roman" w:eastAsia="宋体" w:cs="Times New Roman"/>
                <w:color w:val="FF0000"/>
                <w:kern w:val="0"/>
                <w:szCs w:val="21"/>
              </w:rPr>
              <w:t>、</w:t>
            </w:r>
            <w:r>
              <w:rPr>
                <w:rFonts w:ascii="Times New Roman" w:hAnsi="Times New Roman" w:eastAsia="宋体" w:cs="Times New Roman"/>
                <w:color w:val="FF0000"/>
                <w:kern w:val="0"/>
                <w:szCs w:val="21"/>
              </w:rPr>
              <w:t>《〈长江经济带发展负面清单指南〉江苏省实施细则》</w:t>
            </w:r>
            <w:r>
              <w:rPr>
                <w:rFonts w:hint="eastAsia" w:ascii="Times New Roman" w:hAnsi="Times New Roman" w:eastAsia="宋体" w:cs="Times New Roman"/>
                <w:color w:val="FF0000"/>
                <w:kern w:val="0"/>
                <w:szCs w:val="21"/>
                <w:lang w:eastAsia="zh-CN"/>
              </w:rPr>
              <w:t>，</w:t>
            </w:r>
            <w:r>
              <w:rPr>
                <w:rFonts w:hint="eastAsia" w:ascii="Times New Roman" w:hAnsi="Times New Roman" w:eastAsia="宋体" w:cs="Times New Roman"/>
                <w:color w:val="FF0000"/>
                <w:kern w:val="0"/>
                <w:szCs w:val="21"/>
              </w:rPr>
              <w:t>本项目</w:t>
            </w:r>
            <w:r>
              <w:rPr>
                <w:rFonts w:ascii="Times New Roman" w:hAnsi="Times New Roman" w:eastAsia="宋体" w:cs="Times New Roman"/>
                <w:color w:val="FF0000"/>
                <w:kern w:val="0"/>
                <w:szCs w:val="21"/>
              </w:rPr>
              <w:t>不在长江经济带发展负面清单指南提出的禁止范畴内</w:t>
            </w:r>
            <w:r>
              <w:rPr>
                <w:rFonts w:hint="eastAsia" w:ascii="Times New Roman" w:hAnsi="Times New Roman" w:eastAsia="宋体" w:cs="Times New Roman"/>
                <w:color w:val="FF0000"/>
                <w:kern w:val="0"/>
                <w:szCs w:val="21"/>
                <w:lang w:eastAsia="zh-CN"/>
              </w:rPr>
              <w:t>；</w:t>
            </w:r>
          </w:p>
          <w:p>
            <w:pPr>
              <w:autoSpaceDE w:val="0"/>
              <w:autoSpaceDN w:val="0"/>
              <w:adjustRightInd w:val="0"/>
              <w:snapToGrid w:val="0"/>
              <w:spacing w:line="400" w:lineRule="exact"/>
              <w:ind w:firstLine="420" w:firstLineChars="200"/>
              <w:rPr>
                <w:rFonts w:hint="eastAsia"/>
                <w:bCs/>
                <w:color w:val="FF0000"/>
                <w:kern w:val="0"/>
                <w:szCs w:val="21"/>
                <w:lang w:eastAsia="zh-CN"/>
              </w:rPr>
            </w:pPr>
            <w:r>
              <w:rPr>
                <w:rFonts w:hint="eastAsia"/>
                <w:bCs/>
                <w:color w:val="FF0000"/>
                <w:kern w:val="0"/>
                <w:szCs w:val="21"/>
                <w:lang w:val="en-US" w:eastAsia="zh-CN"/>
              </w:rPr>
              <w:t>对照</w:t>
            </w:r>
            <w:r>
              <w:rPr>
                <w:rFonts w:hint="eastAsia"/>
                <w:bCs/>
                <w:color w:val="FF0000"/>
                <w:kern w:val="0"/>
                <w:szCs w:val="21"/>
              </w:rPr>
              <w:t>《江苏省“两高”项目管理目录(2025年版)》（苏发改规发〔2025〕4号）</w:t>
            </w:r>
            <w:r>
              <w:rPr>
                <w:rFonts w:hint="eastAsia"/>
                <w:bCs/>
                <w:color w:val="FF0000"/>
                <w:kern w:val="0"/>
                <w:szCs w:val="21"/>
                <w:lang w:eastAsia="zh-CN"/>
              </w:rPr>
              <w:t>“两高”项目涉及（</w:t>
            </w:r>
            <w:r>
              <w:rPr>
                <w:rFonts w:hint="eastAsia"/>
                <w:bCs/>
                <w:color w:val="FF0000"/>
                <w:kern w:val="0"/>
                <w:szCs w:val="21"/>
                <w:lang w:val="en-US" w:eastAsia="zh-CN"/>
              </w:rPr>
              <w:t>1）</w:t>
            </w:r>
            <w:r>
              <w:rPr>
                <w:rFonts w:hint="eastAsia"/>
                <w:bCs/>
                <w:color w:val="FF0000"/>
                <w:kern w:val="0"/>
                <w:szCs w:val="21"/>
                <w:lang w:eastAsia="zh-CN"/>
              </w:rPr>
              <w:t>石油、煤炭及其他燃料加工业，（</w:t>
            </w:r>
            <w:r>
              <w:rPr>
                <w:rFonts w:hint="eastAsia"/>
                <w:bCs/>
                <w:color w:val="FF0000"/>
                <w:kern w:val="0"/>
                <w:szCs w:val="21"/>
                <w:lang w:val="en-US" w:eastAsia="zh-CN"/>
              </w:rPr>
              <w:t>2）</w:t>
            </w:r>
            <w:r>
              <w:rPr>
                <w:rFonts w:hint="eastAsia"/>
                <w:bCs/>
                <w:color w:val="FF0000"/>
                <w:kern w:val="0"/>
                <w:szCs w:val="21"/>
                <w:lang w:eastAsia="zh-CN"/>
              </w:rPr>
              <w:t>化学原料和化学制品制造业，（</w:t>
            </w:r>
            <w:r>
              <w:rPr>
                <w:rFonts w:hint="eastAsia"/>
                <w:bCs/>
                <w:color w:val="FF0000"/>
                <w:kern w:val="0"/>
                <w:szCs w:val="21"/>
                <w:lang w:val="en-US" w:eastAsia="zh-CN"/>
              </w:rPr>
              <w:t>3）</w:t>
            </w:r>
            <w:r>
              <w:rPr>
                <w:rFonts w:hint="eastAsia"/>
                <w:bCs/>
                <w:color w:val="FF0000"/>
                <w:kern w:val="0"/>
                <w:szCs w:val="21"/>
                <w:lang w:eastAsia="zh-CN"/>
              </w:rPr>
              <w:t>非金属矿物制品业，（</w:t>
            </w:r>
            <w:r>
              <w:rPr>
                <w:rFonts w:hint="eastAsia"/>
                <w:bCs/>
                <w:color w:val="FF0000"/>
                <w:kern w:val="0"/>
                <w:szCs w:val="21"/>
                <w:lang w:val="en-US" w:eastAsia="zh-CN"/>
              </w:rPr>
              <w:t>4）</w:t>
            </w:r>
            <w:r>
              <w:rPr>
                <w:rFonts w:hint="eastAsia"/>
                <w:bCs/>
                <w:color w:val="FF0000"/>
                <w:kern w:val="0"/>
                <w:szCs w:val="21"/>
                <w:lang w:eastAsia="zh-CN"/>
              </w:rPr>
              <w:t>黑色金属冶炼和压延加工业，（</w:t>
            </w:r>
            <w:r>
              <w:rPr>
                <w:rFonts w:hint="eastAsia"/>
                <w:bCs/>
                <w:color w:val="FF0000"/>
                <w:kern w:val="0"/>
                <w:szCs w:val="21"/>
                <w:lang w:val="en-US" w:eastAsia="zh-CN"/>
              </w:rPr>
              <w:t>5）</w:t>
            </w:r>
            <w:r>
              <w:rPr>
                <w:rFonts w:hint="eastAsia"/>
                <w:bCs/>
                <w:color w:val="FF0000"/>
                <w:kern w:val="0"/>
                <w:szCs w:val="21"/>
                <w:lang w:eastAsia="zh-CN"/>
              </w:rPr>
              <w:t>有色金属冶炼和压延加工业，（</w:t>
            </w:r>
            <w:r>
              <w:rPr>
                <w:rFonts w:hint="eastAsia"/>
                <w:bCs/>
                <w:color w:val="FF0000"/>
                <w:kern w:val="0"/>
                <w:szCs w:val="21"/>
                <w:lang w:val="en-US" w:eastAsia="zh-CN"/>
              </w:rPr>
              <w:t>6）</w:t>
            </w:r>
            <w:r>
              <w:rPr>
                <w:rFonts w:hint="eastAsia"/>
                <w:bCs/>
                <w:color w:val="FF0000"/>
                <w:kern w:val="0"/>
                <w:szCs w:val="21"/>
                <w:lang w:eastAsia="zh-CN"/>
              </w:rPr>
              <w:t>电力、热力生产和供应，（</w:t>
            </w:r>
            <w:r>
              <w:rPr>
                <w:rFonts w:hint="eastAsia"/>
                <w:bCs/>
                <w:color w:val="FF0000"/>
                <w:kern w:val="0"/>
                <w:szCs w:val="21"/>
                <w:lang w:val="en-US" w:eastAsia="zh-CN"/>
              </w:rPr>
              <w:t>7）</w:t>
            </w:r>
            <w:r>
              <w:rPr>
                <w:rFonts w:hint="eastAsia"/>
                <w:bCs/>
                <w:color w:val="FF0000"/>
                <w:kern w:val="0"/>
                <w:szCs w:val="21"/>
                <w:lang w:eastAsia="zh-CN"/>
              </w:rPr>
              <w:t>软件和信息技术服务业等七个行业中的部分产品和装置。本</w:t>
            </w:r>
            <w:r>
              <w:rPr>
                <w:rFonts w:hint="eastAsia"/>
                <w:bCs/>
                <w:color w:val="FF0000"/>
                <w:kern w:val="0"/>
                <w:szCs w:val="21"/>
                <w:lang w:val="en-US" w:eastAsia="zh-CN"/>
              </w:rPr>
              <w:t>项目</w:t>
            </w:r>
            <w:r>
              <w:rPr>
                <w:rFonts w:hint="eastAsia"/>
                <w:bCs/>
                <w:color w:val="FF0000"/>
                <w:kern w:val="0"/>
                <w:szCs w:val="21"/>
                <w:lang w:eastAsia="zh-CN"/>
              </w:rPr>
              <w:t>生物质锅炉产出为蒸汽，不属于火力发电和热电联产，</w:t>
            </w:r>
            <w:r>
              <w:rPr>
                <w:rFonts w:hint="eastAsia"/>
                <w:bCs/>
                <w:color w:val="FF0000"/>
                <w:kern w:val="0"/>
                <w:szCs w:val="21"/>
              </w:rPr>
              <w:t>不在“高污染、高环境风险”产品名录中，不属于“两高”项目</w:t>
            </w:r>
            <w:r>
              <w:rPr>
                <w:rFonts w:hint="eastAsia"/>
                <w:bCs/>
                <w:color w:val="FF0000"/>
                <w:kern w:val="0"/>
                <w:szCs w:val="21"/>
                <w:lang w:eastAsia="zh-CN"/>
              </w:rPr>
              <w:t>；</w:t>
            </w:r>
          </w:p>
          <w:p>
            <w:pPr>
              <w:autoSpaceDE w:val="0"/>
              <w:autoSpaceDN w:val="0"/>
              <w:adjustRightInd w:val="0"/>
              <w:snapToGrid w:val="0"/>
              <w:spacing w:line="400" w:lineRule="exact"/>
              <w:ind w:firstLine="420" w:firstLineChars="200"/>
              <w:rPr>
                <w:bCs/>
                <w:color w:val="FF0000"/>
                <w:kern w:val="0"/>
                <w:szCs w:val="21"/>
              </w:rPr>
            </w:pPr>
            <w:r>
              <w:rPr>
                <w:rFonts w:hint="eastAsia"/>
                <w:bCs/>
                <w:color w:val="FF0000"/>
                <w:kern w:val="0"/>
                <w:szCs w:val="21"/>
              </w:rPr>
              <w:t>本项目符合国家</w:t>
            </w:r>
            <w:r>
              <w:rPr>
                <w:rFonts w:hint="eastAsia"/>
                <w:bCs/>
                <w:color w:val="FF0000"/>
                <w:kern w:val="0"/>
                <w:szCs w:val="21"/>
                <w:lang w:val="en-US" w:eastAsia="zh-CN"/>
              </w:rPr>
              <w:t>和地方</w:t>
            </w:r>
            <w:r>
              <w:rPr>
                <w:rFonts w:hint="eastAsia"/>
                <w:bCs/>
                <w:color w:val="FF0000"/>
                <w:kern w:val="0"/>
                <w:szCs w:val="21"/>
              </w:rPr>
              <w:t>的产业政策</w:t>
            </w:r>
            <w:r>
              <w:rPr>
                <w:rFonts w:hint="eastAsia"/>
                <w:bCs/>
                <w:color w:val="FF0000"/>
                <w:kern w:val="0"/>
                <w:szCs w:val="21"/>
                <w:lang w:eastAsia="zh-CN"/>
              </w:rPr>
              <w:t>，</w:t>
            </w:r>
            <w:r>
              <w:rPr>
                <w:rFonts w:hint="eastAsia"/>
                <w:bCs/>
                <w:color w:val="FF0000"/>
                <w:kern w:val="0"/>
                <w:szCs w:val="21"/>
              </w:rPr>
              <w:t>本项目已由如皋市数据局（</w:t>
            </w:r>
            <w:r>
              <w:rPr>
                <w:rFonts w:hint="eastAsia"/>
                <w:color w:val="FF0000"/>
                <w:szCs w:val="21"/>
              </w:rPr>
              <w:t>皋数据备〔2026〕375号</w:t>
            </w:r>
            <w:r>
              <w:rPr>
                <w:rFonts w:hint="eastAsia"/>
                <w:bCs/>
                <w:color w:val="FF0000"/>
                <w:kern w:val="0"/>
                <w:szCs w:val="21"/>
              </w:rPr>
              <w:t>）。</w:t>
            </w:r>
          </w:p>
          <w:p>
            <w:pPr>
              <w:autoSpaceDE w:val="0"/>
              <w:autoSpaceDN w:val="0"/>
              <w:adjustRightInd w:val="0"/>
              <w:snapToGrid w:val="0"/>
              <w:spacing w:line="400" w:lineRule="exact"/>
              <w:ind w:firstLine="422" w:firstLineChars="200"/>
              <w:rPr>
                <w:b/>
                <w:kern w:val="0"/>
                <w:szCs w:val="21"/>
              </w:rPr>
            </w:pPr>
            <w:r>
              <w:rPr>
                <w:b/>
                <w:kern w:val="0"/>
                <w:szCs w:val="21"/>
              </w:rPr>
              <w:t>2、选址合理性</w:t>
            </w:r>
          </w:p>
          <w:p>
            <w:pPr>
              <w:autoSpaceDE w:val="0"/>
              <w:autoSpaceDN w:val="0"/>
              <w:adjustRightInd w:val="0"/>
              <w:snapToGrid w:val="0"/>
              <w:spacing w:line="400" w:lineRule="exact"/>
              <w:ind w:firstLine="420" w:firstLineChars="200"/>
              <w:jc w:val="left"/>
              <w:rPr>
                <w:rFonts w:hint="eastAsia"/>
                <w:szCs w:val="21"/>
              </w:rPr>
            </w:pPr>
            <w:r>
              <w:rPr>
                <w:bCs/>
                <w:kern w:val="0"/>
                <w:szCs w:val="21"/>
              </w:rPr>
              <w:t>本项目</w:t>
            </w:r>
            <w:r>
              <w:rPr>
                <w:rFonts w:hint="eastAsia"/>
                <w:bCs/>
                <w:kern w:val="0"/>
                <w:szCs w:val="21"/>
              </w:rPr>
              <w:t>位于</w:t>
            </w:r>
            <w:r>
              <w:rPr>
                <w:color w:val="000000"/>
              </w:rPr>
              <w:t>如皋市九华镇马桥村</w:t>
            </w:r>
            <w:r>
              <w:rPr>
                <w:rFonts w:hint="eastAsia"/>
                <w:color w:val="000000"/>
              </w:rPr>
              <w:t>18组</w:t>
            </w:r>
            <w:r>
              <w:rPr>
                <w:rFonts w:hint="eastAsia"/>
                <w:bCs/>
                <w:kern w:val="0"/>
                <w:szCs w:val="21"/>
              </w:rPr>
              <w:t>，租用</w:t>
            </w:r>
            <w:r>
              <w:rPr>
                <w:rFonts w:hint="eastAsia"/>
                <w:szCs w:val="21"/>
              </w:rPr>
              <w:t>南通华胜数码纺织科技有限公司现有厂房</w:t>
            </w:r>
            <w:r>
              <w:rPr>
                <w:rFonts w:hint="eastAsia"/>
                <w:bCs/>
                <w:kern w:val="0"/>
                <w:szCs w:val="21"/>
              </w:rPr>
              <w:t>，</w:t>
            </w:r>
            <w:r>
              <w:rPr>
                <w:rFonts w:hint="eastAsia"/>
                <w:szCs w:val="21"/>
              </w:rPr>
              <w:t>本项目</w:t>
            </w:r>
            <w:r>
              <w:rPr>
                <w:rFonts w:hint="eastAsia"/>
                <w:szCs w:val="21"/>
                <w:lang w:val="en-US" w:eastAsia="zh-CN"/>
              </w:rPr>
              <w:t>选址</w:t>
            </w:r>
            <w:r>
              <w:rPr>
                <w:rFonts w:hint="eastAsia"/>
                <w:szCs w:val="21"/>
              </w:rPr>
              <w:t>不在《如皋市国土空间总体规划(2021-2035年)》城镇开发边界范围内。</w:t>
            </w:r>
          </w:p>
          <w:p>
            <w:pPr>
              <w:autoSpaceDE w:val="0"/>
              <w:autoSpaceDN w:val="0"/>
              <w:adjustRightInd w:val="0"/>
              <w:snapToGrid w:val="0"/>
              <w:spacing w:line="400" w:lineRule="exact"/>
              <w:ind w:firstLine="420" w:firstLineChars="200"/>
              <w:jc w:val="left"/>
              <w:rPr>
                <w:rFonts w:hint="eastAsia"/>
                <w:szCs w:val="21"/>
              </w:rPr>
            </w:pPr>
            <w:r>
              <w:rPr>
                <w:rFonts w:hint="eastAsia"/>
                <w:szCs w:val="21"/>
              </w:rPr>
              <w:t>《城镇开发边界管理办法(试行)》(自然资规(2026)1号)明确:“第十条城镇开发边界外“三区三线”划定成果启用之前已依法批准的现状城镇建设用地、以及在自然资源部监管系统备案的已批准未建设土地可按本办法有关规定纳入城镇开发边界或作为有特定选址要求的独立城镇建设用地使用，不计入城镇开发边界扩展倍数。"</w:t>
            </w:r>
          </w:p>
          <w:p>
            <w:pPr>
              <w:autoSpaceDE w:val="0"/>
              <w:autoSpaceDN w:val="0"/>
              <w:adjustRightInd w:val="0"/>
              <w:snapToGrid w:val="0"/>
              <w:spacing w:line="400" w:lineRule="exact"/>
              <w:ind w:firstLine="420" w:firstLineChars="200"/>
              <w:jc w:val="left"/>
              <w:rPr>
                <w:bCs/>
                <w:color w:val="FF0000"/>
                <w:kern w:val="0"/>
                <w:szCs w:val="21"/>
              </w:rPr>
            </w:pPr>
            <w:r>
              <w:rPr>
                <w:rFonts w:hint="eastAsia"/>
                <w:szCs w:val="21"/>
              </w:rPr>
              <w:t>根据《南通市国土空间总体规划(2021-2035年)》、《如皋市国土空间总体规划(2021-2035年)》，</w:t>
            </w:r>
            <w:r>
              <w:rPr>
                <w:rFonts w:hint="eastAsia"/>
                <w:bCs/>
                <w:kern w:val="0"/>
                <w:szCs w:val="21"/>
              </w:rPr>
              <w:t>根据土地使用证明</w:t>
            </w:r>
            <w:r>
              <w:rPr>
                <w:rFonts w:hint="eastAsia"/>
                <w:lang w:eastAsia="zh-CN"/>
              </w:rPr>
              <w:t>（</w:t>
            </w:r>
            <w:r>
              <w:rPr>
                <w:rFonts w:hint="eastAsia"/>
                <w:lang w:val="en-US" w:eastAsia="zh-CN"/>
              </w:rPr>
              <w:t>附件3</w:t>
            </w:r>
            <w:r>
              <w:rPr>
                <w:rFonts w:hint="eastAsia"/>
                <w:lang w:eastAsia="zh-CN"/>
              </w:rPr>
              <w:t>）</w:t>
            </w:r>
            <w:r>
              <w:rPr>
                <w:rFonts w:hint="eastAsia"/>
                <w:bCs/>
                <w:kern w:val="0"/>
                <w:szCs w:val="21"/>
              </w:rPr>
              <w:t>，项目用地土地性质属于工业用地</w:t>
            </w:r>
            <w:r>
              <w:rPr>
                <w:rFonts w:hint="eastAsia"/>
                <w:szCs w:val="21"/>
              </w:rPr>
              <w:t>，属于依法批准的现状城镇建设用地，</w:t>
            </w:r>
            <w:r>
              <w:rPr>
                <w:rFonts w:hint="eastAsia"/>
                <w:color w:val="FF0000"/>
                <w:szCs w:val="21"/>
              </w:rPr>
              <w:t>项目所在区域不属于“三区三线”中的永久基本农田、城镇开发边界和生态保护红线，目前区域尚未编制详细村庄规划，九华镇正在积极推进村庄规划编制工作，拟将本项目纳入规划。建设单位承诺(附件17)，待村庄规划编制完成后，若该项目用地与规划不符，将无条件停产、拆除设备并搬离。</w:t>
            </w:r>
          </w:p>
          <w:p>
            <w:pPr>
              <w:autoSpaceDE w:val="0"/>
              <w:autoSpaceDN w:val="0"/>
              <w:adjustRightInd w:val="0"/>
              <w:snapToGrid w:val="0"/>
              <w:spacing w:line="400" w:lineRule="exact"/>
              <w:ind w:firstLine="420" w:firstLineChars="200"/>
              <w:jc w:val="left"/>
              <w:rPr>
                <w:bCs/>
                <w:kern w:val="0"/>
                <w:szCs w:val="21"/>
              </w:rPr>
            </w:pPr>
            <w:r>
              <w:rPr>
                <w:rFonts w:hint="eastAsia"/>
                <w:szCs w:val="21"/>
              </w:rPr>
              <w:t>对照《</w:t>
            </w:r>
            <w:r>
              <w:rPr>
                <w:szCs w:val="21"/>
              </w:rPr>
              <w:t>自然资源要素支撑产业高质量发展指导目录</w:t>
            </w:r>
            <w:r>
              <w:rPr>
                <w:rFonts w:hint="eastAsia"/>
                <w:szCs w:val="21"/>
              </w:rPr>
              <w:t>》</w:t>
            </w:r>
            <w:r>
              <w:rPr>
                <w:szCs w:val="21"/>
              </w:rPr>
              <w:t>（2024年本），</w:t>
            </w:r>
            <w:r>
              <w:rPr>
                <w:rFonts w:hint="eastAsia"/>
                <w:szCs w:val="21"/>
              </w:rPr>
              <w:t>本项目不</w:t>
            </w:r>
            <w:r>
              <w:rPr>
                <w:szCs w:val="21"/>
              </w:rPr>
              <w:t>属于</w:t>
            </w:r>
            <w:r>
              <w:rPr>
                <w:rFonts w:hint="eastAsia"/>
                <w:szCs w:val="21"/>
              </w:rPr>
              <w:t>限制类和禁止类</w:t>
            </w:r>
            <w:r>
              <w:rPr>
                <w:szCs w:val="21"/>
              </w:rPr>
              <w:t>用地项目</w:t>
            </w:r>
            <w:r>
              <w:rPr>
                <w:rFonts w:hint="eastAsia"/>
                <w:szCs w:val="21"/>
              </w:rPr>
              <w:t>，属于</w:t>
            </w:r>
            <w:r>
              <w:rPr>
                <w:szCs w:val="21"/>
              </w:rPr>
              <w:t>允许用地项目类</w:t>
            </w:r>
            <w:r>
              <w:rPr>
                <w:rFonts w:hint="eastAsia"/>
                <w:szCs w:val="21"/>
              </w:rPr>
              <w:t>，</w:t>
            </w:r>
            <w:r>
              <w:rPr>
                <w:rFonts w:hint="eastAsia"/>
                <w:bCs/>
                <w:kern w:val="0"/>
                <w:szCs w:val="21"/>
              </w:rPr>
              <w:t>本</w:t>
            </w:r>
            <w:r>
              <w:rPr>
                <w:bCs/>
                <w:kern w:val="0"/>
                <w:szCs w:val="21"/>
              </w:rPr>
              <w:t>项目选址可行。</w:t>
            </w:r>
          </w:p>
          <w:p>
            <w:pPr>
              <w:autoSpaceDE w:val="0"/>
              <w:autoSpaceDN w:val="0"/>
              <w:adjustRightInd w:val="0"/>
              <w:snapToGrid w:val="0"/>
              <w:spacing w:line="400" w:lineRule="exact"/>
              <w:ind w:firstLine="422" w:firstLineChars="200"/>
              <w:jc w:val="left"/>
              <w:rPr>
                <w:rFonts w:hint="eastAsia" w:eastAsia="宋体"/>
                <w:b/>
                <w:color w:val="auto"/>
                <w:kern w:val="0"/>
                <w:szCs w:val="21"/>
                <w:lang w:val="en-US" w:eastAsia="zh-CN"/>
              </w:rPr>
            </w:pPr>
            <w:r>
              <w:rPr>
                <w:rFonts w:hint="eastAsia"/>
                <w:b/>
                <w:color w:val="auto"/>
                <w:kern w:val="0"/>
                <w:szCs w:val="21"/>
              </w:rPr>
              <w:t>3、</w:t>
            </w:r>
            <w:r>
              <w:rPr>
                <w:rFonts w:hint="eastAsia"/>
                <w:b/>
                <w:color w:val="auto"/>
                <w:kern w:val="0"/>
                <w:szCs w:val="21"/>
                <w:lang w:val="en-US" w:eastAsia="zh-CN"/>
              </w:rPr>
              <w:t>与</w:t>
            </w:r>
            <w:r>
              <w:rPr>
                <w:b/>
                <w:bCs/>
                <w:color w:val="auto"/>
                <w:szCs w:val="21"/>
              </w:rPr>
              <w:t>生态环境分区管控方案</w:t>
            </w:r>
            <w:r>
              <w:rPr>
                <w:rFonts w:hint="eastAsia"/>
                <w:b/>
                <w:bCs/>
                <w:color w:val="auto"/>
                <w:szCs w:val="21"/>
              </w:rPr>
              <w:t>相符性</w:t>
            </w:r>
            <w:r>
              <w:rPr>
                <w:rFonts w:hint="eastAsia"/>
                <w:b/>
                <w:bCs/>
                <w:color w:val="auto"/>
                <w:szCs w:val="21"/>
                <w:lang w:val="en-US" w:eastAsia="zh-CN"/>
              </w:rPr>
              <w:t>分析</w:t>
            </w:r>
          </w:p>
          <w:p>
            <w:pPr>
              <w:autoSpaceDE w:val="0"/>
              <w:autoSpaceDN w:val="0"/>
              <w:adjustRightInd w:val="0"/>
              <w:snapToGrid w:val="0"/>
              <w:spacing w:line="400" w:lineRule="exact"/>
              <w:ind w:firstLine="422" w:firstLineChars="200"/>
              <w:jc w:val="left"/>
              <w:rPr>
                <w:rFonts w:ascii="Times New Roman" w:hAnsi="Times New Roman" w:eastAsia="宋体" w:cs="Times New Roman"/>
                <w:b/>
                <w:color w:val="auto"/>
                <w:kern w:val="0"/>
                <w:szCs w:val="21"/>
              </w:rPr>
            </w:pPr>
            <w:r>
              <w:rPr>
                <w:b/>
                <w:color w:val="auto"/>
                <w:kern w:val="0"/>
                <w:szCs w:val="21"/>
              </w:rPr>
              <w:t>（1）</w:t>
            </w:r>
            <w:r>
              <w:rPr>
                <w:rFonts w:hint="eastAsia" w:ascii="Times New Roman" w:hAnsi="Times New Roman" w:eastAsia="宋体" w:cs="Times New Roman"/>
                <w:b/>
                <w:color w:val="auto"/>
                <w:kern w:val="0"/>
                <w:szCs w:val="21"/>
              </w:rPr>
              <w:t>生态空间管控区域</w:t>
            </w:r>
          </w:p>
          <w:p>
            <w:pPr>
              <w:autoSpaceDE w:val="0"/>
              <w:autoSpaceDN w:val="0"/>
              <w:adjustRightInd w:val="0"/>
              <w:snapToGrid w:val="0"/>
              <w:spacing w:line="400" w:lineRule="exact"/>
              <w:ind w:firstLine="420" w:firstLineChars="200"/>
              <w:rPr>
                <w:kern w:val="0"/>
                <w:szCs w:val="21"/>
              </w:rPr>
            </w:pPr>
            <w:r>
              <w:rPr>
                <w:rFonts w:hint="eastAsia"/>
                <w:szCs w:val="21"/>
              </w:rPr>
              <w:t>本项目位于</w:t>
            </w:r>
            <w:r>
              <w:rPr>
                <w:color w:val="000000"/>
              </w:rPr>
              <w:t>如皋市九华镇马桥村</w:t>
            </w:r>
            <w:r>
              <w:rPr>
                <w:rFonts w:hint="eastAsia"/>
                <w:color w:val="000000"/>
              </w:rPr>
              <w:t>18组</w:t>
            </w:r>
            <w:r>
              <w:rPr>
                <w:rFonts w:hint="eastAsia"/>
                <w:szCs w:val="21"/>
              </w:rPr>
              <w:t>，对照《自然资源部办公厅关于北京等省（区、市）启用“三区三线”划定成果作为报批建设项目用地用海依据的函》（自然资办函〔2022〕2207号）及《自然资源部 生态环境部 国家林业和草原局关于加强生态保护红线管理的通知（试行）》（自然资发〔2022〕142号），距离拟建项目最近的国家级生态保护红线为项目西北侧约27.3km如海运河如城饮用水水源保护区</w:t>
            </w:r>
            <w:r>
              <w:rPr>
                <w:rFonts w:hint="eastAsia"/>
                <w:kern w:val="0"/>
                <w:szCs w:val="21"/>
              </w:rPr>
              <w:t>。</w:t>
            </w:r>
          </w:p>
          <w:p>
            <w:pPr>
              <w:autoSpaceDE w:val="0"/>
              <w:autoSpaceDN w:val="0"/>
              <w:adjustRightInd w:val="0"/>
              <w:snapToGrid w:val="0"/>
              <w:spacing w:line="400" w:lineRule="exact"/>
              <w:ind w:firstLine="420" w:firstLineChars="200"/>
              <w:rPr>
                <w:kern w:val="0"/>
                <w:szCs w:val="21"/>
              </w:rPr>
            </w:pPr>
            <w:r>
              <w:rPr>
                <w:kern w:val="0"/>
                <w:szCs w:val="21"/>
              </w:rPr>
              <w:t>对照</w:t>
            </w:r>
            <w:r>
              <w:rPr>
                <w:rFonts w:hint="eastAsia"/>
                <w:szCs w:val="21"/>
              </w:rPr>
              <w:t>《省政府关于印发&lt;江苏省国土空间规划（2021-2035年）&gt;的通知》（苏政发〔2023〕69号）、《省政府关于南通市国土空间总体规划（2021-2035年）的批复》（苏政复〔2023〕24号）、《江苏省生态空间管控区域规划》（苏政发〔2020〕1号）</w:t>
            </w:r>
            <w:r>
              <w:rPr>
                <w:rFonts w:hint="eastAsia"/>
                <w:szCs w:val="21"/>
                <w:lang w:eastAsia="zh-CN"/>
              </w:rPr>
              <w:t>、</w:t>
            </w:r>
            <w:r>
              <w:rPr>
                <w:rFonts w:hint="eastAsia"/>
                <w:lang w:val="en-US" w:eastAsia="zh-CN"/>
              </w:rPr>
              <w:t>《江苏省政府办公厅关于印发江苏省生态空间管控区域管理办法的通知》（苏政办规〔2026〕1号）</w:t>
            </w:r>
            <w:r>
              <w:rPr>
                <w:rFonts w:hint="eastAsia"/>
                <w:szCs w:val="21"/>
                <w:lang w:val="en-US" w:eastAsia="zh-CN"/>
              </w:rPr>
              <w:t>和</w:t>
            </w:r>
            <w:r>
              <w:rPr>
                <w:rFonts w:hint="eastAsia" w:ascii="Times New Roman" w:hAnsi="Times New Roman" w:eastAsia="宋体" w:cs="Times New Roman"/>
                <w:szCs w:val="21"/>
              </w:rPr>
              <w:t>《如皋市生态空间管控区域调整方案的复函》 （苏自然资函〔2021〕1588号），距</w:t>
            </w:r>
            <w:r>
              <w:rPr>
                <w:kern w:val="0"/>
                <w:szCs w:val="21"/>
              </w:rPr>
              <w:t>离本项目最近的生态空间管控区为</w:t>
            </w:r>
            <w:r>
              <w:rPr>
                <w:rFonts w:hint="eastAsia"/>
                <w:kern w:val="0"/>
                <w:szCs w:val="21"/>
              </w:rPr>
              <w:t>如海</w:t>
            </w:r>
            <w:r>
              <w:rPr>
                <w:kern w:val="0"/>
                <w:szCs w:val="21"/>
              </w:rPr>
              <w:t>运河（</w:t>
            </w:r>
            <w:r>
              <w:rPr>
                <w:rFonts w:hint="eastAsia"/>
                <w:kern w:val="0"/>
                <w:szCs w:val="21"/>
              </w:rPr>
              <w:t>如皋市区</w:t>
            </w:r>
            <w:r>
              <w:rPr>
                <w:kern w:val="0"/>
                <w:szCs w:val="21"/>
              </w:rPr>
              <w:t>）清水通道维护区</w:t>
            </w:r>
            <w:r>
              <w:rPr>
                <w:rFonts w:hint="eastAsia"/>
                <w:kern w:val="0"/>
                <w:szCs w:val="21"/>
              </w:rPr>
              <w:t>（西侧400m），</w:t>
            </w:r>
            <w:r>
              <w:rPr>
                <w:rFonts w:hint="eastAsia"/>
                <w:szCs w:val="21"/>
              </w:rPr>
              <w:t>本项目不涉及范围内生态空间保护区域，符合文件要求。</w:t>
            </w:r>
          </w:p>
          <w:p>
            <w:pPr>
              <w:autoSpaceDE w:val="0"/>
              <w:autoSpaceDN w:val="0"/>
              <w:adjustRightInd w:val="0"/>
              <w:snapToGrid w:val="0"/>
              <w:spacing w:line="400" w:lineRule="exact"/>
              <w:ind w:firstLine="422" w:firstLineChars="200"/>
              <w:jc w:val="left"/>
              <w:rPr>
                <w:rFonts w:ascii="Times New Roman" w:hAnsi="Times New Roman" w:eastAsia="宋体" w:cs="Times New Roman"/>
                <w:b/>
                <w:bCs/>
                <w:color w:val="auto"/>
                <w:kern w:val="0"/>
                <w:szCs w:val="21"/>
              </w:rPr>
            </w:pPr>
            <w:r>
              <w:rPr>
                <w:rFonts w:hint="eastAsia" w:ascii="Times New Roman" w:hAnsi="Times New Roman" w:eastAsia="宋体" w:cs="Times New Roman"/>
                <w:b/>
                <w:color w:val="auto"/>
                <w:kern w:val="0"/>
                <w:szCs w:val="21"/>
                <w:lang w:eastAsia="zh-CN"/>
              </w:rPr>
              <w:t>（</w:t>
            </w:r>
            <w:r>
              <w:rPr>
                <w:rFonts w:hint="eastAsia" w:ascii="Times New Roman" w:hAnsi="Times New Roman" w:eastAsia="宋体" w:cs="Times New Roman"/>
                <w:b/>
                <w:color w:val="auto"/>
                <w:kern w:val="0"/>
                <w:szCs w:val="21"/>
                <w:lang w:val="en-US" w:eastAsia="zh-CN"/>
              </w:rPr>
              <w:t>2）</w:t>
            </w:r>
            <w:r>
              <w:rPr>
                <w:rFonts w:hint="eastAsia" w:ascii="Times New Roman" w:hAnsi="Times New Roman" w:eastAsia="宋体" w:cs="Times New Roman"/>
                <w:b/>
                <w:color w:val="auto"/>
                <w:kern w:val="0"/>
                <w:szCs w:val="21"/>
              </w:rPr>
              <w:t>与《江苏省2023年度生态环境分区管控动态更新成果公告》相符性分析</w:t>
            </w:r>
          </w:p>
          <w:p>
            <w:pPr>
              <w:autoSpaceDE w:val="0"/>
              <w:autoSpaceDN w:val="0"/>
              <w:adjustRightInd w:val="0"/>
              <w:snapToGrid w:val="0"/>
              <w:spacing w:line="400" w:lineRule="exact"/>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经查询江苏省生态环境分区管控综合查询报告书和南通市生态环境分区管控拟建项目研判信息（附件</w:t>
            </w:r>
            <w:r>
              <w:rPr>
                <w:rFonts w:hint="eastAsia" w:cs="Times New Roman"/>
                <w:color w:val="auto"/>
                <w:kern w:val="0"/>
                <w:szCs w:val="21"/>
                <w:lang w:val="en-US" w:eastAsia="zh-CN"/>
              </w:rPr>
              <w:t>5和附件6</w:t>
            </w:r>
            <w:r>
              <w:rPr>
                <w:rFonts w:hint="eastAsia" w:ascii="Times New Roman" w:hAnsi="Times New Roman" w:eastAsia="宋体" w:cs="Times New Roman"/>
                <w:color w:val="auto"/>
                <w:kern w:val="0"/>
                <w:szCs w:val="21"/>
              </w:rPr>
              <w:t>），本项目符合江苏省生态环境分区管控要求。本项目与江苏省省域、重点区域（流域）生态环境管控要求，相符性分析见表1-</w:t>
            </w:r>
            <w:r>
              <w:rPr>
                <w:rFonts w:hint="eastAsia" w:cs="Times New Roman"/>
                <w:color w:val="auto"/>
                <w:kern w:val="0"/>
                <w:szCs w:val="21"/>
                <w:lang w:val="en-US" w:eastAsia="zh-CN"/>
              </w:rPr>
              <w:t>2</w:t>
            </w:r>
            <w:r>
              <w:rPr>
                <w:rFonts w:hint="eastAsia" w:ascii="Times New Roman" w:hAnsi="Times New Roman" w:eastAsia="宋体" w:cs="Times New Roman"/>
                <w:color w:val="auto"/>
                <w:kern w:val="0"/>
                <w:szCs w:val="21"/>
              </w:rPr>
              <w:t>、表1-</w:t>
            </w:r>
            <w:r>
              <w:rPr>
                <w:rFonts w:hint="eastAsia" w:cs="Times New Roman"/>
                <w:color w:val="auto"/>
                <w:kern w:val="0"/>
                <w:szCs w:val="21"/>
                <w:lang w:val="en-US" w:eastAsia="zh-CN"/>
              </w:rPr>
              <w:t>3</w:t>
            </w:r>
            <w:r>
              <w:rPr>
                <w:rFonts w:hint="eastAsia" w:ascii="Times New Roman" w:hAnsi="Times New Roman" w:eastAsia="宋体" w:cs="Times New Roman"/>
                <w:color w:val="auto"/>
                <w:kern w:val="0"/>
                <w:szCs w:val="21"/>
              </w:rPr>
              <w:t>。</w:t>
            </w:r>
          </w:p>
          <w:p>
            <w:pPr>
              <w:autoSpaceDE w:val="0"/>
              <w:autoSpaceDN w:val="0"/>
              <w:adjustRightInd w:val="0"/>
              <w:snapToGrid w:val="0"/>
              <w:spacing w:line="400" w:lineRule="exact"/>
              <w:jc w:val="center"/>
              <w:rPr>
                <w:rFonts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表1-</w:t>
            </w:r>
            <w:r>
              <w:rPr>
                <w:rFonts w:hint="eastAsia" w:cs="Times New Roman"/>
                <w:b/>
                <w:bCs/>
                <w:color w:val="auto"/>
                <w:kern w:val="0"/>
                <w:szCs w:val="21"/>
                <w:lang w:val="en-US" w:eastAsia="zh-CN"/>
              </w:rPr>
              <w:t xml:space="preserve">2 </w:t>
            </w:r>
            <w:r>
              <w:rPr>
                <w:rFonts w:hint="eastAsia" w:ascii="Times New Roman" w:hAnsi="Times New Roman" w:eastAsia="宋体" w:cs="Times New Roman"/>
                <w:b/>
                <w:bCs/>
                <w:color w:val="auto"/>
                <w:kern w:val="0"/>
                <w:szCs w:val="21"/>
              </w:rPr>
              <w:t xml:space="preserve"> 与江苏省省域生态环境管控要求相符性分析</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5074"/>
              <w:gridCol w:w="1775"/>
              <w:gridCol w:w="6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bottom w:val="single" w:color="auto" w:sz="12" w:space="0"/>
                  </w:tcBorders>
                  <w:vAlign w:val="center"/>
                </w:tcPr>
                <w:p>
                  <w:pPr>
                    <w:kinsoku w:val="0"/>
                    <w:overflowPunct w:val="0"/>
                    <w:adjustRightInd w:val="0"/>
                    <w:snapToGrid w:val="0"/>
                    <w:jc w:val="center"/>
                    <w:rPr>
                      <w:color w:val="auto"/>
                      <w:kern w:val="0"/>
                      <w:sz w:val="20"/>
                      <w:szCs w:val="20"/>
                    </w:rPr>
                  </w:pPr>
                  <w:r>
                    <w:rPr>
                      <w:b/>
                      <w:bCs/>
                      <w:color w:val="auto"/>
                      <w:sz w:val="20"/>
                      <w:szCs w:val="20"/>
                    </w:rPr>
                    <w:t>管控类别</w:t>
                  </w:r>
                </w:p>
              </w:tc>
              <w:tc>
                <w:tcPr>
                  <w:tcW w:w="3067" w:type="pct"/>
                  <w:tcBorders>
                    <w:bottom w:val="single" w:color="auto" w:sz="12" w:space="0"/>
                  </w:tcBorders>
                  <w:vAlign w:val="center"/>
                </w:tcPr>
                <w:p>
                  <w:pPr>
                    <w:kinsoku w:val="0"/>
                    <w:overflowPunct w:val="0"/>
                    <w:adjustRightInd w:val="0"/>
                    <w:snapToGrid w:val="0"/>
                    <w:jc w:val="center"/>
                    <w:rPr>
                      <w:color w:val="auto"/>
                      <w:kern w:val="0"/>
                      <w:sz w:val="20"/>
                      <w:szCs w:val="20"/>
                    </w:rPr>
                  </w:pPr>
                  <w:r>
                    <w:rPr>
                      <w:b/>
                      <w:bCs/>
                      <w:color w:val="auto"/>
                      <w:sz w:val="20"/>
                      <w:szCs w:val="20"/>
                    </w:rPr>
                    <w:t>重点管控要求</w:t>
                  </w:r>
                </w:p>
              </w:tc>
              <w:tc>
                <w:tcPr>
                  <w:tcW w:w="1073" w:type="pct"/>
                  <w:tcBorders>
                    <w:bottom w:val="single" w:color="auto" w:sz="12" w:space="0"/>
                  </w:tcBorders>
                  <w:vAlign w:val="center"/>
                </w:tcPr>
                <w:p>
                  <w:pPr>
                    <w:kinsoku w:val="0"/>
                    <w:overflowPunct w:val="0"/>
                    <w:adjustRightInd w:val="0"/>
                    <w:snapToGrid w:val="0"/>
                    <w:jc w:val="center"/>
                    <w:rPr>
                      <w:color w:val="auto"/>
                      <w:kern w:val="0"/>
                      <w:sz w:val="20"/>
                      <w:szCs w:val="20"/>
                    </w:rPr>
                  </w:pPr>
                  <w:r>
                    <w:rPr>
                      <w:b/>
                      <w:bCs/>
                      <w:color w:val="auto"/>
                      <w:sz w:val="20"/>
                      <w:szCs w:val="20"/>
                    </w:rPr>
                    <w:t>相符性分析</w:t>
                  </w:r>
                </w:p>
              </w:tc>
              <w:tc>
                <w:tcPr>
                  <w:tcW w:w="386" w:type="pct"/>
                  <w:tcBorders>
                    <w:bottom w:val="single" w:color="auto" w:sz="12" w:space="0"/>
                  </w:tcBorders>
                  <w:vAlign w:val="center"/>
                </w:tcPr>
                <w:p>
                  <w:pPr>
                    <w:kinsoku w:val="0"/>
                    <w:overflowPunct w:val="0"/>
                    <w:adjustRightInd w:val="0"/>
                    <w:snapToGrid w:val="0"/>
                    <w:jc w:val="center"/>
                    <w:rPr>
                      <w:color w:val="auto"/>
                      <w:kern w:val="0"/>
                      <w:sz w:val="20"/>
                      <w:szCs w:val="20"/>
                    </w:rPr>
                  </w:pPr>
                  <w:r>
                    <w:rPr>
                      <w:rFonts w:hint="eastAsia"/>
                      <w:b/>
                      <w:bCs/>
                      <w:color w:val="auto"/>
                      <w:sz w:val="20"/>
                      <w:szCs w:val="2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op w:val="single" w:color="auto" w:sz="12" w:space="0"/>
                    <w:tl2br w:val="nil"/>
                    <w:tr2bl w:val="nil"/>
                  </w:tcBorders>
                  <w:vAlign w:val="center"/>
                </w:tcPr>
                <w:p>
                  <w:pPr>
                    <w:adjustRightInd w:val="0"/>
                    <w:snapToGrid w:val="0"/>
                    <w:jc w:val="center"/>
                    <w:rPr>
                      <w:color w:val="auto"/>
                      <w:kern w:val="0"/>
                      <w:sz w:val="20"/>
                      <w:szCs w:val="20"/>
                    </w:rPr>
                  </w:pPr>
                  <w:r>
                    <w:rPr>
                      <w:color w:val="auto"/>
                      <w:kern w:val="0"/>
                      <w:sz w:val="20"/>
                      <w:szCs w:val="20"/>
                    </w:rPr>
                    <w:t>空间布局约束</w:t>
                  </w:r>
                </w:p>
              </w:tc>
              <w:tc>
                <w:tcPr>
                  <w:tcW w:w="3067" w:type="pct"/>
                  <w:tcBorders>
                    <w:top w:val="single" w:color="auto" w:sz="12" w:space="0"/>
                    <w:tl2br w:val="nil"/>
                    <w:tr2bl w:val="nil"/>
                  </w:tcBorders>
                  <w:vAlign w:val="center"/>
                </w:tcPr>
                <w:p>
                  <w:pPr>
                    <w:adjustRightInd w:val="0"/>
                    <w:snapToGrid w:val="0"/>
                    <w:jc w:val="center"/>
                    <w:rPr>
                      <w:color w:val="auto"/>
                      <w:kern w:val="0"/>
                      <w:sz w:val="20"/>
                      <w:szCs w:val="20"/>
                    </w:rPr>
                  </w:pPr>
                  <w:r>
                    <w:rPr>
                      <w:color w:val="auto"/>
                      <w:kern w:val="0"/>
                      <w:sz w:val="20"/>
                      <w:szCs w:val="20"/>
                    </w:rPr>
                    <w:t>1．按照《自然资源部 生态环境部 国家林业和草原局关于加强生态保护红线管理的通知（试行）》（自然资发〔2022〕142号）、《省政府关于印发江苏省生态空间管控区域规划的通知》（苏政发〔2020〕1号）、《关于进一步加强生态保护红线监督管理的通知》（苏自然函（2023）880号）、《江苏省国土空间规划（2021</w:t>
                  </w:r>
                  <w:r>
                    <w:rPr>
                      <w:rFonts w:hint="eastAsia"/>
                      <w:color w:val="auto"/>
                      <w:kern w:val="0"/>
                      <w:sz w:val="20"/>
                      <w:szCs w:val="20"/>
                    </w:rPr>
                    <w:t>-</w:t>
                  </w:r>
                  <w:r>
                    <w:rPr>
                      <w:color w:val="auto"/>
                      <w:kern w:val="0"/>
                      <w:sz w:val="20"/>
                      <w:szCs w:val="20"/>
                    </w:rPr>
                    <w:t>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pPr>
                    <w:adjustRightInd w:val="0"/>
                    <w:snapToGrid w:val="0"/>
                    <w:jc w:val="center"/>
                    <w:rPr>
                      <w:color w:val="auto"/>
                      <w:kern w:val="0"/>
                      <w:sz w:val="20"/>
                      <w:szCs w:val="20"/>
                    </w:rPr>
                  </w:pPr>
                  <w:r>
                    <w:rPr>
                      <w:color w:val="auto"/>
                      <w:kern w:val="0"/>
                      <w:sz w:val="20"/>
                      <w:szCs w:val="20"/>
                    </w:rPr>
                    <w:t>2．牢牢把握推动长江经济带发展“共抓大保护，不搞大开发”战略导向，对省域范围内需要重点保护的岸线、河段和区域实行严格管控，管住控好排放量大、耗能高、产能过剩的产业，推动长江经济带高质量发展。</w:t>
                  </w:r>
                </w:p>
                <w:p>
                  <w:pPr>
                    <w:adjustRightInd w:val="0"/>
                    <w:snapToGrid w:val="0"/>
                    <w:jc w:val="center"/>
                    <w:rPr>
                      <w:color w:val="auto"/>
                      <w:kern w:val="0"/>
                      <w:sz w:val="20"/>
                      <w:szCs w:val="20"/>
                    </w:rPr>
                  </w:pPr>
                  <w:r>
                    <w:rPr>
                      <w:color w:val="auto"/>
                      <w:kern w:val="0"/>
                      <w:sz w:val="20"/>
                      <w:szCs w:val="20"/>
                    </w:rPr>
                    <w:t>3．大幅压减沿长江干支流两侧1公里范围内、环境敏感区域、城镇人口密集区、化工园区外和规模以下化工生产企业，着力破解“重化围江”突出问题，高起点同步推进沿江地区战略性转型和沿海地区战略性布局。</w:t>
                  </w:r>
                </w:p>
                <w:p>
                  <w:pPr>
                    <w:adjustRightInd w:val="0"/>
                    <w:snapToGrid w:val="0"/>
                    <w:jc w:val="center"/>
                    <w:rPr>
                      <w:color w:val="auto"/>
                      <w:kern w:val="0"/>
                      <w:sz w:val="20"/>
                      <w:szCs w:val="20"/>
                    </w:rPr>
                  </w:pPr>
                  <w:r>
                    <w:rPr>
                      <w:color w:val="auto"/>
                      <w:kern w:val="0"/>
                      <w:sz w:val="20"/>
                      <w:szCs w:val="20"/>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pPr>
                    <w:adjustRightInd w:val="0"/>
                    <w:snapToGrid w:val="0"/>
                    <w:jc w:val="center"/>
                    <w:rPr>
                      <w:color w:val="auto"/>
                      <w:kern w:val="0"/>
                      <w:sz w:val="20"/>
                      <w:szCs w:val="20"/>
                    </w:rPr>
                  </w:pPr>
                  <w:r>
                    <w:rPr>
                      <w:color w:val="auto"/>
                      <w:kern w:val="0"/>
                      <w:sz w:val="20"/>
                      <w:szCs w:val="20"/>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073" w:type="pct"/>
                  <w:tcBorders>
                    <w:top w:val="single" w:color="auto" w:sz="12" w:space="0"/>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本项目符合</w:t>
                  </w:r>
                  <w:r>
                    <w:rPr>
                      <w:color w:val="auto"/>
                      <w:kern w:val="0"/>
                      <w:sz w:val="20"/>
                      <w:szCs w:val="20"/>
                    </w:rPr>
                    <w:t>自然资发〔2022〕142号、苏政发〔2020〕1号、苏自然函（2023）880号、国函〔2023〕69号</w:t>
                  </w:r>
                  <w:r>
                    <w:rPr>
                      <w:rFonts w:hint="eastAsia"/>
                      <w:color w:val="auto"/>
                      <w:kern w:val="0"/>
                      <w:sz w:val="20"/>
                      <w:szCs w:val="20"/>
                    </w:rPr>
                    <w:t>文相关要求；本项目不在</w:t>
                  </w:r>
                  <w:r>
                    <w:rPr>
                      <w:color w:val="auto"/>
                      <w:kern w:val="0"/>
                      <w:sz w:val="20"/>
                      <w:szCs w:val="20"/>
                    </w:rPr>
                    <w:t>省域范围内需要重点保护的岸线、河段和区域</w:t>
                  </w:r>
                  <w:r>
                    <w:rPr>
                      <w:rFonts w:hint="eastAsia"/>
                      <w:color w:val="auto"/>
                      <w:kern w:val="0"/>
                      <w:sz w:val="20"/>
                      <w:szCs w:val="20"/>
                    </w:rPr>
                    <w:t>范围内；本项目不在生态红线、生态管控空间范围内</w:t>
                  </w:r>
                </w:p>
              </w:tc>
              <w:tc>
                <w:tcPr>
                  <w:tcW w:w="386" w:type="pct"/>
                  <w:tcBorders>
                    <w:top w:val="single" w:color="auto" w:sz="12" w:space="0"/>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污染物排放管控</w:t>
                  </w:r>
                </w:p>
              </w:tc>
              <w:tc>
                <w:tcPr>
                  <w:tcW w:w="3067"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1．坚持生态环境质量只能更好、不能变坏，实施污染物总量控制，以环境容量定产业、定项目、定规模，确保开发建设行为不突破生态环境承载力。</w:t>
                  </w:r>
                </w:p>
                <w:p>
                  <w:pPr>
                    <w:adjustRightInd w:val="0"/>
                    <w:snapToGrid w:val="0"/>
                    <w:jc w:val="center"/>
                    <w:rPr>
                      <w:color w:val="auto"/>
                      <w:kern w:val="0"/>
                      <w:sz w:val="20"/>
                      <w:szCs w:val="20"/>
                    </w:rPr>
                  </w:pPr>
                  <w:r>
                    <w:rPr>
                      <w:color w:val="auto"/>
                      <w:kern w:val="0"/>
                      <w:sz w:val="20"/>
                      <w:szCs w:val="20"/>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073"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本项目污染物均采取有效措施后达标排放，</w:t>
                  </w:r>
                  <w:r>
                    <w:rPr>
                      <w:color w:val="auto"/>
                      <w:kern w:val="0"/>
                      <w:sz w:val="20"/>
                      <w:szCs w:val="20"/>
                    </w:rPr>
                    <w:t>不突破生态环境承载力</w:t>
                  </w:r>
                  <w:r>
                    <w:rPr>
                      <w:rFonts w:hint="eastAsia"/>
                      <w:color w:val="auto"/>
                      <w:kern w:val="0"/>
                      <w:sz w:val="20"/>
                      <w:szCs w:val="20"/>
                      <w:lang w:eastAsia="zh-CN"/>
                    </w:rPr>
                    <w:t>，</w:t>
                  </w:r>
                  <w:r>
                    <w:rPr>
                      <w:rFonts w:hint="eastAsia"/>
                      <w:color w:val="auto"/>
                      <w:kern w:val="0"/>
                      <w:sz w:val="20"/>
                      <w:szCs w:val="20"/>
                      <w:lang w:val="en-US" w:eastAsia="zh-CN"/>
                    </w:rPr>
                    <w:t>污染物排放可控</w:t>
                  </w:r>
                  <w:r>
                    <w:rPr>
                      <w:rFonts w:hint="eastAsia"/>
                      <w:color w:val="auto"/>
                      <w:kern w:val="0"/>
                      <w:sz w:val="20"/>
                      <w:szCs w:val="20"/>
                    </w:rPr>
                    <w:t>。</w:t>
                  </w:r>
                </w:p>
              </w:tc>
              <w:tc>
                <w:tcPr>
                  <w:tcW w:w="386"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环境风险</w:t>
                  </w:r>
                </w:p>
                <w:p>
                  <w:pPr>
                    <w:adjustRightInd w:val="0"/>
                    <w:snapToGrid w:val="0"/>
                    <w:jc w:val="center"/>
                    <w:rPr>
                      <w:color w:val="auto"/>
                      <w:kern w:val="0"/>
                      <w:sz w:val="20"/>
                      <w:szCs w:val="20"/>
                    </w:rPr>
                  </w:pPr>
                  <w:r>
                    <w:rPr>
                      <w:color w:val="auto"/>
                      <w:kern w:val="0"/>
                      <w:sz w:val="20"/>
                      <w:szCs w:val="20"/>
                    </w:rPr>
                    <w:t>防控</w:t>
                  </w:r>
                </w:p>
              </w:tc>
              <w:tc>
                <w:tcPr>
                  <w:tcW w:w="3067"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1．强化饮用水水源环境风险管控。县级以上城市全部建成应急水源或双源供水。</w:t>
                  </w:r>
                </w:p>
                <w:p>
                  <w:pPr>
                    <w:adjustRightInd w:val="0"/>
                    <w:snapToGrid w:val="0"/>
                    <w:jc w:val="center"/>
                    <w:rPr>
                      <w:color w:val="auto"/>
                      <w:kern w:val="0"/>
                      <w:sz w:val="20"/>
                      <w:szCs w:val="20"/>
                    </w:rPr>
                  </w:pPr>
                  <w:r>
                    <w:rPr>
                      <w:color w:val="auto"/>
                      <w:kern w:val="0"/>
                      <w:sz w:val="20"/>
                      <w:szCs w:val="20"/>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pPr>
                    <w:adjustRightInd w:val="0"/>
                    <w:snapToGrid w:val="0"/>
                    <w:jc w:val="center"/>
                    <w:rPr>
                      <w:color w:val="auto"/>
                      <w:kern w:val="0"/>
                      <w:sz w:val="20"/>
                      <w:szCs w:val="20"/>
                    </w:rPr>
                  </w:pPr>
                  <w:r>
                    <w:rPr>
                      <w:color w:val="auto"/>
                      <w:kern w:val="0"/>
                      <w:sz w:val="20"/>
                      <w:szCs w:val="20"/>
                    </w:rPr>
                    <w:t>3．强化环境事故应急管理。深化跨部门、跨区域环境应急协调联动，分区域建立环境应急物资储备库。各级工业园区（集聚区）和企业的环境应急装备和储备物资应纳入储备体系。</w:t>
                  </w:r>
                </w:p>
                <w:p>
                  <w:pPr>
                    <w:adjustRightInd w:val="0"/>
                    <w:snapToGrid w:val="0"/>
                    <w:jc w:val="center"/>
                    <w:rPr>
                      <w:color w:val="auto"/>
                      <w:kern w:val="0"/>
                      <w:sz w:val="20"/>
                      <w:szCs w:val="20"/>
                    </w:rPr>
                  </w:pPr>
                  <w:r>
                    <w:rPr>
                      <w:color w:val="auto"/>
                      <w:kern w:val="0"/>
                      <w:sz w:val="20"/>
                      <w:szCs w:val="20"/>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073" w:type="pct"/>
                  <w:tcBorders>
                    <w:tl2br w:val="nil"/>
                    <w:tr2bl w:val="nil"/>
                  </w:tcBorders>
                  <w:vAlign w:val="center"/>
                </w:tcPr>
                <w:p>
                  <w:pPr>
                    <w:adjustRightInd w:val="0"/>
                    <w:snapToGrid w:val="0"/>
                    <w:jc w:val="center"/>
                    <w:rPr>
                      <w:color w:val="auto"/>
                      <w:sz w:val="20"/>
                      <w:szCs w:val="20"/>
                    </w:rPr>
                  </w:pPr>
                  <w:r>
                    <w:rPr>
                      <w:rFonts w:hint="eastAsia"/>
                      <w:color w:val="auto"/>
                      <w:kern w:val="0"/>
                      <w:sz w:val="20"/>
                      <w:szCs w:val="20"/>
                    </w:rPr>
                    <w:t>本项目不涉及饮用水源；</w:t>
                  </w:r>
                  <w:r>
                    <w:rPr>
                      <w:color w:val="auto"/>
                      <w:kern w:val="0"/>
                      <w:sz w:val="20"/>
                      <w:szCs w:val="20"/>
                    </w:rPr>
                    <w:t>本项目建成后将制定环境风险应急预案，同时企业内储备有足够的环境应急物资，实现环境风险联防联控，故能满足环境风险防控的相关要求。</w:t>
                  </w:r>
                </w:p>
              </w:tc>
              <w:tc>
                <w:tcPr>
                  <w:tcW w:w="386"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2"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资源利用</w:t>
                  </w:r>
                </w:p>
                <w:p>
                  <w:pPr>
                    <w:adjustRightInd w:val="0"/>
                    <w:snapToGrid w:val="0"/>
                    <w:jc w:val="center"/>
                    <w:rPr>
                      <w:color w:val="auto"/>
                      <w:kern w:val="0"/>
                      <w:sz w:val="20"/>
                      <w:szCs w:val="20"/>
                    </w:rPr>
                  </w:pPr>
                  <w:r>
                    <w:rPr>
                      <w:color w:val="auto"/>
                      <w:kern w:val="0"/>
                      <w:sz w:val="20"/>
                      <w:szCs w:val="20"/>
                    </w:rPr>
                    <w:t>效率要求</w:t>
                  </w:r>
                </w:p>
              </w:tc>
              <w:tc>
                <w:tcPr>
                  <w:tcW w:w="3067"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1．水资源利用总量及效率要求：到2025年，全省用水总量控制在525.9亿立方米以内，万元地区生产总值用水量、万元工业增加值用水量下降完成</w:t>
                  </w:r>
                  <w:r>
                    <w:rPr>
                      <w:rFonts w:hint="eastAsia"/>
                      <w:color w:val="auto"/>
                      <w:kern w:val="0"/>
                      <w:sz w:val="20"/>
                      <w:szCs w:val="20"/>
                    </w:rPr>
                    <w:t>国</w:t>
                  </w:r>
                  <w:r>
                    <w:rPr>
                      <w:color w:val="auto"/>
                      <w:kern w:val="0"/>
                      <w:sz w:val="20"/>
                      <w:szCs w:val="20"/>
                    </w:rPr>
                    <w:t>家下达目标，农田灌溉水有效利用系数提高到0.625。</w:t>
                  </w:r>
                </w:p>
                <w:p>
                  <w:pPr>
                    <w:adjustRightInd w:val="0"/>
                    <w:snapToGrid w:val="0"/>
                    <w:jc w:val="center"/>
                    <w:rPr>
                      <w:color w:val="auto"/>
                      <w:kern w:val="0"/>
                      <w:sz w:val="20"/>
                      <w:szCs w:val="20"/>
                    </w:rPr>
                  </w:pPr>
                  <w:r>
                    <w:rPr>
                      <w:color w:val="auto"/>
                      <w:kern w:val="0"/>
                      <w:sz w:val="20"/>
                      <w:szCs w:val="20"/>
                    </w:rPr>
                    <w:t>2．土地资源总量要求：到2025年，江苏省耕地保有量不低于5977万亩，其中永久基本农田保护面积不低于5344万亩。</w:t>
                  </w:r>
                </w:p>
                <w:p>
                  <w:pPr>
                    <w:adjustRightInd w:val="0"/>
                    <w:snapToGrid w:val="0"/>
                    <w:jc w:val="center"/>
                    <w:rPr>
                      <w:color w:val="auto"/>
                      <w:kern w:val="0"/>
                      <w:sz w:val="20"/>
                      <w:szCs w:val="20"/>
                    </w:rPr>
                  </w:pPr>
                  <w:r>
                    <w:rPr>
                      <w:color w:val="auto"/>
                      <w:kern w:val="0"/>
                      <w:sz w:val="20"/>
                      <w:szCs w:val="20"/>
                    </w:rPr>
                    <w:t>3．禁燃区要求：在禁燃区内，禁止销售、燃用高污染燃料；禁止新建、扩建燃用高污染燃料的设施，已建成的，应当在城市人民政府规定的期限内改用天然气、页岩气、液化石油气、电或者其他清洁能源。</w:t>
                  </w:r>
                </w:p>
              </w:tc>
              <w:tc>
                <w:tcPr>
                  <w:tcW w:w="1073" w:type="pct"/>
                  <w:tcBorders>
                    <w:tl2br w:val="nil"/>
                    <w:tr2bl w:val="nil"/>
                  </w:tcBorders>
                  <w:vAlign w:val="center"/>
                </w:tcPr>
                <w:p>
                  <w:pPr>
                    <w:adjustRightInd w:val="0"/>
                    <w:snapToGrid w:val="0"/>
                    <w:jc w:val="center"/>
                    <w:rPr>
                      <w:rFonts w:hint="eastAsia"/>
                      <w:color w:val="auto"/>
                      <w:sz w:val="20"/>
                      <w:szCs w:val="20"/>
                      <w:lang w:val="en-US" w:eastAsia="zh-CN"/>
                    </w:rPr>
                  </w:pPr>
                  <w:r>
                    <w:rPr>
                      <w:rFonts w:hint="eastAsia" w:ascii="Times New Roman" w:hAnsi="Times New Roman" w:eastAsia="宋体" w:cs="Times New Roman"/>
                      <w:color w:val="auto"/>
                      <w:sz w:val="20"/>
                      <w:szCs w:val="20"/>
                      <w:lang w:val="en-US" w:eastAsia="zh-CN"/>
                    </w:rPr>
                    <w:t>本项目使用生物质燃料，且配备低氮燃烧+SNCR+</w:t>
                  </w:r>
                  <w:r>
                    <w:rPr>
                      <w:rFonts w:hint="eastAsia" w:cs="Times New Roman"/>
                      <w:color w:val="auto"/>
                      <w:sz w:val="20"/>
                      <w:szCs w:val="20"/>
                      <w:lang w:val="en-US" w:eastAsia="zh-CN"/>
                    </w:rPr>
                    <w:t>石灰喷雾干燥+</w:t>
                  </w:r>
                  <w:r>
                    <w:rPr>
                      <w:rFonts w:hint="eastAsia" w:ascii="Times New Roman" w:hAnsi="Times New Roman" w:eastAsia="宋体" w:cs="Times New Roman"/>
                      <w:color w:val="auto"/>
                      <w:sz w:val="20"/>
                      <w:szCs w:val="20"/>
                      <w:lang w:val="en-US" w:eastAsia="zh-CN"/>
                    </w:rPr>
                    <w:t>余热回收+旋风除尘+布袋除尘+水幕除尘的高效除尘设备，不属于禁止类燃料。</w:t>
                  </w:r>
                </w:p>
              </w:tc>
              <w:tc>
                <w:tcPr>
                  <w:tcW w:w="386"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bl>
          <w:p>
            <w:pPr>
              <w:adjustRightInd w:val="0"/>
              <w:snapToGrid w:val="0"/>
              <w:spacing w:before="120" w:beforeLines="50"/>
              <w:jc w:val="center"/>
              <w:rPr>
                <w:color w:val="auto"/>
                <w:szCs w:val="21"/>
              </w:rPr>
            </w:pPr>
            <w:r>
              <w:rPr>
                <w:rFonts w:hint="eastAsia"/>
                <w:b/>
                <w:bCs/>
                <w:color w:val="auto"/>
                <w:kern w:val="0"/>
                <w:szCs w:val="21"/>
              </w:rPr>
              <w:t>表1-</w:t>
            </w:r>
            <w:r>
              <w:rPr>
                <w:rFonts w:hint="eastAsia"/>
                <w:b/>
                <w:bCs/>
                <w:color w:val="auto"/>
                <w:kern w:val="0"/>
                <w:szCs w:val="21"/>
                <w:lang w:val="en-US" w:eastAsia="zh-CN"/>
              </w:rPr>
              <w:t xml:space="preserve">3 </w:t>
            </w:r>
            <w:r>
              <w:rPr>
                <w:rFonts w:hint="eastAsia"/>
                <w:b/>
                <w:bCs/>
                <w:color w:val="auto"/>
                <w:kern w:val="0"/>
                <w:szCs w:val="21"/>
              </w:rPr>
              <w:t xml:space="preserve"> 与江苏省重点区域（流域）生态环境分区管控要求相符性分析</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5125"/>
              <w:gridCol w:w="1708"/>
              <w:gridCol w:w="6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bottom w:val="single" w:color="auto" w:sz="12" w:space="0"/>
                  </w:tcBorders>
                  <w:vAlign w:val="center"/>
                </w:tcPr>
                <w:p>
                  <w:pPr>
                    <w:kinsoku w:val="0"/>
                    <w:overflowPunct w:val="0"/>
                    <w:adjustRightInd w:val="0"/>
                    <w:snapToGrid w:val="0"/>
                    <w:jc w:val="center"/>
                    <w:rPr>
                      <w:color w:val="auto"/>
                      <w:kern w:val="0"/>
                      <w:sz w:val="20"/>
                      <w:szCs w:val="20"/>
                    </w:rPr>
                  </w:pPr>
                  <w:r>
                    <w:rPr>
                      <w:b/>
                      <w:bCs/>
                      <w:color w:val="auto"/>
                      <w:sz w:val="20"/>
                      <w:szCs w:val="20"/>
                    </w:rPr>
                    <w:t>管控类别</w:t>
                  </w:r>
                </w:p>
              </w:tc>
              <w:tc>
                <w:tcPr>
                  <w:tcW w:w="3099" w:type="pct"/>
                  <w:tcBorders>
                    <w:bottom w:val="single" w:color="auto" w:sz="12" w:space="0"/>
                  </w:tcBorders>
                  <w:vAlign w:val="center"/>
                </w:tcPr>
                <w:p>
                  <w:pPr>
                    <w:kinsoku w:val="0"/>
                    <w:overflowPunct w:val="0"/>
                    <w:adjustRightInd w:val="0"/>
                    <w:snapToGrid w:val="0"/>
                    <w:jc w:val="center"/>
                    <w:rPr>
                      <w:color w:val="auto"/>
                      <w:kern w:val="0"/>
                      <w:sz w:val="20"/>
                      <w:szCs w:val="20"/>
                    </w:rPr>
                  </w:pPr>
                  <w:r>
                    <w:rPr>
                      <w:b/>
                      <w:bCs/>
                      <w:color w:val="auto"/>
                      <w:sz w:val="20"/>
                      <w:szCs w:val="20"/>
                    </w:rPr>
                    <w:t>重点管控要求</w:t>
                  </w:r>
                </w:p>
              </w:tc>
              <w:tc>
                <w:tcPr>
                  <w:tcW w:w="1033" w:type="pct"/>
                  <w:tcBorders>
                    <w:bottom w:val="single" w:color="auto" w:sz="12" w:space="0"/>
                  </w:tcBorders>
                  <w:vAlign w:val="center"/>
                </w:tcPr>
                <w:p>
                  <w:pPr>
                    <w:kinsoku w:val="0"/>
                    <w:overflowPunct w:val="0"/>
                    <w:adjustRightInd w:val="0"/>
                    <w:snapToGrid w:val="0"/>
                    <w:jc w:val="center"/>
                    <w:rPr>
                      <w:color w:val="auto"/>
                      <w:kern w:val="0"/>
                      <w:sz w:val="20"/>
                      <w:szCs w:val="20"/>
                    </w:rPr>
                  </w:pPr>
                  <w:r>
                    <w:rPr>
                      <w:rFonts w:hint="eastAsia"/>
                      <w:b/>
                      <w:bCs/>
                      <w:color w:val="auto"/>
                      <w:sz w:val="20"/>
                      <w:szCs w:val="20"/>
                    </w:rPr>
                    <w:t>本项目情况</w:t>
                  </w:r>
                </w:p>
              </w:tc>
              <w:tc>
                <w:tcPr>
                  <w:tcW w:w="401" w:type="pct"/>
                  <w:tcBorders>
                    <w:bottom w:val="single" w:color="auto" w:sz="12" w:space="0"/>
                  </w:tcBorders>
                  <w:vAlign w:val="center"/>
                </w:tcPr>
                <w:p>
                  <w:pPr>
                    <w:kinsoku w:val="0"/>
                    <w:overflowPunct w:val="0"/>
                    <w:adjustRightInd w:val="0"/>
                    <w:snapToGrid w:val="0"/>
                    <w:jc w:val="center"/>
                    <w:rPr>
                      <w:color w:val="auto"/>
                      <w:kern w:val="0"/>
                      <w:sz w:val="20"/>
                      <w:szCs w:val="20"/>
                    </w:rPr>
                  </w:pPr>
                  <w:r>
                    <w:rPr>
                      <w:rFonts w:hint="eastAsia"/>
                      <w:b/>
                      <w:bCs/>
                      <w:color w:val="auto"/>
                      <w:sz w:val="20"/>
                      <w:szCs w:val="2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op w:val="single" w:color="auto" w:sz="12" w:space="0"/>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长江流域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空间布局约束</w:t>
                  </w:r>
                </w:p>
              </w:tc>
              <w:tc>
                <w:tcPr>
                  <w:tcW w:w="3099"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1．始终把长江生态修复放在首位，坚持共抓大保护、不搞大开发，引导长江流域产业转型升级和布局优化调整，实现科学发展、有序发展、高质量发展。</w:t>
                  </w:r>
                </w:p>
                <w:p>
                  <w:pPr>
                    <w:adjustRightInd w:val="0"/>
                    <w:snapToGrid w:val="0"/>
                    <w:jc w:val="center"/>
                    <w:rPr>
                      <w:color w:val="auto"/>
                      <w:kern w:val="0"/>
                      <w:sz w:val="20"/>
                      <w:szCs w:val="20"/>
                    </w:rPr>
                  </w:pPr>
                  <w:r>
                    <w:rPr>
                      <w:rFonts w:hint="eastAsia"/>
                      <w:color w:val="auto"/>
                      <w:kern w:val="0"/>
                      <w:sz w:val="20"/>
                      <w:szCs w:val="20"/>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pPr>
                    <w:adjustRightInd w:val="0"/>
                    <w:snapToGrid w:val="0"/>
                    <w:jc w:val="center"/>
                    <w:rPr>
                      <w:color w:val="auto"/>
                      <w:kern w:val="0"/>
                      <w:sz w:val="20"/>
                      <w:szCs w:val="20"/>
                    </w:rPr>
                  </w:pPr>
                  <w:r>
                    <w:rPr>
                      <w:rFonts w:hint="eastAsia"/>
                      <w:color w:val="auto"/>
                      <w:kern w:val="0"/>
                      <w:sz w:val="20"/>
                      <w:szCs w:val="20"/>
                    </w:rPr>
                    <w:t>3．禁止在沿江地区新建或扩建化学工业园区，禁止新建或扩建以大宗进口油气资源为原料的石油加工、石油化工、基础有机无机化工、煤化工项目；禁止在长江干流和主要支流岸线1公里范围内新建危化品码头。</w:t>
                  </w:r>
                </w:p>
                <w:p>
                  <w:pPr>
                    <w:adjustRightInd w:val="0"/>
                    <w:snapToGrid w:val="0"/>
                    <w:jc w:val="center"/>
                    <w:rPr>
                      <w:color w:val="auto"/>
                      <w:kern w:val="0"/>
                      <w:sz w:val="20"/>
                      <w:szCs w:val="20"/>
                    </w:rPr>
                  </w:pPr>
                  <w:r>
                    <w:rPr>
                      <w:rFonts w:hint="eastAsia"/>
                      <w:color w:val="auto"/>
                      <w:kern w:val="0"/>
                      <w:sz w:val="20"/>
                      <w:szCs w:val="20"/>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pPr>
                    <w:adjustRightInd w:val="0"/>
                    <w:snapToGrid w:val="0"/>
                    <w:jc w:val="center"/>
                    <w:rPr>
                      <w:color w:val="auto"/>
                      <w:kern w:val="0"/>
                      <w:sz w:val="20"/>
                      <w:szCs w:val="20"/>
                    </w:rPr>
                  </w:pPr>
                  <w:r>
                    <w:rPr>
                      <w:rFonts w:hint="eastAsia"/>
                      <w:color w:val="auto"/>
                      <w:kern w:val="0"/>
                      <w:sz w:val="20"/>
                      <w:szCs w:val="20"/>
                    </w:rPr>
                    <w:t>5．禁止新建独立焦化项目。</w:t>
                  </w:r>
                </w:p>
              </w:tc>
              <w:tc>
                <w:tcPr>
                  <w:tcW w:w="1033"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本项目不在国家确定的生态保护红线和永久基本农田范围内；本项目不属于原料的石油加工、石油化工、基础有机无机化工、煤化工、危化品码头、独立焦化项目；不属于过江干线通道项目</w:t>
                  </w:r>
                </w:p>
              </w:tc>
              <w:tc>
                <w:tcPr>
                  <w:tcW w:w="401"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污染物排放管控</w:t>
                  </w:r>
                </w:p>
              </w:tc>
              <w:tc>
                <w:tcPr>
                  <w:tcW w:w="3099"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1．根据《江苏省长江水污染防治条例》实施污染物总量控制制度。</w:t>
                  </w:r>
                </w:p>
                <w:p>
                  <w:pPr>
                    <w:adjustRightInd w:val="0"/>
                    <w:snapToGrid w:val="0"/>
                    <w:jc w:val="center"/>
                    <w:rPr>
                      <w:color w:val="auto"/>
                      <w:kern w:val="0"/>
                      <w:sz w:val="20"/>
                      <w:szCs w:val="20"/>
                    </w:rPr>
                  </w:pPr>
                  <w:r>
                    <w:rPr>
                      <w:rFonts w:hint="eastAsia"/>
                      <w:color w:val="auto"/>
                      <w:kern w:val="0"/>
                      <w:sz w:val="20"/>
                      <w:szCs w:val="20"/>
                    </w:rPr>
                    <w:t>2．全面加强和规范长江入河排污口管理，有效管控入河污染物排放，形成权责清晰、监控到位、管理规范的长江入河排污口监管体系，加快改善长江水环境质量。</w:t>
                  </w:r>
                </w:p>
              </w:tc>
              <w:tc>
                <w:tcPr>
                  <w:tcW w:w="1033" w:type="pct"/>
                  <w:tcBorders>
                    <w:tl2br w:val="nil"/>
                    <w:tr2bl w:val="nil"/>
                  </w:tcBorders>
                  <w:vAlign w:val="center"/>
                </w:tcPr>
                <w:p>
                  <w:pPr>
                    <w:adjustRightInd w:val="0"/>
                    <w:snapToGrid w:val="0"/>
                    <w:jc w:val="center"/>
                    <w:rPr>
                      <w:rFonts w:hint="eastAsia" w:eastAsia="宋体"/>
                      <w:color w:val="auto"/>
                      <w:kern w:val="0"/>
                      <w:sz w:val="20"/>
                      <w:szCs w:val="20"/>
                      <w:lang w:eastAsia="zh-CN"/>
                    </w:rPr>
                  </w:pPr>
                  <w:r>
                    <w:rPr>
                      <w:rFonts w:hint="eastAsia"/>
                      <w:color w:val="auto"/>
                      <w:kern w:val="0"/>
                      <w:sz w:val="20"/>
                      <w:szCs w:val="20"/>
                    </w:rPr>
                    <w:t>本项目污染物均采取有效措施后达标排放，</w:t>
                  </w:r>
                  <w:r>
                    <w:rPr>
                      <w:color w:val="auto"/>
                      <w:kern w:val="0"/>
                      <w:sz w:val="20"/>
                      <w:szCs w:val="20"/>
                    </w:rPr>
                    <w:t>不突破生态环境承载力</w:t>
                  </w:r>
                  <w:r>
                    <w:rPr>
                      <w:rFonts w:hint="eastAsia"/>
                      <w:color w:val="auto"/>
                      <w:kern w:val="0"/>
                      <w:sz w:val="20"/>
                      <w:szCs w:val="20"/>
                      <w:lang w:eastAsia="zh-CN"/>
                    </w:rPr>
                    <w:t>，</w:t>
                  </w:r>
                  <w:r>
                    <w:rPr>
                      <w:rFonts w:hint="eastAsia"/>
                      <w:color w:val="auto"/>
                      <w:kern w:val="0"/>
                      <w:sz w:val="20"/>
                      <w:szCs w:val="20"/>
                      <w:lang w:val="en-US" w:eastAsia="zh-CN"/>
                    </w:rPr>
                    <w:t>污染物排放可控</w:t>
                  </w:r>
                  <w:r>
                    <w:rPr>
                      <w:rFonts w:hint="eastAsia"/>
                      <w:color w:val="auto"/>
                      <w:kern w:val="0"/>
                      <w:sz w:val="20"/>
                      <w:szCs w:val="20"/>
                    </w:rPr>
                    <w:t>。</w:t>
                  </w:r>
                </w:p>
              </w:tc>
              <w:tc>
                <w:tcPr>
                  <w:tcW w:w="401"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环境风险防控</w:t>
                  </w:r>
                </w:p>
              </w:tc>
              <w:tc>
                <w:tcPr>
                  <w:tcW w:w="3099"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1．防范沿江环境风险。深化沿江石化、化工、医药、纺织、印染、化纤、危化品和石油类仓储、涉重金属和危险废物处置等重点企业环境风险防控。</w:t>
                  </w:r>
                </w:p>
                <w:p>
                  <w:pPr>
                    <w:adjustRightInd w:val="0"/>
                    <w:snapToGrid w:val="0"/>
                    <w:jc w:val="center"/>
                    <w:rPr>
                      <w:color w:val="auto"/>
                      <w:kern w:val="0"/>
                      <w:sz w:val="20"/>
                      <w:szCs w:val="20"/>
                    </w:rPr>
                  </w:pPr>
                  <w:r>
                    <w:rPr>
                      <w:rFonts w:hint="eastAsia"/>
                      <w:color w:val="auto"/>
                      <w:kern w:val="0"/>
                      <w:sz w:val="20"/>
                      <w:szCs w:val="20"/>
                    </w:rPr>
                    <w:t>2．加强饮用水水源保护。优化水源保护区划定，推动饮用水水源地规范化建设。</w:t>
                  </w:r>
                </w:p>
              </w:tc>
              <w:tc>
                <w:tcPr>
                  <w:tcW w:w="1033"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本项目不属于石化、化工等重点企业。项目距离饮用水水源地较远。</w:t>
                  </w:r>
                </w:p>
              </w:tc>
              <w:tc>
                <w:tcPr>
                  <w:tcW w:w="401"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vAlign w:val="center"/>
                </w:tcPr>
                <w:p>
                  <w:pPr>
                    <w:adjustRightInd w:val="0"/>
                    <w:snapToGrid w:val="0"/>
                    <w:jc w:val="center"/>
                    <w:rPr>
                      <w:color w:val="auto"/>
                      <w:kern w:val="0"/>
                      <w:sz w:val="20"/>
                      <w:szCs w:val="20"/>
                    </w:rPr>
                  </w:pPr>
                  <w:r>
                    <w:rPr>
                      <w:color w:val="auto"/>
                      <w:kern w:val="0"/>
                      <w:sz w:val="20"/>
                      <w:szCs w:val="20"/>
                    </w:rPr>
                    <w:t>资源利用效率要求</w:t>
                  </w:r>
                </w:p>
              </w:tc>
              <w:tc>
                <w:tcPr>
                  <w:tcW w:w="3099"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033"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本项目不在长江干支流岸线管控范围内</w:t>
                  </w:r>
                </w:p>
              </w:tc>
              <w:tc>
                <w:tcPr>
                  <w:tcW w:w="401" w:type="pct"/>
                  <w:tcBorders>
                    <w:tl2br w:val="nil"/>
                    <w:tr2bl w:val="nil"/>
                  </w:tcBorders>
                  <w:vAlign w:val="center"/>
                </w:tcPr>
                <w:p>
                  <w:pPr>
                    <w:adjustRightInd w:val="0"/>
                    <w:snapToGrid w:val="0"/>
                    <w:jc w:val="center"/>
                    <w:rPr>
                      <w:color w:val="auto"/>
                      <w:kern w:val="0"/>
                      <w:sz w:val="20"/>
                      <w:szCs w:val="20"/>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淮河流域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空间布局</w:t>
                  </w:r>
                </w:p>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约束</w:t>
                  </w:r>
                </w:p>
              </w:tc>
              <w:tc>
                <w:tcPr>
                  <w:tcW w:w="3099"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1．禁止在淮河流域新建化学制浆造纸企业，禁止在淮河流域新建制革、化工、印染、电镀、酿造等污染严重的小型企业。</w:t>
                  </w:r>
                </w:p>
                <w:p>
                  <w:pPr>
                    <w:adjustRightInd w:val="0"/>
                    <w:snapToGrid w:val="0"/>
                    <w:jc w:val="center"/>
                    <w:rPr>
                      <w:color w:val="auto"/>
                      <w:kern w:val="0"/>
                      <w:sz w:val="20"/>
                      <w:szCs w:val="20"/>
                    </w:rPr>
                  </w:pPr>
                  <w:r>
                    <w:rPr>
                      <w:rFonts w:hint="eastAsia"/>
                      <w:color w:val="auto"/>
                      <w:kern w:val="0"/>
                      <w:sz w:val="20"/>
                      <w:szCs w:val="20"/>
                    </w:rPr>
                    <w:t>2．落实《江苏省通榆河水污染防治条例》，在通榆河一级保护区、二级保护区，禁止新建、改建、扩建制浆、造纸、化工、制革、酿造、染料、印染、电镀、炼油、铅酸蓄电池和排放水污染物的黑色金属冶炼及压延加工项目、有色金属冶炼及压延加工项目、金属制品项目等污染环境的项目。</w:t>
                  </w:r>
                </w:p>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3．在通榆河一级保护区，禁止新建、扩建直接或者间接向水体排放污染物的项目，禁止建设工业固体废物集中贮存、利用、处置设施或者场所以及城市生活垃圾填埋场，禁止新建规模化畜禽养殖场。</w:t>
                  </w:r>
                </w:p>
              </w:tc>
              <w:tc>
                <w:tcPr>
                  <w:tcW w:w="1033"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本项目不涉及新建化学制浆造纸企业，不涉及新建制革、化工、印染、电镀、酿造等污染严重的小型企业，不在通榆河保护区内</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污染物排放管控</w:t>
                  </w:r>
                </w:p>
              </w:tc>
              <w:tc>
                <w:tcPr>
                  <w:tcW w:w="3099"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按照《淮河流域水污染防治暂行条例》实施排污总量控制制度。</w:t>
                  </w:r>
                </w:p>
              </w:tc>
              <w:tc>
                <w:tcPr>
                  <w:tcW w:w="1033" w:type="pc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auto"/>
                      <w:kern w:val="0"/>
                      <w:sz w:val="20"/>
                      <w:szCs w:val="20"/>
                      <w:lang w:val="en-US" w:eastAsia="zh-CN" w:bidi="ar-SA"/>
                    </w:rPr>
                  </w:pPr>
                  <w:r>
                    <w:rPr>
                      <w:rFonts w:hint="eastAsia"/>
                      <w:color w:val="auto"/>
                      <w:kern w:val="0"/>
                      <w:sz w:val="20"/>
                      <w:szCs w:val="20"/>
                    </w:rPr>
                    <w:t>企业污水排入</w:t>
                  </w:r>
                  <w:r>
                    <w:rPr>
                      <w:rFonts w:hint="eastAsia"/>
                      <w:color w:val="auto"/>
                      <w:kern w:val="0"/>
                      <w:sz w:val="20"/>
                      <w:szCs w:val="20"/>
                      <w:lang w:val="en-US" w:eastAsia="zh-CN"/>
                    </w:rPr>
                    <w:t>东方红河，汇入如海运河</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环境风险</w:t>
                  </w:r>
                </w:p>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防控</w:t>
                  </w:r>
                </w:p>
              </w:tc>
              <w:tc>
                <w:tcPr>
                  <w:tcW w:w="3099"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禁止运输剧毒化学品以及国家规定禁止通过内河运输的其他危险化学品的船舶进入通榆河及主要供水河道。</w:t>
                  </w:r>
                </w:p>
              </w:tc>
              <w:tc>
                <w:tcPr>
                  <w:tcW w:w="1033"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本项目不涉及河道运输</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资源利用</w:t>
                  </w:r>
                </w:p>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效率要求</w:t>
                  </w:r>
                </w:p>
              </w:tc>
              <w:tc>
                <w:tcPr>
                  <w:tcW w:w="3099"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限制缺水地区发展耗水型产业，调整缺水地区的产业结构，严格控制高耗水、高耗能和重污染的建设项目。</w:t>
                  </w:r>
                </w:p>
              </w:tc>
              <w:tc>
                <w:tcPr>
                  <w:tcW w:w="1033"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项目地不属于缺水区，项目产品不属于《环境保护综合名录》（2021 年版）中“高污染、高环境风险”产品，不属于“两高”项目</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4"/>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沿海地区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空间布局</w:t>
                  </w:r>
                </w:p>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约束</w:t>
                  </w:r>
                </w:p>
              </w:tc>
              <w:tc>
                <w:tcPr>
                  <w:tcW w:w="3099"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1．禁止在沿海陆域内新建不具备有效治理措施的化学制浆造纸、化工、印染、制革、电镀、酿造、炼油、岸边冲滩拆船以及其他严重污染海洋环境的工业生产项目。</w:t>
                  </w:r>
                </w:p>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2．沿海地区严格控制新建医药、农药和染料中间体项目。</w:t>
                  </w:r>
                </w:p>
              </w:tc>
              <w:tc>
                <w:tcPr>
                  <w:tcW w:w="1033"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本项目不属于新建不具备有效治理措施的化学制浆造纸、化工、印染、制革、电镀、酿造、炼油、岸边冲滩拆船以及其他严重污染海洋环境的工业生产项目，不属于新建医药、农药和染料中间体项目。</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污染物排放管控</w:t>
                  </w:r>
                </w:p>
              </w:tc>
              <w:tc>
                <w:tcPr>
                  <w:tcW w:w="3099"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按照《江苏省海洋环境保护条例》实施重点海域排污总量控制制度。</w:t>
                  </w:r>
                </w:p>
              </w:tc>
              <w:tc>
                <w:tcPr>
                  <w:tcW w:w="1033"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本项目不涉及污染物排海</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环境风险</w:t>
                  </w:r>
                </w:p>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防控</w:t>
                  </w:r>
                </w:p>
              </w:tc>
              <w:tc>
                <w:tcPr>
                  <w:tcW w:w="3099"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1．禁止向海洋倾倒汞及汞化合物、强放射性物质等国家规定的一类废弃物。</w:t>
                  </w:r>
                </w:p>
                <w:p>
                  <w:pPr>
                    <w:adjustRightInd w:val="0"/>
                    <w:snapToGrid w:val="0"/>
                    <w:jc w:val="center"/>
                    <w:rPr>
                      <w:color w:val="auto"/>
                      <w:kern w:val="0"/>
                      <w:sz w:val="20"/>
                      <w:szCs w:val="20"/>
                    </w:rPr>
                  </w:pPr>
                  <w:r>
                    <w:rPr>
                      <w:rFonts w:hint="eastAsia"/>
                      <w:color w:val="auto"/>
                      <w:kern w:val="0"/>
                      <w:sz w:val="20"/>
                      <w:szCs w:val="20"/>
                    </w:rPr>
                    <w:t>2．加强对赤潮、浒苔绿潮、溢油、危险化学品泄漏及海洋核辐射等海上突发性海洋灾害事故的应急监视，防治突发性海洋环境灾害。</w:t>
                  </w:r>
                </w:p>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3．沿海地区应加强危险货物运输风险、船舶污染事故风险应急管控。</w:t>
                  </w:r>
                </w:p>
              </w:tc>
              <w:tc>
                <w:tcPr>
                  <w:tcW w:w="1033"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本项目不涉及污染物排海及海上运输</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5" w:type="pct"/>
                  <w:tcBorders>
                    <w:tl2br w:val="nil"/>
                    <w:tr2bl w:val="nil"/>
                  </w:tcBorders>
                  <w:shd w:val="clear" w:color="auto" w:fill="auto"/>
                  <w:vAlign w:val="center"/>
                </w:tcPr>
                <w:p>
                  <w:pPr>
                    <w:adjustRightInd w:val="0"/>
                    <w:snapToGrid w:val="0"/>
                    <w:jc w:val="center"/>
                    <w:rPr>
                      <w:color w:val="auto"/>
                      <w:kern w:val="0"/>
                      <w:sz w:val="20"/>
                      <w:szCs w:val="20"/>
                    </w:rPr>
                  </w:pPr>
                  <w:r>
                    <w:rPr>
                      <w:rFonts w:hint="eastAsia"/>
                      <w:color w:val="auto"/>
                      <w:kern w:val="0"/>
                      <w:sz w:val="20"/>
                      <w:szCs w:val="20"/>
                    </w:rPr>
                    <w:t>资源利用</w:t>
                  </w:r>
                </w:p>
                <w:p>
                  <w:pPr>
                    <w:adjustRightInd w:val="0"/>
                    <w:snapToGrid w:val="0"/>
                    <w:jc w:val="center"/>
                    <w:rPr>
                      <w:rFonts w:ascii="Times New Roman" w:hAnsi="Times New Roman" w:eastAsia="宋体" w:cs="Times New Roman"/>
                      <w:color w:val="auto"/>
                      <w:kern w:val="0"/>
                      <w:sz w:val="20"/>
                      <w:szCs w:val="20"/>
                      <w:lang w:val="en-US" w:eastAsia="zh-CN" w:bidi="ar-SA"/>
                    </w:rPr>
                  </w:pPr>
                  <w:r>
                    <w:rPr>
                      <w:rFonts w:hint="eastAsia"/>
                      <w:color w:val="auto"/>
                      <w:kern w:val="0"/>
                      <w:sz w:val="20"/>
                      <w:szCs w:val="20"/>
                    </w:rPr>
                    <w:t>效率要求</w:t>
                  </w:r>
                </w:p>
              </w:tc>
              <w:tc>
                <w:tcPr>
                  <w:tcW w:w="3099"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至2025年，大陆自然岸线保有率不低于36.1%。</w:t>
                  </w:r>
                </w:p>
              </w:tc>
              <w:tc>
                <w:tcPr>
                  <w:tcW w:w="1033"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本项目不涉及大陆自然岸线</w:t>
                  </w:r>
                </w:p>
              </w:tc>
              <w:tc>
                <w:tcPr>
                  <w:tcW w:w="401" w:type="pct"/>
                  <w:tcBorders>
                    <w:tl2br w:val="nil"/>
                    <w:tr2bl w:val="nil"/>
                  </w:tcBorders>
                  <w:shd w:val="clear" w:color="auto" w:fill="auto"/>
                  <w:vAlign w:val="center"/>
                </w:tcPr>
                <w:p>
                  <w:pPr>
                    <w:adjustRightInd w:val="0"/>
                    <w:snapToGrid w:val="0"/>
                    <w:jc w:val="center"/>
                    <w:rPr>
                      <w:rFonts w:hint="eastAsia" w:ascii="Times New Roman" w:hAnsi="Times New Roman" w:eastAsia="宋体" w:cs="Times New Roman"/>
                      <w:color w:val="auto"/>
                      <w:kern w:val="0"/>
                      <w:sz w:val="20"/>
                      <w:szCs w:val="20"/>
                      <w:lang w:val="en-US" w:eastAsia="zh-CN" w:bidi="ar-SA"/>
                    </w:rPr>
                  </w:pPr>
                  <w:r>
                    <w:rPr>
                      <w:rFonts w:hint="eastAsia"/>
                      <w:color w:val="auto"/>
                      <w:kern w:val="0"/>
                      <w:sz w:val="20"/>
                      <w:szCs w:val="20"/>
                    </w:rPr>
                    <w:t>相符</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lang w:eastAsia="zh-CN"/>
              </w:rPr>
              <w:t>（</w:t>
            </w:r>
            <w:r>
              <w:rPr>
                <w:rFonts w:hint="eastAsia" w:cs="Times New Roman"/>
                <w:b/>
                <w:bCs/>
                <w:color w:val="auto"/>
                <w:kern w:val="0"/>
                <w:szCs w:val="21"/>
                <w:lang w:val="en-US" w:eastAsia="zh-CN"/>
              </w:rPr>
              <w:t>3</w:t>
            </w:r>
            <w:r>
              <w:rPr>
                <w:rFonts w:hint="eastAsia" w:ascii="Times New Roman" w:hAnsi="Times New Roman" w:eastAsia="宋体" w:cs="Times New Roman"/>
                <w:b/>
                <w:bCs/>
                <w:color w:val="auto"/>
                <w:kern w:val="0"/>
                <w:szCs w:val="21"/>
                <w:lang w:eastAsia="zh-CN"/>
              </w:rPr>
              <w:t>）</w:t>
            </w:r>
            <w:r>
              <w:rPr>
                <w:rFonts w:hint="eastAsia" w:ascii="Times New Roman" w:hAnsi="Times New Roman" w:eastAsia="宋体" w:cs="Times New Roman"/>
                <w:b/>
                <w:bCs/>
                <w:color w:val="auto"/>
                <w:kern w:val="0"/>
                <w:szCs w:val="21"/>
              </w:rPr>
              <w:t>与《南通市2023年生态环境分区管控方案动态更新成果》相符性分析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kern w:val="0"/>
                <w:szCs w:val="21"/>
                <w:lang w:val="en-US" w:eastAsia="zh-CN"/>
              </w:rPr>
            </w:pPr>
            <w:r>
              <w:rPr>
                <w:rFonts w:hint="default" w:ascii="Times New Roman" w:hAnsi="Times New Roman" w:eastAsia="宋体" w:cs="Times New Roman"/>
                <w:b w:val="0"/>
                <w:bCs w:val="0"/>
                <w:color w:val="auto"/>
                <w:kern w:val="0"/>
                <w:szCs w:val="21"/>
              </w:rPr>
              <w:t>具体分析如下表1-</w:t>
            </w:r>
            <w:r>
              <w:rPr>
                <w:rFonts w:hint="eastAsia" w:ascii="Times New Roman" w:hAnsi="Times New Roman" w:eastAsia="宋体" w:cs="Times New Roman"/>
                <w:b w:val="0"/>
                <w:bCs w:val="0"/>
                <w:color w:val="auto"/>
                <w:kern w:val="0"/>
                <w:szCs w:val="21"/>
                <w:lang w:val="en-US" w:eastAsia="zh-CN"/>
              </w:rPr>
              <w:t>4</w:t>
            </w:r>
            <w:r>
              <w:rPr>
                <w:rFonts w:hint="default" w:ascii="Times New Roman" w:hAnsi="Times New Roman" w:eastAsia="宋体" w:cs="Times New Roman"/>
                <w:b w:val="0"/>
                <w:bCs w:val="0"/>
                <w:color w:val="auto"/>
                <w:kern w:val="0"/>
                <w:szCs w:val="21"/>
              </w:rPr>
              <w:t>。</w:t>
            </w:r>
          </w:p>
          <w:p>
            <w:pPr>
              <w:adjustRightInd w:val="0"/>
              <w:snapToGrid w:val="0"/>
              <w:spacing w:before="120" w:beforeLines="50"/>
              <w:jc w:val="center"/>
              <w:rPr>
                <w:rFonts w:hint="default"/>
                <w:b/>
                <w:bCs/>
                <w:color w:val="auto"/>
                <w:kern w:val="0"/>
                <w:szCs w:val="21"/>
                <w:lang w:val="en-US" w:eastAsia="zh-CN"/>
              </w:rPr>
            </w:pPr>
            <w:r>
              <w:rPr>
                <w:rFonts w:hint="default"/>
                <w:b/>
                <w:bCs/>
                <w:color w:val="auto"/>
                <w:kern w:val="0"/>
                <w:szCs w:val="21"/>
                <w:lang w:val="en-US" w:eastAsia="zh-CN"/>
              </w:rPr>
              <w:t>表1-</w:t>
            </w:r>
            <w:r>
              <w:rPr>
                <w:rFonts w:hint="eastAsia"/>
                <w:b/>
                <w:bCs/>
                <w:color w:val="auto"/>
                <w:kern w:val="0"/>
                <w:szCs w:val="21"/>
                <w:lang w:val="en-US" w:eastAsia="zh-CN"/>
              </w:rPr>
              <w:t xml:space="preserve">4 </w:t>
            </w:r>
            <w:r>
              <w:rPr>
                <w:rFonts w:hint="default"/>
                <w:b/>
                <w:bCs/>
                <w:color w:val="auto"/>
                <w:kern w:val="0"/>
                <w:szCs w:val="21"/>
                <w:lang w:val="en-US" w:eastAsia="zh-CN"/>
              </w:rPr>
              <w:t>与南通市“三线一单”生态环境分区管控方案相符性</w:t>
            </w:r>
          </w:p>
          <w:tbl>
            <w:tblPr>
              <w:tblStyle w:val="9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6021"/>
              <w:gridCol w:w="13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537"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color w:val="000000"/>
                      <w:sz w:val="20"/>
                      <w:szCs w:val="20"/>
                    </w:rPr>
                    <w:t>管控类别</w:t>
                  </w:r>
                </w:p>
              </w:tc>
              <w:tc>
                <w:tcPr>
                  <w:tcW w:w="3641"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color w:val="000000"/>
                      <w:sz w:val="20"/>
                      <w:szCs w:val="20"/>
                    </w:rPr>
                    <w:t>重点管控要求</w:t>
                  </w:r>
                </w:p>
              </w:tc>
              <w:tc>
                <w:tcPr>
                  <w:tcW w:w="821" w:type="pct"/>
                  <w:tcBorders>
                    <w:bottom w:val="single" w:color="auto" w:sz="12"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b/>
                      <w:bCs/>
                      <w:color w:val="000000"/>
                      <w:sz w:val="20"/>
                      <w:szCs w:val="20"/>
                    </w:rPr>
                  </w:pPr>
                  <w:r>
                    <w:rPr>
                      <w:rFonts w:hint="default" w:ascii="Times New Roman" w:hAnsi="Times New Roman" w:eastAsia="宋体" w:cs="Times New Roman"/>
                      <w:b/>
                      <w:bCs/>
                      <w:color w:val="000000"/>
                      <w:sz w:val="20"/>
                      <w:szCs w:val="20"/>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37" w:type="pct"/>
                  <w:tcBorders>
                    <w:top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空间布局约束</w:t>
                  </w:r>
                </w:p>
              </w:tc>
              <w:tc>
                <w:tcPr>
                  <w:tcW w:w="3641" w:type="pct"/>
                  <w:tcBorders>
                    <w:top w:val="single" w:color="auto" w:sz="12" w:space="0"/>
                    <w:tl2br w:val="nil"/>
                    <w:tr2bl w:val="nil"/>
                  </w:tcBorders>
                  <w:noWrap w:val="0"/>
                  <w:vAlign w:val="center"/>
                </w:tcPr>
                <w:p>
                  <w:pPr>
                    <w:keepNext w:val="0"/>
                    <w:keepLines w:val="0"/>
                    <w:pageBreakBefore w:val="0"/>
                    <w:widowControl w:val="0"/>
                    <w:numPr>
                      <w:ilvl w:val="0"/>
                      <w:numId w:val="21"/>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严格执行《南通市长江经济带生态环境保护实施规划》（通政办发〔2018〕42号）、《南通市“两减六治三提升”专项行动实施方案》（通政办发〔2017〕55号）、《南通市打赢蓝天保卫战三年行动计划实施方案（2018</w:t>
                  </w:r>
                  <w:r>
                    <w:rPr>
                      <w:rFonts w:hint="eastAsia" w:ascii="Times New Roman" w:hAnsi="Times New Roman" w:eastAsia="宋体" w:cs="Times New Roman"/>
                      <w:color w:val="000000"/>
                      <w:sz w:val="20"/>
                      <w:szCs w:val="20"/>
                      <w:lang w:eastAsia="zh-CN"/>
                    </w:rPr>
                    <w:t>～</w:t>
                  </w:r>
                  <w:r>
                    <w:rPr>
                      <w:rFonts w:hint="default" w:ascii="Times New Roman" w:hAnsi="Times New Roman" w:eastAsia="宋体" w:cs="Times New Roman"/>
                      <w:color w:val="000000"/>
                      <w:sz w:val="20"/>
                      <w:szCs w:val="20"/>
                    </w:rPr>
                    <w:t>2020年）》（通政发〔2018〕63号）、《南通市土壤污染防治工作方案》（通政发〔2017〕20号）</w:t>
                  </w:r>
                  <w:r>
                    <w:rPr>
                      <w:rFonts w:hint="default" w:ascii="Times New Roman" w:hAnsi="Times New Roman" w:eastAsia="宋体" w:cs="Times New Roman"/>
                      <w:color w:val="000000"/>
                      <w:sz w:val="20"/>
                      <w:szCs w:val="20"/>
                      <w:lang w:eastAsia="zh-CN"/>
                    </w:rPr>
                    <w:t>、</w:t>
                  </w:r>
                  <w:r>
                    <w:rPr>
                      <w:rFonts w:hint="default" w:ascii="Times New Roman" w:hAnsi="Times New Roman" w:eastAsia="宋体" w:cs="Times New Roman"/>
                      <w:color w:val="000000"/>
                      <w:sz w:val="20"/>
                      <w:szCs w:val="20"/>
                    </w:rPr>
                    <w:t>《南通市水污染防治工作方案》（通政发〔2016〕35号）等文件要求。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2.严格执行《（长江经济带发展负面清单指南）江苏省实施细则（试行）》；禁止引进列入《南通市工业结构调整指导目录》淘汰类的产业、列入《南通市工业产业技术改造负面清单》严格禁止的技术改造工艺装备及产品。</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lang w:val="en-US" w:eastAsia="zh-CN"/>
                    </w:rPr>
                    <w:t>3.</w:t>
                  </w:r>
                  <w:r>
                    <w:rPr>
                      <w:rFonts w:hint="default" w:ascii="Times New Roman" w:hAnsi="Times New Roman" w:eastAsia="宋体" w:cs="Times New Roman"/>
                      <w:color w:val="000000"/>
                      <w:sz w:val="20"/>
                      <w:szCs w:val="20"/>
                    </w:rPr>
                    <w:t>根据《南通市长江经济带生态环境保护实施规划》（通政办发〔2018〕42号），沿江地区不再新布局石化项目。禁止在长江干流自然保护区、风景名胜区等重点区域新建工业类和污染类项目，现有高风险企业实施限期治理。自然保护区核心区及缓冲区内禁止新建码头工程，逐步拆除已有的各类生产设施以及危化品、石油类泊位。禁止向内河和江海直达船舶销售渣油、重油以及不符合标准的普通柴油，禁止海船使用不符合要求的燃油。</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4.根据《省政府关于加强全省化工园区化工集中区规范化管理的通知》（苏政发〔2020〕94号）、《市政府关于印发南通市化工产业环保准入指导意见的通知》（通政发〔2014〕10号），化工园区、化工集中区处于长江干流和主要支流岸线1公里范围（以下简称沿江1公里范围）内的区域不得新建、扩建化工企业和项目（安全、环保、节能、信息化智能化、提升产品品质技术改造项目除外）。禁止建设属于国家、省和我市禁止类、淘汰类生产工艺、产品的项目。从严控制农药、传统医药、染料化工项目审批，原则上不再新上医药中间体、农药中间体、染料中间体项目（具有自主知识产权的关键中间体及高产出、低污染项目除外，分别由科技部门和环保部门认定）。沿江化工园区不再新增农药、染料化工企业。</w:t>
                  </w:r>
                </w:p>
              </w:tc>
              <w:tc>
                <w:tcPr>
                  <w:tcW w:w="821" w:type="pct"/>
                  <w:tcBorders>
                    <w:top w:val="single" w:color="auto" w:sz="12" w:space="0"/>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eastAsia"/>
                      <w:color w:val="000000"/>
                      <w:sz w:val="20"/>
                      <w:szCs w:val="20"/>
                    </w:rPr>
                    <w:t>本项目</w:t>
                  </w:r>
                  <w:r>
                    <w:rPr>
                      <w:rFonts w:hint="eastAsia"/>
                      <w:color w:val="000000"/>
                      <w:sz w:val="20"/>
                      <w:szCs w:val="20"/>
                      <w:lang w:val="en-US" w:eastAsia="zh-CN"/>
                    </w:rPr>
                    <w:t>属于</w:t>
                  </w:r>
                  <w:r>
                    <w:rPr>
                      <w:rFonts w:hint="eastAsia"/>
                      <w:color w:val="auto"/>
                      <w:sz w:val="20"/>
                      <w:szCs w:val="20"/>
                    </w:rPr>
                    <w:t>C1789其他产业用纺织制成品制造</w:t>
                  </w:r>
                  <w:r>
                    <w:rPr>
                      <w:rFonts w:hint="eastAsia"/>
                      <w:color w:val="auto"/>
                      <w:sz w:val="20"/>
                      <w:szCs w:val="20"/>
                      <w:lang w:val="en-US" w:eastAsia="zh-CN"/>
                    </w:rPr>
                    <w:t>和</w:t>
                  </w:r>
                  <w:r>
                    <w:rPr>
                      <w:rFonts w:hint="eastAsia" w:cs="Times New Roman"/>
                      <w:b w:val="0"/>
                      <w:bCs w:val="0"/>
                      <w:color w:val="FF0000"/>
                      <w:sz w:val="20"/>
                      <w:szCs w:val="20"/>
                      <w:lang w:eastAsia="zh-CN"/>
                    </w:rPr>
                    <w:t>D4430</w:t>
                  </w:r>
                  <w:r>
                    <w:rPr>
                      <w:rFonts w:hint="eastAsia" w:cs="Times New Roman"/>
                      <w:color w:val="FF0000"/>
                      <w:sz w:val="20"/>
                      <w:szCs w:val="20"/>
                      <w:lang w:eastAsia="zh-CN"/>
                    </w:rPr>
                    <w:t>热力生产和供应</w:t>
                  </w:r>
                  <w:r>
                    <w:rPr>
                      <w:rFonts w:hint="eastAsia"/>
                      <w:color w:val="000000"/>
                      <w:sz w:val="20"/>
                      <w:szCs w:val="20"/>
                    </w:rPr>
                    <w:t>，本项目不在生态空间</w:t>
                  </w:r>
                  <w:r>
                    <w:rPr>
                      <w:rFonts w:hAnsi="宋体"/>
                      <w:color w:val="000000"/>
                      <w:sz w:val="20"/>
                      <w:szCs w:val="20"/>
                    </w:rPr>
                    <w:t>管控区域规划</w:t>
                  </w:r>
                  <w:r>
                    <w:rPr>
                      <w:rFonts w:hint="eastAsia"/>
                      <w:color w:val="000000"/>
                      <w:sz w:val="20"/>
                      <w:szCs w:val="20"/>
                    </w:rPr>
                    <w:t>范围内，不属于化工、钢铁行业</w:t>
                  </w:r>
                  <w:r>
                    <w:rPr>
                      <w:rFonts w:hint="default" w:ascii="Times New Roman" w:hAnsi="Times New Roman" w:eastAsia="宋体" w:cs="Times New Roman"/>
                      <w:color w:val="000000"/>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污染物排放管控</w:t>
                  </w:r>
                </w:p>
              </w:tc>
              <w:tc>
                <w:tcPr>
                  <w:tcW w:w="364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lang w:val="en-US" w:eastAsia="zh-CN"/>
                    </w:rPr>
                    <w:t>1.</w:t>
                  </w:r>
                  <w:r>
                    <w:rPr>
                      <w:rFonts w:hint="default" w:ascii="Times New Roman" w:hAnsi="Times New Roman" w:eastAsia="宋体" w:cs="Times New Roman"/>
                      <w:color w:val="000000"/>
                      <w:sz w:val="20"/>
                      <w:szCs w:val="20"/>
                    </w:rPr>
                    <w:t>严格落实污染物排放总量控制制度，把主要污染物排放总量指标作为建设项目环境影响评价审批的前置条件。排放主要污染物的建设项目，在环境影响评价文件（以下简称环评文件）审批前，须取得主要污染物排放总量指标。</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lang w:val="en-US" w:eastAsia="zh-CN"/>
                    </w:rPr>
                    <w:t>2.</w:t>
                  </w:r>
                  <w:r>
                    <w:rPr>
                      <w:rFonts w:hint="default" w:ascii="Times New Roman" w:hAnsi="Times New Roman" w:eastAsia="宋体" w:cs="Times New Roman"/>
                      <w:color w:val="000000"/>
                      <w:sz w:val="20"/>
                      <w:szCs w:val="20"/>
                    </w:rPr>
                    <w:t>用于建设项目的“可替代总量指标”不得低于建设项目所需替代的主要污染物排放总量指标。上一年度环境空气质量年平均浓度不达标的地区、水环境质量未达到要求的地区，相关污染物应按照建设项目所需替代的主要污染物排放总量指标的2倍进行削减替代（燃煤发电机组大气污染物排放浓度基本达到燃气轮机组排放限值的除外）；细颗粒物（PM</w:t>
                  </w:r>
                  <w:r>
                    <w:rPr>
                      <w:rFonts w:hint="default" w:ascii="Times New Roman" w:hAnsi="Times New Roman" w:eastAsia="宋体" w:cs="Times New Roman"/>
                      <w:color w:val="000000"/>
                      <w:sz w:val="20"/>
                      <w:szCs w:val="20"/>
                      <w:vertAlign w:val="subscript"/>
                    </w:rPr>
                    <w:t>2.5</w:t>
                  </w:r>
                  <w:r>
                    <w:rPr>
                      <w:rFonts w:hint="default" w:ascii="Times New Roman" w:hAnsi="Times New Roman" w:eastAsia="宋体" w:cs="Times New Roman"/>
                      <w:color w:val="000000"/>
                      <w:sz w:val="20"/>
                      <w:szCs w:val="20"/>
                    </w:rPr>
                    <w:t>）年平均浓度不达标的地区，二氧化硫、氮氧化物、烟粉尘、挥发性有机物四项污染物均需进行2倍削减替代（燃煤发电机组大气污染物排放浓度基本达到燃气轮机组排放限值的除外）。</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3.落实《省政府办公厅关于印发江苏省排污权有偿使用和交易管理暂行办法的通知》（苏政办发〔2017〕115号）及配套的实施细则中，关于新、改扩建项目获得排污权指标的相关要求。</w:t>
                  </w:r>
                </w:p>
              </w:tc>
              <w:tc>
                <w:tcPr>
                  <w:tcW w:w="8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highlight w:val="none"/>
                      <w:lang w:val="en-US" w:eastAsia="zh-CN"/>
                    </w:rPr>
                  </w:pPr>
                  <w:r>
                    <w:rPr>
                      <w:rFonts w:hint="default" w:ascii="Times New Roman" w:hAnsi="Times New Roman" w:eastAsia="宋体" w:cs="Times New Roman"/>
                      <w:color w:val="000000"/>
                      <w:sz w:val="20"/>
                      <w:szCs w:val="20"/>
                      <w:lang w:val="en-US" w:eastAsia="zh-CN"/>
                    </w:rPr>
                    <w:t>本项目废气、废水经有效措施后达标排放</w:t>
                  </w:r>
                  <w:r>
                    <w:rPr>
                      <w:rFonts w:hint="eastAsia" w:ascii="Times New Roman" w:hAnsi="Times New Roman" w:eastAsia="宋体" w:cs="Times New Roman"/>
                      <w:color w:val="000000"/>
                      <w:sz w:val="20"/>
                      <w:szCs w:val="20"/>
                      <w:lang w:val="en-US" w:eastAsia="zh-CN"/>
                    </w:rPr>
                    <w:t>。</w:t>
                  </w:r>
                  <w:r>
                    <w:rPr>
                      <w:rFonts w:hint="eastAsia" w:ascii="Times New Roman" w:hAnsi="Times New Roman" w:eastAsia="宋体" w:cs="Times New Roman"/>
                      <w:color w:val="000000"/>
                      <w:sz w:val="20"/>
                      <w:szCs w:val="20"/>
                    </w:rPr>
                    <w:t>本项目属于登记管理，因此无需申请总量。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5" w:hRule="atLeast"/>
                <w:jc w:val="center"/>
              </w:trPr>
              <w:tc>
                <w:tcPr>
                  <w:tcW w:w="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环境风险防控</w:t>
                  </w:r>
                </w:p>
              </w:tc>
              <w:tc>
                <w:tcPr>
                  <w:tcW w:w="364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lang w:val="en-US" w:eastAsia="zh-CN"/>
                    </w:rPr>
                    <w:t>1.</w:t>
                  </w:r>
                  <w:r>
                    <w:rPr>
                      <w:rFonts w:hint="default" w:ascii="Times New Roman" w:hAnsi="Times New Roman" w:eastAsia="宋体" w:cs="Times New Roman"/>
                      <w:color w:val="000000"/>
                      <w:sz w:val="20"/>
                      <w:szCs w:val="20"/>
                    </w:rPr>
                    <w:t>落实《南通市突发环境事件应急预案（2020年修订版）》（通政办发〔2020〕46号）。</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2.根据《南通市化工产业安全环保整治提升三年行动计划（2019</w:t>
                  </w:r>
                  <w:r>
                    <w:rPr>
                      <w:rFonts w:hint="eastAsia" w:ascii="Times New Roman" w:hAnsi="Times New Roman" w:eastAsia="宋体" w:cs="Times New Roman"/>
                      <w:color w:val="000000"/>
                      <w:sz w:val="20"/>
                      <w:szCs w:val="20"/>
                      <w:lang w:eastAsia="zh-CN"/>
                    </w:rPr>
                    <w:t>～</w:t>
                  </w:r>
                  <w:r>
                    <w:rPr>
                      <w:rFonts w:hint="default" w:ascii="Times New Roman" w:hAnsi="Times New Roman" w:eastAsia="宋体" w:cs="Times New Roman"/>
                      <w:color w:val="000000"/>
                      <w:sz w:val="20"/>
                      <w:szCs w:val="20"/>
                    </w:rPr>
                    <w:t>2021年）》（通政办发〔2019〕102号），保留提升的化工生产企业必须制订整治提升实施方案。严格危险废物处置管理。企业须在环评报告中准确全面评价固体废物的种类、数量、属性及产生、贮存、利用或处置情况。在安评报告中对固体废物贮存、利用处置环节进行安全性评价，并按标准规范设计、建造或改建贮存、利用处置危险废物的设施设备。生产企业应按照相关管理要求申报、处置废弃危险化学品。强化对危险废物的收集、贮存和处置的监督管理，实现危险废物监管无盲区、无死角。</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3.根据《关于加快全省化工钢铁煤电行业转型升级高质量发展的实施意见》（苏办发〔2018〕32号），钢铁行业企业总平面布置必须符合国家规范要求，有较大变更的必须进行安全风险分析和评估论证。企业必须按规定设计、设置和运行自动控制系统，按规定实施全流程自动控制改造，有条件的鼓励创建智能工厂（装置）。企业涉及重大危险源的设施设备与周边重要公共建筑安全距离须符合国家相关标准要求。坚决淘汰超期服役的高风险设备和设施。</w:t>
                  </w:r>
                </w:p>
              </w:tc>
              <w:tc>
                <w:tcPr>
                  <w:tcW w:w="8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本项目建成后将</w:t>
                  </w:r>
                  <w:r>
                    <w:rPr>
                      <w:rFonts w:hint="eastAsia" w:ascii="Times New Roman" w:hAnsi="Times New Roman" w:eastAsia="宋体" w:cs="Times New Roman"/>
                      <w:color w:val="000000"/>
                      <w:sz w:val="20"/>
                      <w:szCs w:val="20"/>
                      <w:lang w:val="en-US" w:eastAsia="zh-CN"/>
                    </w:rPr>
                    <w:t>完善</w:t>
                  </w:r>
                  <w:r>
                    <w:rPr>
                      <w:rFonts w:hint="default" w:ascii="Times New Roman" w:hAnsi="Times New Roman" w:eastAsia="宋体" w:cs="Times New Roman"/>
                      <w:color w:val="000000"/>
                      <w:sz w:val="20"/>
                      <w:szCs w:val="20"/>
                    </w:rPr>
                    <w:t>环境风险应急预案，同时企业内储备有足够的环境应急物资，实现环境风险联防联控，故能满足环境风险防控的相关要求。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5" w:hRule="atLeast"/>
                <w:jc w:val="center"/>
              </w:trPr>
              <w:tc>
                <w:tcPr>
                  <w:tcW w:w="53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资源利用效率要求</w:t>
                  </w:r>
                </w:p>
              </w:tc>
              <w:tc>
                <w:tcPr>
                  <w:tcW w:w="3641" w:type="pct"/>
                  <w:tcBorders>
                    <w:tl2br w:val="nil"/>
                    <w:tr2bl w:val="nil"/>
                  </w:tcBorders>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lang w:val="en-US" w:eastAsia="zh-CN"/>
                    </w:rPr>
                    <w:t>1.</w:t>
                  </w:r>
                  <w:r>
                    <w:rPr>
                      <w:rFonts w:hint="default" w:ascii="Times New Roman" w:hAnsi="Times New Roman" w:eastAsia="宋体" w:cs="Times New Roman"/>
                      <w:color w:val="000000"/>
                      <w:sz w:val="20"/>
                      <w:szCs w:val="20"/>
                    </w:rPr>
                    <w:t>根据《中华人民共和国大气污染防治法》，禁燃区禁止新建、扩建燃用高污染燃料的项目和设施，已建成的应逐步或依法限期改用天然气、电或者其他清洁能源。</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2.化工行业新建化工项目须达到国内清洁生产先进水平或行业先进水平，生产过程连续化、密闭化、自动化、智能化；钢铁行业沿海地区新建钢厂、其他地区钢厂改造升级项目必须符合《江苏省钢铁行业布局优化结构调整项目建设实施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000000"/>
                      <w:sz w:val="20"/>
                      <w:szCs w:val="20"/>
                    </w:rPr>
                  </w:pPr>
                  <w:r>
                    <w:rPr>
                      <w:rFonts w:hint="default" w:ascii="Times New Roman" w:hAnsi="Times New Roman" w:eastAsia="宋体" w:cs="Times New Roman"/>
                      <w:color w:val="000000"/>
                      <w:sz w:val="20"/>
                      <w:szCs w:val="20"/>
                    </w:rPr>
                    <w:t>3.严格控制地下水开采。落实《江苏省地下水超采区划分方案》（苏政复〔2013〕59号），在海门区的海门城区、三厂、常乐等乡镇共计136.9平方公里，实施地下水禁采；在如东县的掘港及马塘、岔河、洋口、丰利等乡镇，海门区除三阳、海永外的大部分地区，启东市的汇龙、吕四、北新等乡镇，通州区的东社镇、二甲镇，通州湾的三余镇等地2095.8平方公里，实施地下水限采。</w:t>
                  </w:r>
                </w:p>
              </w:tc>
              <w:tc>
                <w:tcPr>
                  <w:tcW w:w="8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本项目使用生物质燃料，且配备低氮燃烧+SNCR+</w:t>
                  </w:r>
                  <w:r>
                    <w:rPr>
                      <w:rFonts w:hint="eastAsia" w:cs="Times New Roman"/>
                      <w:color w:val="auto"/>
                      <w:sz w:val="20"/>
                      <w:szCs w:val="20"/>
                      <w:lang w:val="en-US" w:eastAsia="zh-CN"/>
                    </w:rPr>
                    <w:t>石灰喷雾干燥+</w:t>
                  </w:r>
                  <w:r>
                    <w:rPr>
                      <w:rFonts w:hint="eastAsia" w:ascii="Times New Roman" w:hAnsi="Times New Roman" w:eastAsia="宋体" w:cs="Times New Roman"/>
                      <w:color w:val="auto"/>
                      <w:sz w:val="20"/>
                      <w:szCs w:val="20"/>
                      <w:lang w:val="en-US" w:eastAsia="zh-CN"/>
                    </w:rPr>
                    <w:t>余热回收+旋风除尘+布袋除尘+水幕除尘的高效除尘设备，不属于禁止类燃料。</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 w:val="0"/>
                <w:bCs w:val="0"/>
                <w:color w:val="auto"/>
                <w:kern w:val="0"/>
                <w:szCs w:val="21"/>
              </w:rPr>
            </w:pPr>
            <w:r>
              <w:rPr>
                <w:rFonts w:hint="eastAsia" w:ascii="Times New Roman" w:hAnsi="Times New Roman" w:eastAsia="宋体" w:cs="Times New Roman"/>
                <w:b w:val="0"/>
                <w:bCs w:val="0"/>
                <w:color w:val="auto"/>
                <w:kern w:val="0"/>
                <w:szCs w:val="21"/>
              </w:rPr>
              <w:t>因此，本项目符合通政办规[2021]4号文件要求。</w:t>
            </w:r>
          </w:p>
          <w:p>
            <w:pPr>
              <w:adjustRightInd w:val="0"/>
              <w:snapToGrid w:val="0"/>
              <w:spacing w:line="360" w:lineRule="auto"/>
              <w:ind w:firstLine="422" w:firstLineChars="200"/>
              <w:rPr>
                <w:b/>
                <w:bCs w:val="0"/>
                <w:color w:val="auto"/>
                <w:szCs w:val="21"/>
              </w:rPr>
            </w:pPr>
            <w:r>
              <w:rPr>
                <w:rFonts w:hint="eastAsia"/>
                <w:b/>
                <w:bCs w:val="0"/>
                <w:color w:val="auto"/>
                <w:szCs w:val="21"/>
              </w:rPr>
              <w:t>（</w:t>
            </w:r>
            <w:r>
              <w:rPr>
                <w:rFonts w:hint="eastAsia"/>
                <w:b/>
                <w:bCs w:val="0"/>
                <w:color w:val="auto"/>
                <w:szCs w:val="21"/>
                <w:lang w:val="en-US" w:eastAsia="zh-CN"/>
              </w:rPr>
              <w:t>4</w:t>
            </w:r>
            <w:r>
              <w:rPr>
                <w:rFonts w:hint="eastAsia"/>
                <w:b/>
                <w:bCs w:val="0"/>
                <w:color w:val="auto"/>
                <w:szCs w:val="21"/>
              </w:rPr>
              <w:t>）</w:t>
            </w:r>
            <w:r>
              <w:rPr>
                <w:b/>
                <w:bCs/>
                <w:color w:val="000000"/>
              </w:rPr>
              <w:t>与《如皋市“三线一单”生态环境分区管控实施方案》的通知（皋政办发〔2021〕166号）相符性分析</w:t>
            </w:r>
          </w:p>
          <w:p>
            <w:pPr>
              <w:spacing w:line="360" w:lineRule="auto"/>
              <w:ind w:firstLine="420"/>
              <w:rPr>
                <w:color w:val="000000"/>
              </w:rPr>
            </w:pPr>
            <w:r>
              <w:rPr>
                <w:color w:val="000000"/>
              </w:rPr>
              <w:t>对照《如皋市“三线一单”生态环境分区管控实施方案》，其相符性分析见下表。</w:t>
            </w:r>
          </w:p>
          <w:p>
            <w:pPr>
              <w:pStyle w:val="4072"/>
              <w:spacing w:before="0" w:beforeLines="0" w:after="0" w:afterLines="0" w:line="360" w:lineRule="auto"/>
              <w:rPr>
                <w:rFonts w:ascii="Times New Roman" w:hAnsi="Times New Roman" w:eastAsia="宋体" w:cs="Times New Roman"/>
              </w:rPr>
            </w:pPr>
            <w:r>
              <w:t>表1-</w:t>
            </w:r>
            <w:r>
              <w:rPr>
                <w:rFonts w:hint="eastAsia"/>
                <w:lang w:val="en-US" w:eastAsia="zh-CN"/>
              </w:rPr>
              <w:t xml:space="preserve">5  </w:t>
            </w:r>
            <w:r>
              <w:t xml:space="preserve"> </w:t>
            </w:r>
            <w:r>
              <w:rPr>
                <w:rFonts w:hint="default" w:ascii="Times New Roman" w:hAnsi="Times New Roman" w:eastAsia="宋体" w:cs="Times New Roman"/>
                <w:lang w:val="en-US" w:eastAsia="zh-CN"/>
              </w:rPr>
              <w:t>与</w:t>
            </w:r>
            <w:r>
              <w:rPr>
                <w:rFonts w:hint="default" w:ascii="Times New Roman" w:hAnsi="Times New Roman" w:eastAsia="宋体" w:cs="Times New Roman"/>
              </w:rPr>
              <w:t>皋政办发〔2021〕166号</w:t>
            </w:r>
            <w:r>
              <w:rPr>
                <w:rFonts w:hint="default" w:ascii="Times New Roman" w:hAnsi="Times New Roman" w:eastAsia="宋体" w:cs="Times New Roman"/>
                <w:lang w:val="en-US" w:eastAsia="zh-CN"/>
              </w:rPr>
              <w:t>文相符性分析</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71"/>
              <w:gridCol w:w="5558"/>
              <w:gridCol w:w="20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tblHeader/>
                <w:jc w:val="center"/>
              </w:trPr>
              <w:tc>
                <w:tcPr>
                  <w:tcW w:w="406" w:type="pct"/>
                  <w:tcBorders>
                    <w:bottom w:val="single" w:color="auto" w:sz="12"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snapToGrid w:val="0"/>
                      <w:kern w:val="0"/>
                      <w:sz w:val="20"/>
                      <w:szCs w:val="22"/>
                    </w:rPr>
                  </w:pPr>
                  <w:r>
                    <w:rPr>
                      <w:rFonts w:hint="default" w:ascii="Times New Roman" w:hAnsi="Times New Roman" w:eastAsia="宋体" w:cs="Times New Roman"/>
                      <w:b/>
                      <w:snapToGrid w:val="0"/>
                      <w:kern w:val="0"/>
                      <w:sz w:val="20"/>
                      <w:szCs w:val="22"/>
                    </w:rPr>
                    <w:t>管控类别</w:t>
                  </w:r>
                </w:p>
              </w:tc>
              <w:tc>
                <w:tcPr>
                  <w:tcW w:w="3360" w:type="pct"/>
                  <w:tcBorders>
                    <w:bottom w:val="single" w:color="auto" w:sz="12"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snapToGrid w:val="0"/>
                      <w:kern w:val="0"/>
                      <w:sz w:val="20"/>
                      <w:szCs w:val="22"/>
                    </w:rPr>
                  </w:pPr>
                  <w:bookmarkStart w:id="2" w:name="OLE_LINK30"/>
                  <w:r>
                    <w:rPr>
                      <w:rFonts w:hint="default" w:ascii="Times New Roman" w:hAnsi="Times New Roman" w:eastAsia="宋体" w:cs="Times New Roman"/>
                      <w:b/>
                      <w:snapToGrid w:val="0"/>
                      <w:kern w:val="0"/>
                      <w:sz w:val="20"/>
                      <w:szCs w:val="22"/>
                    </w:rPr>
                    <w:t>管控</w:t>
                  </w:r>
                  <w:bookmarkEnd w:id="2"/>
                  <w:r>
                    <w:rPr>
                      <w:rFonts w:hint="default" w:ascii="Times New Roman" w:hAnsi="Times New Roman" w:eastAsia="宋体" w:cs="Times New Roman"/>
                      <w:b/>
                      <w:snapToGrid w:val="0"/>
                      <w:kern w:val="0"/>
                      <w:sz w:val="20"/>
                      <w:szCs w:val="22"/>
                    </w:rPr>
                    <w:t>要求</w:t>
                  </w:r>
                </w:p>
              </w:tc>
              <w:tc>
                <w:tcPr>
                  <w:tcW w:w="1233" w:type="pct"/>
                  <w:tcBorders>
                    <w:bottom w:val="single" w:color="auto" w:sz="12" w:space="0"/>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b/>
                      <w:snapToGrid w:val="0"/>
                      <w:kern w:val="0"/>
                      <w:sz w:val="20"/>
                      <w:szCs w:val="22"/>
                      <w:lang w:val="en-US" w:eastAsia="zh-CN"/>
                    </w:rPr>
                  </w:pPr>
                  <w:r>
                    <w:rPr>
                      <w:rFonts w:hint="default" w:ascii="Times New Roman" w:hAnsi="Times New Roman" w:eastAsia="宋体" w:cs="Times New Roman"/>
                      <w:b/>
                      <w:snapToGrid w:val="0"/>
                      <w:kern w:val="0"/>
                      <w:sz w:val="20"/>
                      <w:szCs w:val="22"/>
                    </w:rPr>
                    <w:t>本项目情况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13" w:hRule="atLeast"/>
                <w:jc w:val="center"/>
              </w:trPr>
              <w:tc>
                <w:tcPr>
                  <w:tcW w:w="406" w:type="pct"/>
                  <w:tcBorders>
                    <w:top w:val="single" w:color="auto" w:sz="12"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空间布局</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约束</w:t>
                  </w:r>
                </w:p>
              </w:tc>
              <w:tc>
                <w:tcPr>
                  <w:tcW w:w="3360" w:type="pct"/>
                  <w:tcBorders>
                    <w:top w:val="single" w:color="auto" w:sz="12"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1.严格执行《江苏省“三线一单”生态环境分区管控方案》（苏政发〔2020〕49号）、《南通市“三线一单”生态环境分区管控实施方案》（通政办规〔2021〕4号）、《南通市长江经济带生态环境保护实施规划》（通政办发〔2018〕42号）、《2021年度如皋市深入打好污染防治攻坚战工作计划》（皋办〔2021〕31号）等文件中关于“空间布局约束”的相关要求。</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2.根据《省政府关于印发江苏省生态空间管控区域规划的通知》（苏政发〔2020〕1号）、《省政府关于印发江苏省国家级生态保护红线规划的通知》（苏政发〔2018〕74号）、《省政府办公厅关于印发江苏省生态空间管控区域调整管理办法的通知》（苏政办发〔2021〕3号），按照“山水林田湖草”系统保护的要求，划定、调整生态空间管控区，实行最严格的生态空间管控制度，确保具有重要生态功能的区域、重要生态系统以及生物多样性得到有效保护，提高生态产品供给能力。</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3.严格执行《〈长江经济带负面清单指南〉江苏省实施细则（试行）》，禁止引进列入《南通市工业结构调整指导目录》淘汰类的产业、列入《南通市工业产业技术改造负面清单》严格禁止的技术改造工艺装备及产品。</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color w:val="FF0000"/>
                      <w:kern w:val="0"/>
                      <w:sz w:val="20"/>
                      <w:szCs w:val="22"/>
                    </w:rPr>
                  </w:pPr>
                  <w:r>
                    <w:rPr>
                      <w:rFonts w:hint="default" w:ascii="Times New Roman" w:hAnsi="Times New Roman" w:eastAsia="宋体" w:cs="Times New Roman"/>
                      <w:snapToGrid w:val="0"/>
                      <w:kern w:val="0"/>
                      <w:sz w:val="20"/>
                      <w:szCs w:val="22"/>
                    </w:rPr>
                    <w:t>4.根据《省政府关于加强全省化工园区化工集中区规范化管理的通知》（苏政发〔2020〕94号）、《市政府关于印发南通市化工产业环保准入指导意见的通知》（通政发〔2014〕10号）、《如皋市化工产业环保整治提升行动工作方案》（通如皋环〔2020〕22号），强化生态环境保护硬约束，沿江地区不再新布局石化项目，严禁在长江干流及主要支流岸线1公里范围内新建化工园区和化工企业，禁止在长江干流自然保护区、风景名胜区、“四大家鱼”产卵场等管控重点区域新建工业类和污染类项目，现有高风险企业实施限期治理。自然保护区核心区及缓冲区内禁止新建码头工程，逐步拆除已有的各类生产设施以及危险化学品、石油类泊位。严禁新增危险化学品码头，加大长江沿岸现有危险化学品码头和储罐的清理整顿力度，加强沿江危险化学品码头运行管理。</w:t>
                  </w:r>
                </w:p>
              </w:tc>
              <w:tc>
                <w:tcPr>
                  <w:tcW w:w="1233" w:type="pct"/>
                  <w:tcBorders>
                    <w:top w:val="single" w:color="auto" w:sz="12" w:space="0"/>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lang w:val="en-US" w:eastAsia="zh-CN"/>
                    </w:rPr>
                  </w:pPr>
                  <w:r>
                    <w:rPr>
                      <w:snapToGrid w:val="0"/>
                      <w:kern w:val="0"/>
                      <w:sz w:val="20"/>
                      <w:szCs w:val="22"/>
                    </w:rPr>
                    <w:t>本项目不在生态空间管控区范围内，不属于《长江经济带发展负面清单指南》（试行，2022年版）江苏省实施细则》（苏长江办发〔2022〕55号）中负面清单内容，本项目不属于石化项目；本项目不属于在长江干流自然保护区、风景名胜区、“四大家鱼”产卵场等管控重点区域新建工业类和污染类项目；不属于码头工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7" w:hRule="atLeast"/>
                <w:jc w:val="center"/>
              </w:trPr>
              <w:tc>
                <w:tcPr>
                  <w:tcW w:w="40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污染物</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排放管控</w:t>
                  </w:r>
                </w:p>
              </w:tc>
              <w:tc>
                <w:tcPr>
                  <w:tcW w:w="336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1.坚持生态环境质量“只能更好、不能变坏”的原则，实施污染物总量控制，以环境容量定产业、定项目、定规模，确保开发建设行为不突破生态环境承载力。</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2.落实《关于印发江苏省工业园区（集中区）污染物排放限值限量管理工作方案（试行）的通知》（苏污防攻坚指办〔2021〕56 号）文件要求，全面推进工业园区（集中区）限值限量管理，制定主要污染物排放总量核算方案，确定工业园区主要污染物实际排放总量，严格工业园区限值限量管控措施。</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3.严格执行《关于加强高耗能、高排放建设项目生态环境源头防控的指导意见》（环环评〔2021〕45号）等文件要求，严格执行区域污染物排放总量控制和超低排放标准，对“两高”项目实行产能等量或减量置换，确保增产不增污。</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4.严格执行《南通市关于加大污染减排力度推进重点行业绿化发展的指导意见》（通办[2021]59号）等文件要求，到2023年，全市纺织印染、电子信息、化工、电力与热力供应等高排放、高耗能重点行业，主要污染物排放总量明显减少，碳排放强度合理优化。</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5. 2025年污染物排放总量以“十四五”规划约束性目标为准。</w:t>
                  </w:r>
                </w:p>
              </w:tc>
              <w:tc>
                <w:tcPr>
                  <w:tcW w:w="12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lang w:val="en-US" w:eastAsia="zh-CN"/>
                    </w:rPr>
                  </w:pPr>
                  <w:r>
                    <w:rPr>
                      <w:rFonts w:hint="eastAsia" w:ascii="Times New Roman" w:hAnsi="Times New Roman" w:eastAsia="宋体" w:cs="Times New Roman"/>
                      <w:snapToGrid w:val="0"/>
                      <w:kern w:val="0"/>
                      <w:sz w:val="20"/>
                      <w:szCs w:val="22"/>
                      <w:lang w:val="en-US" w:eastAsia="zh-CN"/>
                    </w:rPr>
                    <w:t>本项目属于登记管理，因此无需申请总量</w:t>
                  </w:r>
                  <w:r>
                    <w:rPr>
                      <w:rFonts w:hint="eastAsia" w:cs="Times New Roman"/>
                      <w:snapToGrid w:val="0"/>
                      <w:kern w:val="0"/>
                      <w:sz w:val="20"/>
                      <w:szCs w:val="22"/>
                      <w:lang w:val="en-US" w:eastAsia="zh-CN"/>
                    </w:rPr>
                    <w:t>。</w:t>
                  </w:r>
                  <w:r>
                    <w:rPr>
                      <w:rFonts w:hint="default" w:ascii="Times New Roman" w:hAnsi="Times New Roman" w:eastAsia="宋体" w:cs="Times New Roman"/>
                      <w:snapToGrid w:val="0"/>
                      <w:kern w:val="0"/>
                      <w:sz w:val="20"/>
                      <w:szCs w:val="22"/>
                      <w:lang w:val="en-US" w:eastAsia="zh-CN"/>
                    </w:rPr>
                    <w:t>本项目废气、废水经有效措施后达标排放；本项目不属于“两高”项目</w:t>
                  </w:r>
                  <w:r>
                    <w:rPr>
                      <w:rFonts w:hint="eastAsia" w:ascii="Times New Roman" w:hAnsi="Times New Roman" w:eastAsia="宋体" w:cs="Times New Roman"/>
                      <w:snapToGrid w:val="0"/>
                      <w:kern w:val="0"/>
                      <w:sz w:val="20"/>
                      <w:szCs w:val="22"/>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40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环境风险</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防控</w:t>
                  </w:r>
                </w:p>
              </w:tc>
              <w:tc>
                <w:tcPr>
                  <w:tcW w:w="336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1.落实《如皋市突发环境事件应急预案》（皋政办发〔2019〕157号）、《市政府办公室关于印发如皋市“十四五”应急管理体系和能力建设规划的通知》（皋政办发〔2021〕147号）等文件要求，建立健全环境风险防范体系，强化环境事故应急管理，防范化解重大风险。</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2.根据《如皋市化工产业环保整治提升行动工作方案》（通如皋环〔2020〕22号），全面整改环境风险隐患，加强对关闭退出化工企业风险管控，提升保留化工企业环境管理水平，提升化工园区环境管理能力。严格危险废物处置管理，企业须在环评报告中全面评价固体废物的种类、数量、属性及产生、贮存、利用或处置情况，强化对危险废物的收集、贮存和处置的监督管理，严厉打击危险废物非法转移、处置和倾倒行为。</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3.强化饮用水水源环境风险管控，建设应急水源工程。</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4.根据《如皋市重污染天气应急预案（2020年修订版》（皋政办发〔2020〕31号），加强空气质量监测和大气污染源监控，建立统一的重污染天气应急指挥系统，积极预警、及时控制、消除隐患，提高应急处置能力。</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5.根据《如皋市污染地块环境管理联动实施方案（试行）》（皋政办发〔2021〕130号），建立疑似污染地块名单，开展土壤污染状况调查、风险评估、风险管控或治理修复工作，加强污染地块环境风险防控，有效保障建设用地土壤环境安全。</w:t>
                  </w:r>
                </w:p>
              </w:tc>
              <w:tc>
                <w:tcPr>
                  <w:tcW w:w="12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lang w:eastAsia="zh-CN"/>
                    </w:rPr>
                  </w:pPr>
                  <w:r>
                    <w:rPr>
                      <w:rFonts w:hint="default" w:ascii="Times New Roman" w:hAnsi="Times New Roman" w:eastAsia="宋体" w:cs="Times New Roman"/>
                      <w:snapToGrid w:val="0"/>
                      <w:kern w:val="0"/>
                      <w:sz w:val="20"/>
                      <w:szCs w:val="22"/>
                    </w:rPr>
                    <w:t>本项目建成后将</w:t>
                  </w:r>
                  <w:r>
                    <w:rPr>
                      <w:rFonts w:hint="eastAsia" w:cs="Times New Roman"/>
                      <w:snapToGrid w:val="0"/>
                      <w:kern w:val="0"/>
                      <w:sz w:val="20"/>
                      <w:szCs w:val="22"/>
                      <w:lang w:val="en-US" w:eastAsia="zh-CN"/>
                    </w:rPr>
                    <w:t>按</w:t>
                  </w:r>
                  <w:r>
                    <w:rPr>
                      <w:rFonts w:hint="default" w:ascii="Times New Roman" w:hAnsi="Times New Roman" w:eastAsia="宋体" w:cs="Times New Roman"/>
                      <w:snapToGrid w:val="0"/>
                      <w:kern w:val="0"/>
                      <w:sz w:val="20"/>
                      <w:szCs w:val="22"/>
                    </w:rPr>
                    <w:t>要求编修环境风险应急预案，同时企业内储备足够的环境应急物资，实现环境风险联防联控，故能满足环境风险防控的相关要求</w:t>
                  </w:r>
                  <w:r>
                    <w:rPr>
                      <w:rFonts w:hint="default" w:ascii="Times New Roman" w:hAnsi="Times New Roman" w:eastAsia="宋体" w:cs="Times New Roman"/>
                      <w:snapToGrid w:val="0"/>
                      <w:kern w:val="0"/>
                      <w:sz w:val="20"/>
                      <w:szCs w:val="22"/>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0" w:hRule="atLeast"/>
                <w:jc w:val="center"/>
              </w:trPr>
              <w:tc>
                <w:tcPr>
                  <w:tcW w:w="406"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资源利用</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效率要求</w:t>
                  </w:r>
                </w:p>
              </w:tc>
              <w:tc>
                <w:tcPr>
                  <w:tcW w:w="3360"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1.严格执行《关于划定高污染燃料禁燃区的通知》（皋政发〔2013〕162号）的相关要求，禁燃区内不得新（改、扩）建高污染燃料燃用设施（集中供热、电厂锅炉除外）。</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2.化工行业新建化工项目须达到国内清洁生产先进水平或行业先进水平，生产过程须连续化、密闭化、自动化、智能化。</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3.严格执行《南通市关于加大污染减排力度推进重点行业绿化发展的指导意见》（通办[2021]59号）等文件要求，到2023年，绿色发展水平显著提升，重点行业单位产值能耗、水耗、物耗持续下降，单位产值二氧化碳排放强度合理优化，初步建立产业链耦合共生、资源能源高效利用的绿色低碳循环体系。</w:t>
                  </w:r>
                </w:p>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default" w:ascii="Times New Roman" w:hAnsi="Times New Roman" w:eastAsia="宋体" w:cs="Times New Roman"/>
                      <w:snapToGrid w:val="0"/>
                      <w:kern w:val="0"/>
                      <w:sz w:val="20"/>
                      <w:szCs w:val="22"/>
                    </w:rPr>
                    <w:t>4.根据《江苏省自然资源厅关于同意南通市所辖县（市、区）国土空间规划近期实施方案的函》（苏自然资函[2021]521号）、《如皋市国土空间规划近期实施方案》等文件，到2035年，全市永久基本农田保持70473.0公顷不变。</w:t>
                  </w:r>
                </w:p>
              </w:tc>
              <w:tc>
                <w:tcPr>
                  <w:tcW w:w="1233" w:type="pct"/>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snapToGrid w:val="0"/>
                      <w:kern w:val="0"/>
                      <w:sz w:val="20"/>
                      <w:szCs w:val="22"/>
                    </w:rPr>
                  </w:pPr>
                  <w:r>
                    <w:rPr>
                      <w:rFonts w:hint="eastAsia" w:ascii="Times New Roman" w:hAnsi="Times New Roman" w:eastAsia="宋体" w:cs="Times New Roman"/>
                      <w:color w:val="auto"/>
                      <w:sz w:val="20"/>
                      <w:szCs w:val="20"/>
                      <w:lang w:val="en-US" w:eastAsia="zh-CN"/>
                    </w:rPr>
                    <w:t>本项目使用生物质燃</w:t>
                  </w:r>
                  <w:r>
                    <w:rPr>
                      <w:rFonts w:hint="eastAsia" w:ascii="Times New Roman" w:hAnsi="Times New Roman" w:eastAsia="宋体" w:cs="Times New Roman"/>
                      <w:snapToGrid w:val="0"/>
                      <w:kern w:val="0"/>
                      <w:sz w:val="20"/>
                      <w:szCs w:val="22"/>
                      <w:lang w:val="en-US" w:eastAsia="zh-CN"/>
                    </w:rPr>
                    <w:t>料，且配备低氮燃烧+SNCR+</w:t>
                  </w:r>
                  <w:r>
                    <w:rPr>
                      <w:rFonts w:hint="eastAsia" w:cs="Times New Roman"/>
                      <w:snapToGrid w:val="0"/>
                      <w:kern w:val="0"/>
                      <w:sz w:val="20"/>
                      <w:szCs w:val="22"/>
                      <w:lang w:val="en-US" w:eastAsia="zh-CN"/>
                    </w:rPr>
                    <w:t>石灰喷雾干燥+</w:t>
                  </w:r>
                  <w:r>
                    <w:rPr>
                      <w:rFonts w:hint="eastAsia" w:ascii="Times New Roman" w:hAnsi="Times New Roman" w:eastAsia="宋体" w:cs="Times New Roman"/>
                      <w:snapToGrid w:val="0"/>
                      <w:kern w:val="0"/>
                      <w:sz w:val="20"/>
                      <w:szCs w:val="22"/>
                      <w:lang w:val="en-US" w:eastAsia="zh-CN"/>
                    </w:rPr>
                    <w:t>余热回收+旋风除尘+布袋除尘+水幕除尘</w:t>
                  </w:r>
                  <w:r>
                    <w:rPr>
                      <w:rFonts w:hint="eastAsia" w:ascii="Times New Roman" w:hAnsi="Times New Roman" w:eastAsia="宋体" w:cs="Times New Roman"/>
                      <w:color w:val="auto"/>
                      <w:sz w:val="20"/>
                      <w:szCs w:val="20"/>
                      <w:lang w:val="en-US" w:eastAsia="zh-CN"/>
                    </w:rPr>
                    <w:t>的高效除尘设备，不属于禁止类燃料</w:t>
                  </w:r>
                  <w:r>
                    <w:rPr>
                      <w:rFonts w:hint="eastAsia" w:cs="Times New Roman"/>
                      <w:color w:val="auto"/>
                      <w:sz w:val="20"/>
                      <w:szCs w:val="20"/>
                      <w:lang w:val="en-US" w:eastAsia="zh-CN"/>
                    </w:rPr>
                    <w:t>。</w:t>
                  </w:r>
                </w:p>
              </w:tc>
            </w:tr>
          </w:tbl>
          <w:p>
            <w:pPr>
              <w:autoSpaceDE w:val="0"/>
              <w:autoSpaceDN w:val="0"/>
              <w:adjustRightInd w:val="0"/>
              <w:snapToGrid w:val="0"/>
              <w:spacing w:line="400" w:lineRule="exact"/>
              <w:ind w:firstLine="422" w:firstLineChars="200"/>
              <w:jc w:val="left"/>
              <w:rPr>
                <w:b/>
                <w:color w:val="auto"/>
                <w:kern w:val="0"/>
                <w:szCs w:val="21"/>
              </w:rPr>
            </w:pPr>
            <w:r>
              <w:rPr>
                <w:rFonts w:hint="eastAsia"/>
                <w:b/>
                <w:color w:val="auto"/>
                <w:kern w:val="0"/>
                <w:szCs w:val="21"/>
                <w:lang w:val="en-US" w:eastAsia="zh-CN"/>
              </w:rPr>
              <w:t>4</w:t>
            </w:r>
            <w:r>
              <w:rPr>
                <w:b/>
                <w:color w:val="auto"/>
                <w:kern w:val="0"/>
                <w:szCs w:val="21"/>
              </w:rPr>
              <w:t>、其他环保政策相符性分析</w:t>
            </w:r>
          </w:p>
          <w:p>
            <w:pPr>
              <w:autoSpaceDE w:val="0"/>
              <w:autoSpaceDN w:val="0"/>
              <w:adjustRightInd w:val="0"/>
              <w:snapToGrid w:val="0"/>
              <w:spacing w:line="400" w:lineRule="exact"/>
              <w:ind w:firstLine="422" w:firstLineChars="200"/>
              <w:rPr>
                <w:b/>
                <w:bCs w:val="0"/>
                <w:color w:val="auto"/>
                <w:kern w:val="0"/>
                <w:szCs w:val="21"/>
              </w:rPr>
            </w:pPr>
            <w:r>
              <w:rPr>
                <w:rFonts w:hint="eastAsia"/>
                <w:b/>
                <w:bCs w:val="0"/>
                <w:color w:val="auto"/>
                <w:kern w:val="0"/>
                <w:szCs w:val="21"/>
              </w:rPr>
              <w:t>（1）与《关于加强高耗能、高排放建设项目生态环境源头防控的指导意见》（环环评〔2021〕45号）相符性分析</w:t>
            </w:r>
          </w:p>
          <w:p>
            <w:pPr>
              <w:autoSpaceDE w:val="0"/>
              <w:autoSpaceDN w:val="0"/>
              <w:adjustRightInd w:val="0"/>
              <w:snapToGrid w:val="0"/>
              <w:spacing w:line="400" w:lineRule="exact"/>
              <w:ind w:firstLine="420" w:firstLineChars="200"/>
              <w:rPr>
                <w:rFonts w:hint="eastAsia"/>
                <w:bCs/>
                <w:color w:val="auto"/>
                <w:kern w:val="0"/>
                <w:szCs w:val="21"/>
              </w:rPr>
            </w:pPr>
            <w:r>
              <w:rPr>
                <w:rFonts w:hint="eastAsia"/>
                <w:bCs/>
                <w:color w:val="auto"/>
                <w:kern w:val="0"/>
                <w:szCs w:val="21"/>
              </w:rPr>
              <w:t>本项目行业类别为</w:t>
            </w:r>
            <w:r>
              <w:rPr>
                <w:rFonts w:hint="eastAsia"/>
                <w:color w:val="auto"/>
                <w:szCs w:val="21"/>
              </w:rPr>
              <w:t>C1789其他产业用纺织制成品制造</w:t>
            </w:r>
            <w:r>
              <w:rPr>
                <w:rFonts w:hint="eastAsia"/>
                <w:color w:val="auto"/>
                <w:szCs w:val="21"/>
                <w:lang w:val="en-US" w:eastAsia="zh-CN"/>
              </w:rPr>
              <w:t>和</w:t>
            </w:r>
            <w:r>
              <w:rPr>
                <w:rFonts w:hint="eastAsia"/>
                <w:bCs/>
                <w:color w:val="auto"/>
                <w:kern w:val="0"/>
                <w:szCs w:val="21"/>
              </w:rPr>
              <w:t>D4430热力生产和供应，生物质锅炉为厂内项目配套设施，产出为蒸汽，不属于火力发电和热电联产，不在“两高”行业范围内。因此，本项目的建设不违背《关于加强高耗能、高排放建设项目生态环境源头防控的指导意见》（环环评[2021]45号）相关要求。</w:t>
            </w:r>
          </w:p>
          <w:p>
            <w:pPr>
              <w:autoSpaceDE w:val="0"/>
              <w:autoSpaceDN w:val="0"/>
              <w:adjustRightInd w:val="0"/>
              <w:snapToGrid w:val="0"/>
              <w:spacing w:line="400" w:lineRule="exact"/>
              <w:ind w:firstLine="422" w:firstLineChars="200"/>
              <w:rPr>
                <w:rFonts w:hint="eastAsia" w:ascii="Times New Roman" w:hAnsi="Times New Roman" w:eastAsia="宋体" w:cs="Times New Roman"/>
                <w:b/>
                <w:bCs w:val="0"/>
                <w:color w:val="auto"/>
                <w:kern w:val="0"/>
                <w:szCs w:val="21"/>
              </w:rPr>
            </w:pPr>
            <w:r>
              <w:rPr>
                <w:rFonts w:hint="eastAsia" w:ascii="Times New Roman" w:hAnsi="Times New Roman" w:eastAsia="宋体" w:cs="Times New Roman"/>
                <w:b/>
                <w:bCs w:val="0"/>
                <w:color w:val="auto"/>
                <w:kern w:val="0"/>
                <w:szCs w:val="21"/>
              </w:rPr>
              <w:t>（2）与《关于印发《江苏省“两高”项目管理目录(2025年版)》的通知》（苏发改规发〔2025〕4号）相符性分析</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auto"/>
                <w:kern w:val="0"/>
                <w:szCs w:val="21"/>
              </w:rPr>
            </w:pPr>
            <w:r>
              <w:rPr>
                <w:rFonts w:hint="eastAsia"/>
                <w:bCs/>
                <w:kern w:val="0"/>
                <w:szCs w:val="21"/>
                <w:lang w:val="en-US" w:eastAsia="zh-CN"/>
              </w:rPr>
              <w:t>对照</w:t>
            </w:r>
            <w:r>
              <w:rPr>
                <w:rFonts w:hint="eastAsia"/>
                <w:bCs/>
                <w:kern w:val="0"/>
                <w:szCs w:val="21"/>
              </w:rPr>
              <w:t>《江苏省“两高”项目管理目录(2025年版)》（苏发改规发〔2025〕4号）</w:t>
            </w:r>
            <w:r>
              <w:rPr>
                <w:rFonts w:hint="eastAsia"/>
                <w:bCs/>
                <w:kern w:val="0"/>
                <w:szCs w:val="21"/>
                <w:lang w:eastAsia="zh-CN"/>
              </w:rPr>
              <w:t>“两高”项目涉及（</w:t>
            </w:r>
            <w:r>
              <w:rPr>
                <w:rFonts w:hint="eastAsia"/>
                <w:bCs/>
                <w:kern w:val="0"/>
                <w:szCs w:val="21"/>
                <w:lang w:val="en-US" w:eastAsia="zh-CN"/>
              </w:rPr>
              <w:t>1）</w:t>
            </w:r>
            <w:r>
              <w:rPr>
                <w:rFonts w:hint="eastAsia"/>
                <w:bCs/>
                <w:kern w:val="0"/>
                <w:szCs w:val="21"/>
                <w:lang w:eastAsia="zh-CN"/>
              </w:rPr>
              <w:t>石油、煤炭及其他燃料加工业，（</w:t>
            </w:r>
            <w:r>
              <w:rPr>
                <w:rFonts w:hint="eastAsia"/>
                <w:bCs/>
                <w:kern w:val="0"/>
                <w:szCs w:val="21"/>
                <w:lang w:val="en-US" w:eastAsia="zh-CN"/>
              </w:rPr>
              <w:t>2）</w:t>
            </w:r>
            <w:r>
              <w:rPr>
                <w:rFonts w:hint="eastAsia"/>
                <w:bCs/>
                <w:kern w:val="0"/>
                <w:szCs w:val="21"/>
                <w:lang w:eastAsia="zh-CN"/>
              </w:rPr>
              <w:t>化学原料和化学制品制造业，（</w:t>
            </w:r>
            <w:r>
              <w:rPr>
                <w:rFonts w:hint="eastAsia"/>
                <w:bCs/>
                <w:kern w:val="0"/>
                <w:szCs w:val="21"/>
                <w:lang w:val="en-US" w:eastAsia="zh-CN"/>
              </w:rPr>
              <w:t>3）</w:t>
            </w:r>
            <w:r>
              <w:rPr>
                <w:rFonts w:hint="eastAsia"/>
                <w:bCs/>
                <w:kern w:val="0"/>
                <w:szCs w:val="21"/>
                <w:lang w:eastAsia="zh-CN"/>
              </w:rPr>
              <w:t>非金属矿物制品业，（</w:t>
            </w:r>
            <w:r>
              <w:rPr>
                <w:rFonts w:hint="eastAsia"/>
                <w:bCs/>
                <w:kern w:val="0"/>
                <w:szCs w:val="21"/>
                <w:lang w:val="en-US" w:eastAsia="zh-CN"/>
              </w:rPr>
              <w:t>4）</w:t>
            </w:r>
            <w:r>
              <w:rPr>
                <w:rFonts w:hint="eastAsia"/>
                <w:bCs/>
                <w:kern w:val="0"/>
                <w:szCs w:val="21"/>
                <w:lang w:eastAsia="zh-CN"/>
              </w:rPr>
              <w:t>黑色金属冶炼和压延加工业，（</w:t>
            </w:r>
            <w:r>
              <w:rPr>
                <w:rFonts w:hint="eastAsia"/>
                <w:bCs/>
                <w:kern w:val="0"/>
                <w:szCs w:val="21"/>
                <w:lang w:val="en-US" w:eastAsia="zh-CN"/>
              </w:rPr>
              <w:t>5）</w:t>
            </w:r>
            <w:r>
              <w:rPr>
                <w:rFonts w:hint="eastAsia"/>
                <w:bCs/>
                <w:kern w:val="0"/>
                <w:szCs w:val="21"/>
                <w:lang w:eastAsia="zh-CN"/>
              </w:rPr>
              <w:t>有色金属冶炼和压延加工业，（</w:t>
            </w:r>
            <w:r>
              <w:rPr>
                <w:rFonts w:hint="eastAsia"/>
                <w:bCs/>
                <w:kern w:val="0"/>
                <w:szCs w:val="21"/>
                <w:lang w:val="en-US" w:eastAsia="zh-CN"/>
              </w:rPr>
              <w:t>6）</w:t>
            </w:r>
            <w:r>
              <w:rPr>
                <w:rFonts w:hint="eastAsia"/>
                <w:bCs/>
                <w:kern w:val="0"/>
                <w:szCs w:val="21"/>
                <w:lang w:eastAsia="zh-CN"/>
              </w:rPr>
              <w:t>电力、热力生产和供应，（</w:t>
            </w:r>
            <w:r>
              <w:rPr>
                <w:rFonts w:hint="eastAsia"/>
                <w:bCs/>
                <w:kern w:val="0"/>
                <w:szCs w:val="21"/>
                <w:lang w:val="en-US" w:eastAsia="zh-CN"/>
              </w:rPr>
              <w:t>7）</w:t>
            </w:r>
            <w:r>
              <w:rPr>
                <w:rFonts w:hint="eastAsia"/>
                <w:bCs/>
                <w:kern w:val="0"/>
                <w:szCs w:val="21"/>
                <w:lang w:eastAsia="zh-CN"/>
              </w:rPr>
              <w:t>软件和信息技术服务业等七个行业中的部分产品和装置。</w:t>
            </w:r>
            <w:r>
              <w:rPr>
                <w:rFonts w:hint="eastAsia" w:ascii="Times New Roman" w:hAnsi="Times New Roman" w:eastAsia="宋体" w:cs="Times New Roman"/>
                <w:bCs/>
                <w:color w:val="auto"/>
                <w:kern w:val="0"/>
                <w:szCs w:val="21"/>
              </w:rPr>
              <w:t>本项目属于</w:t>
            </w:r>
            <w:r>
              <w:rPr>
                <w:rFonts w:hint="eastAsia"/>
                <w:color w:val="auto"/>
                <w:szCs w:val="21"/>
              </w:rPr>
              <w:t>其他产业用纺织制成品制造</w:t>
            </w:r>
            <w:r>
              <w:rPr>
                <w:rFonts w:hint="eastAsia"/>
                <w:bCs/>
                <w:kern w:val="0"/>
                <w:szCs w:val="21"/>
                <w:lang w:val="en-US" w:eastAsia="zh-CN"/>
              </w:rPr>
              <w:t>和</w:t>
            </w:r>
            <w:r>
              <w:rPr>
                <w:rFonts w:hint="eastAsia"/>
                <w:bCs/>
                <w:color w:val="auto"/>
                <w:kern w:val="0"/>
                <w:szCs w:val="21"/>
              </w:rPr>
              <w:t>热力生产和供应</w:t>
            </w:r>
            <w:r>
              <w:rPr>
                <w:rFonts w:hint="eastAsia"/>
                <w:bCs/>
                <w:color w:val="auto"/>
                <w:kern w:val="0"/>
                <w:szCs w:val="21"/>
                <w:lang w:eastAsia="zh-CN"/>
              </w:rPr>
              <w:t>，</w:t>
            </w:r>
            <w:r>
              <w:rPr>
                <w:rFonts w:hint="eastAsia"/>
                <w:bCs/>
                <w:color w:val="auto"/>
                <w:kern w:val="0"/>
                <w:szCs w:val="21"/>
                <w:lang w:val="en-US" w:eastAsia="zh-CN"/>
              </w:rPr>
              <w:t>其中</w:t>
            </w:r>
            <w:r>
              <w:rPr>
                <w:rFonts w:hint="eastAsia"/>
                <w:bCs/>
                <w:kern w:val="0"/>
                <w:szCs w:val="21"/>
                <w:lang w:eastAsia="zh-CN"/>
              </w:rPr>
              <w:t>生物质锅炉产出为蒸汽，不属于火力发电和热电联产，</w:t>
            </w:r>
            <w:r>
              <w:rPr>
                <w:rFonts w:hint="eastAsia"/>
                <w:bCs/>
                <w:kern w:val="0"/>
                <w:szCs w:val="21"/>
              </w:rPr>
              <w:t>不在“高污染、高环境风险”产品名录中，不属于“两高”项目</w:t>
            </w:r>
            <w:r>
              <w:rPr>
                <w:rFonts w:hint="eastAsia" w:ascii="Times New Roman" w:hAnsi="Times New Roman" w:eastAsia="宋体" w:cs="Times New Roman"/>
                <w:bCs/>
                <w:color w:val="auto"/>
                <w:kern w:val="0"/>
                <w:szCs w:val="21"/>
              </w:rPr>
              <w:t>。</w:t>
            </w:r>
          </w:p>
          <w:p>
            <w:pPr>
              <w:autoSpaceDE w:val="0"/>
              <w:autoSpaceDN w:val="0"/>
              <w:adjustRightInd w:val="0"/>
              <w:snapToGrid w:val="0"/>
              <w:spacing w:line="400" w:lineRule="exact"/>
              <w:ind w:firstLine="422" w:firstLineChars="200"/>
              <w:rPr>
                <w:b/>
                <w:bCs w:val="0"/>
                <w:color w:val="auto"/>
                <w:kern w:val="0"/>
                <w:szCs w:val="21"/>
              </w:rPr>
            </w:pPr>
            <w:r>
              <w:rPr>
                <w:rFonts w:hint="eastAsia"/>
                <w:b/>
                <w:bCs w:val="0"/>
                <w:color w:val="auto"/>
                <w:kern w:val="0"/>
                <w:szCs w:val="21"/>
              </w:rPr>
              <w:t>（3）与印发《南通市关于加强减污降碳协同推进重点行业绿色发展的指导意见》的通知）（通办〔2024〕6号）相符性分析</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FF0000"/>
                <w:kern w:val="0"/>
                <w:szCs w:val="21"/>
                <w:lang w:val="en-US" w:eastAsia="zh-CN"/>
              </w:rPr>
            </w:pPr>
            <w:r>
              <w:rPr>
                <w:rFonts w:hint="eastAsia" w:ascii="Times New Roman" w:hAnsi="Times New Roman" w:eastAsia="宋体" w:cs="Times New Roman"/>
                <w:bCs/>
                <w:color w:val="FF0000"/>
                <w:kern w:val="0"/>
                <w:szCs w:val="21"/>
                <w:lang w:val="en-US" w:eastAsia="zh-CN"/>
              </w:rPr>
              <w:t>根据《南通市关于加强减污降碳协同推进重点行业绿色发展的指导意见》</w:t>
            </w:r>
            <w:r>
              <w:rPr>
                <w:rFonts w:hint="eastAsia" w:cs="Times New Roman"/>
                <w:bCs/>
                <w:color w:val="FF0000"/>
                <w:kern w:val="0"/>
                <w:szCs w:val="21"/>
                <w:lang w:val="en-US" w:eastAsia="zh-CN"/>
              </w:rPr>
              <w:t>（</w:t>
            </w:r>
            <w:r>
              <w:rPr>
                <w:rFonts w:hint="eastAsia" w:ascii="Times New Roman" w:hAnsi="Times New Roman" w:eastAsia="宋体" w:cs="Times New Roman"/>
                <w:bCs/>
                <w:color w:val="FF0000"/>
                <w:kern w:val="0"/>
                <w:szCs w:val="21"/>
                <w:lang w:val="en-US" w:eastAsia="zh-CN"/>
              </w:rPr>
              <w:t>通办〔2024)6号</w:t>
            </w:r>
            <w:r>
              <w:rPr>
                <w:rFonts w:hint="eastAsia" w:cs="Times New Roman"/>
                <w:bCs/>
                <w:color w:val="FF0000"/>
                <w:kern w:val="0"/>
                <w:szCs w:val="21"/>
                <w:lang w:val="en-US" w:eastAsia="zh-CN"/>
              </w:rPr>
              <w:t>）：</w:t>
            </w:r>
            <w:r>
              <w:rPr>
                <w:rFonts w:hint="eastAsia" w:ascii="Times New Roman" w:hAnsi="Times New Roman" w:eastAsia="宋体" w:cs="Times New Roman"/>
                <w:bCs/>
                <w:color w:val="FF0000"/>
                <w:kern w:val="0"/>
                <w:szCs w:val="21"/>
                <w:lang w:val="en-US" w:eastAsia="zh-CN"/>
              </w:rPr>
              <w:t>新建印染企业必须进入依法合规设立、具有印染定位的产业园区，新建、改扩建印染项目的工艺、装备、能效、清洁生产水平基本达到国际先进水平，新建项目、现有项目按照单位产品排水量和单位产品综合能耗分别设定准入、提升目标。电力与热力供应行业，新建、扩建燃煤机组大气污染物排放执行超超低排放要求(即基准氧含量6%，颗粒物、二氧化硫、氮氧化物排放浓度分别不高于5、20、30毫克/立方米）。</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FF0000"/>
                <w:kern w:val="0"/>
                <w:szCs w:val="21"/>
                <w:lang w:val="en-US" w:eastAsia="zh-CN"/>
              </w:rPr>
            </w:pPr>
            <w:r>
              <w:rPr>
                <w:rFonts w:hint="eastAsia" w:ascii="Times New Roman" w:hAnsi="Times New Roman" w:eastAsia="宋体" w:cs="Times New Roman"/>
                <w:bCs/>
                <w:color w:val="FF0000"/>
                <w:kern w:val="0"/>
                <w:szCs w:val="21"/>
                <w:lang w:val="en-US" w:eastAsia="zh-CN"/>
              </w:rPr>
              <w:t>本项目属于产业用纺织制成品制造，仅涉及后整理工序，不涉及喷水织造，不属于印染企业，</w:t>
            </w:r>
            <w:r>
              <w:rPr>
                <w:rFonts w:hint="eastAsia" w:cs="Times New Roman"/>
                <w:bCs/>
                <w:color w:val="FF0000"/>
                <w:kern w:val="0"/>
                <w:szCs w:val="21"/>
                <w:lang w:val="en-US" w:eastAsia="zh-CN"/>
              </w:rPr>
              <w:t>本项目新建1台6t/h</w:t>
            </w:r>
            <w:r>
              <w:rPr>
                <w:rFonts w:hint="eastAsia" w:ascii="Times New Roman" w:hAnsi="Times New Roman" w:eastAsia="宋体" w:cs="Times New Roman"/>
                <w:bCs/>
                <w:color w:val="FF0000"/>
                <w:kern w:val="0"/>
                <w:szCs w:val="21"/>
                <w:lang w:val="en-US" w:eastAsia="zh-CN"/>
              </w:rPr>
              <w:t>生物质蒸汽锅炉</w:t>
            </w:r>
            <w:r>
              <w:rPr>
                <w:rFonts w:hint="eastAsia" w:cs="Times New Roman"/>
                <w:bCs/>
                <w:color w:val="FF0000"/>
                <w:kern w:val="0"/>
                <w:szCs w:val="21"/>
                <w:lang w:val="en-US" w:eastAsia="zh-CN"/>
              </w:rPr>
              <w:t>和1台6t/h生物质导热油炉</w:t>
            </w:r>
            <w:r>
              <w:rPr>
                <w:rFonts w:hint="eastAsia" w:ascii="Times New Roman" w:hAnsi="Times New Roman" w:eastAsia="宋体" w:cs="Times New Roman"/>
                <w:bCs/>
                <w:color w:val="FF0000"/>
                <w:kern w:val="0"/>
                <w:szCs w:val="21"/>
                <w:lang w:val="en-US" w:eastAsia="zh-CN"/>
              </w:rPr>
              <w:t>，不涉及燃煤机组，生物质锅炉</w:t>
            </w:r>
            <w:r>
              <w:rPr>
                <w:rFonts w:hint="eastAsia" w:cs="Times New Roman"/>
                <w:bCs/>
                <w:color w:val="FF0000"/>
                <w:kern w:val="0"/>
                <w:szCs w:val="21"/>
                <w:lang w:val="en-US" w:eastAsia="zh-CN"/>
              </w:rPr>
              <w:t>废气</w:t>
            </w:r>
            <w:r>
              <w:rPr>
                <w:rFonts w:hint="eastAsia" w:ascii="Times New Roman" w:hAnsi="Times New Roman" w:eastAsia="宋体" w:cs="Times New Roman"/>
                <w:bCs/>
                <w:color w:val="FF0000"/>
                <w:kern w:val="0"/>
                <w:szCs w:val="21"/>
                <w:lang w:val="en-US" w:eastAsia="zh-CN"/>
              </w:rPr>
              <w:t>达到江苏省《锅炉大气污染物排放标准》(DB32/4385</w:t>
            </w:r>
            <w:r>
              <w:rPr>
                <w:rFonts w:hint="eastAsia" w:cs="Times New Roman"/>
                <w:bCs/>
                <w:color w:val="FF0000"/>
                <w:kern w:val="0"/>
                <w:szCs w:val="21"/>
                <w:lang w:val="en-US" w:eastAsia="zh-CN"/>
              </w:rPr>
              <w:t>-</w:t>
            </w:r>
            <w:r>
              <w:rPr>
                <w:rFonts w:hint="eastAsia" w:ascii="Times New Roman" w:hAnsi="Times New Roman" w:eastAsia="宋体" w:cs="Times New Roman"/>
                <w:bCs/>
                <w:color w:val="FF0000"/>
                <w:kern w:val="0"/>
                <w:szCs w:val="21"/>
                <w:lang w:val="en-US" w:eastAsia="zh-CN"/>
              </w:rPr>
              <w:t>2022）</w:t>
            </w:r>
            <w:r>
              <w:rPr>
                <w:rFonts w:hint="eastAsia" w:cs="Times New Roman"/>
                <w:bCs/>
                <w:color w:val="FF0000"/>
                <w:kern w:val="0"/>
                <w:szCs w:val="21"/>
                <w:lang w:val="en-US" w:eastAsia="zh-CN"/>
              </w:rPr>
              <w:t>浓度限值</w:t>
            </w:r>
            <w:r>
              <w:rPr>
                <w:rFonts w:hint="eastAsia" w:ascii="Times New Roman" w:hAnsi="Times New Roman" w:eastAsia="宋体" w:cs="Times New Roman"/>
                <w:bCs/>
                <w:color w:val="FF0000"/>
                <w:kern w:val="0"/>
                <w:szCs w:val="21"/>
                <w:lang w:val="en-US" w:eastAsia="zh-CN"/>
              </w:rPr>
              <w:t>要求</w:t>
            </w:r>
            <w:r>
              <w:rPr>
                <w:rFonts w:hint="eastAsia" w:cs="Times New Roman"/>
                <w:bCs/>
                <w:color w:val="FF0000"/>
                <w:kern w:val="0"/>
                <w:szCs w:val="21"/>
                <w:lang w:val="en-US" w:eastAsia="zh-CN"/>
              </w:rPr>
              <w:t>。</w:t>
            </w:r>
          </w:p>
          <w:p>
            <w:pPr>
              <w:autoSpaceDE w:val="0"/>
              <w:autoSpaceDN w:val="0"/>
              <w:adjustRightInd w:val="0"/>
              <w:snapToGrid w:val="0"/>
              <w:spacing w:line="400" w:lineRule="exact"/>
              <w:ind w:firstLine="422" w:firstLineChars="200"/>
              <w:rPr>
                <w:rFonts w:hint="default" w:ascii="Times New Roman" w:hAnsi="Times New Roman" w:eastAsia="宋体" w:cs="Times New Roman"/>
                <w:b/>
                <w:bCs w:val="0"/>
                <w:color w:val="FF0000"/>
                <w:kern w:val="0"/>
                <w:szCs w:val="21"/>
                <w:lang w:val="en-US" w:eastAsia="zh-CN"/>
              </w:rPr>
            </w:pPr>
            <w:r>
              <w:rPr>
                <w:rFonts w:hint="eastAsia" w:ascii="Times New Roman" w:hAnsi="Times New Roman" w:eastAsia="宋体" w:cs="Times New Roman"/>
                <w:b/>
                <w:bCs w:val="0"/>
                <w:color w:val="FF0000"/>
                <w:kern w:val="0"/>
                <w:szCs w:val="21"/>
                <w:lang w:val="en-US" w:eastAsia="zh-CN"/>
              </w:rPr>
              <w:t>（4）</w:t>
            </w:r>
            <w:r>
              <w:rPr>
                <w:rFonts w:hint="default" w:ascii="Times New Roman" w:hAnsi="Times New Roman" w:eastAsia="宋体" w:cs="Times New Roman"/>
                <w:b/>
                <w:bCs w:val="0"/>
                <w:color w:val="FF0000"/>
                <w:kern w:val="0"/>
                <w:szCs w:val="21"/>
                <w:lang w:val="en-US" w:eastAsia="zh-CN"/>
              </w:rPr>
              <w:t>与市政府办公室印发《如皋市关于加强减污降碳协同推进重点行业绿色发展的实施方案》的通知（皋政办发〔2024〕85号）相符性分析</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FF0000"/>
                <w:kern w:val="0"/>
                <w:szCs w:val="21"/>
                <w:lang w:val="en-US" w:eastAsia="zh-CN"/>
              </w:rPr>
            </w:pPr>
            <w:r>
              <w:rPr>
                <w:rFonts w:hint="eastAsia" w:ascii="Times New Roman" w:hAnsi="Times New Roman" w:eastAsia="宋体" w:cs="Times New Roman"/>
                <w:bCs/>
                <w:color w:val="FF0000"/>
                <w:kern w:val="0"/>
                <w:szCs w:val="21"/>
                <w:lang w:val="en-US" w:eastAsia="zh-CN"/>
              </w:rPr>
              <w:t>对照《如皋市关于加强减污降碳协同推进重点行业绿色发展的实施方案》（皋政办发〔2024〕85号）：新建、扩建印染企业必须进入依法合规设立、有印染定位的产业园区，原则上不再新、扩建喷水织造项目；新建、改建、现有项目按照单位产品排水量和单位产品综合能耗分别设定准入、提升目标。探索区外印染重点监测点认定工作，在适宜的区域探索设立纺织印染产业集中区，逐步实施全市印染行业布局调整、搬迁入园工作。鼓励印染企业在不新增产能的前提下，通过更换及改造设备，从安全、环保、节能方面开展专项整治，进行整改提升。</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FF0000"/>
                <w:kern w:val="0"/>
                <w:szCs w:val="21"/>
                <w:lang w:val="en-US" w:eastAsia="zh-CN"/>
              </w:rPr>
            </w:pPr>
            <w:r>
              <w:rPr>
                <w:rFonts w:hint="eastAsia" w:ascii="Times New Roman" w:hAnsi="Times New Roman" w:eastAsia="宋体" w:cs="Times New Roman"/>
                <w:bCs/>
                <w:color w:val="FF0000"/>
                <w:kern w:val="0"/>
                <w:szCs w:val="21"/>
                <w:lang w:val="en-US" w:eastAsia="zh-CN"/>
              </w:rPr>
              <w:t>本项目属于产业用纺织制成品制造，仅涉及后整理工序，不涉及喷水织造，不属于印染企业，</w:t>
            </w:r>
            <w:r>
              <w:rPr>
                <w:rFonts w:hint="default" w:ascii="Times New Roman" w:hAnsi="Times New Roman" w:eastAsia="宋体" w:cs="Times New Roman"/>
                <w:bCs/>
                <w:color w:val="FF0000"/>
                <w:kern w:val="0"/>
                <w:szCs w:val="21"/>
                <w:lang w:val="en-US" w:eastAsia="zh-CN"/>
              </w:rPr>
              <w:t>符合皋政办发〔2024〕85号文相关要求。</w:t>
            </w:r>
          </w:p>
          <w:p>
            <w:pPr>
              <w:autoSpaceDE w:val="0"/>
              <w:autoSpaceDN w:val="0"/>
              <w:adjustRightInd w:val="0"/>
              <w:snapToGrid w:val="0"/>
              <w:spacing w:line="400" w:lineRule="exact"/>
              <w:ind w:firstLine="422" w:firstLineChars="200"/>
              <w:rPr>
                <w:rFonts w:hint="default" w:ascii="Times New Roman" w:hAnsi="Times New Roman" w:eastAsia="宋体" w:cs="Times New Roman"/>
                <w:b/>
                <w:bCs w:val="0"/>
                <w:color w:val="auto"/>
                <w:kern w:val="0"/>
                <w:szCs w:val="21"/>
                <w:lang w:val="en-US" w:eastAsia="zh-CN"/>
              </w:rPr>
            </w:pPr>
            <w:r>
              <w:rPr>
                <w:rFonts w:hint="eastAsia" w:ascii="Times New Roman" w:hAnsi="Times New Roman" w:eastAsia="宋体" w:cs="Times New Roman"/>
                <w:b/>
                <w:bCs w:val="0"/>
                <w:color w:val="auto"/>
                <w:kern w:val="0"/>
                <w:szCs w:val="21"/>
              </w:rPr>
              <w:t>（</w:t>
            </w:r>
            <w:r>
              <w:rPr>
                <w:rFonts w:hint="eastAsia" w:ascii="Times New Roman" w:hAnsi="Times New Roman" w:eastAsia="宋体" w:cs="Times New Roman"/>
                <w:b/>
                <w:bCs w:val="0"/>
                <w:color w:val="auto"/>
                <w:kern w:val="0"/>
                <w:szCs w:val="21"/>
                <w:lang w:val="en-US" w:eastAsia="zh-CN"/>
              </w:rPr>
              <w:t>5</w:t>
            </w:r>
            <w:r>
              <w:rPr>
                <w:rFonts w:hint="eastAsia" w:ascii="Times New Roman" w:hAnsi="Times New Roman" w:eastAsia="宋体" w:cs="Times New Roman"/>
                <w:b/>
                <w:bCs w:val="0"/>
                <w:color w:val="auto"/>
                <w:kern w:val="0"/>
                <w:szCs w:val="21"/>
              </w:rPr>
              <w:t>）与</w:t>
            </w:r>
            <w:r>
              <w:rPr>
                <w:rFonts w:hint="default" w:ascii="Times New Roman" w:hAnsi="Times New Roman" w:eastAsia="宋体" w:cs="Times New Roman"/>
                <w:b/>
                <w:bCs w:val="0"/>
                <w:color w:val="auto"/>
                <w:kern w:val="0"/>
                <w:szCs w:val="21"/>
                <w:lang w:val="en-US" w:eastAsia="zh-CN"/>
              </w:rPr>
              <w:t>《江苏省通榆河水污染防治条例》相符性</w:t>
            </w:r>
          </w:p>
          <w:p>
            <w:pPr>
              <w:autoSpaceDE w:val="0"/>
              <w:autoSpaceDN w:val="0"/>
              <w:adjustRightInd w:val="0"/>
              <w:snapToGrid w:val="0"/>
              <w:spacing w:line="400" w:lineRule="exact"/>
              <w:ind w:firstLine="420" w:firstLineChars="200"/>
              <w:rPr>
                <w:rFonts w:hint="default" w:ascii="Times New Roman" w:hAnsi="Times New Roman" w:eastAsia="宋体" w:cs="Times New Roman"/>
                <w:bCs/>
                <w:color w:val="FF0000"/>
                <w:kern w:val="0"/>
                <w:szCs w:val="21"/>
                <w:lang w:val="en-US" w:eastAsia="zh-CN"/>
              </w:rPr>
            </w:pPr>
            <w:r>
              <w:rPr>
                <w:rFonts w:hint="eastAsia" w:ascii="Times New Roman" w:hAnsi="Times New Roman" w:eastAsia="宋体" w:cs="Times New Roman"/>
                <w:bCs/>
                <w:color w:val="FF0000"/>
                <w:kern w:val="0"/>
                <w:szCs w:val="21"/>
                <w:lang w:val="en-US" w:eastAsia="zh-CN"/>
              </w:rPr>
              <w:t>根据《江苏省通榆河水污染防治条例》的规定，通榆河实行分级保护，划分为三级保护区。通榆河，南起南通长江北岸，北至连云港市赣榆县，包括焦港河，以及新沂河南偏泓、盐河、八一河、引水河、沭南航道、沭北航道、蔷薇河、青龙大沟、龙北干渠相关河段；主要供水河道，包括蔷薇河、三阳河、卤汀河、泰东河、新通扬运河、焦港河、引江河、如泰运河、如海运河。通榆河及其两侧各一公里、主要供水河道及其两侧各一公里区域为通榆河一级保护区；新沂河南偏泓、盐河和斗龙港、新洋港、黄沙港、射阳河、车路河、沂南小河、沭新河等与通榆河平交的主要河道上溯五公里以及沿岸两侧各一公里区域为通榆河二级保护区；其他与通榆河平交的河道上溯五公里以及沿岸两侧各一公里区域为通榆河三级保护区。</w:t>
            </w:r>
          </w:p>
          <w:p>
            <w:pPr>
              <w:autoSpaceDE w:val="0"/>
              <w:autoSpaceDN w:val="0"/>
              <w:adjustRightInd w:val="0"/>
              <w:snapToGrid w:val="0"/>
              <w:spacing w:line="400" w:lineRule="exact"/>
              <w:ind w:firstLine="420" w:firstLineChars="200"/>
              <w:rPr>
                <w:rFonts w:hint="default" w:ascii="Times New Roman" w:hAnsi="Times New Roman" w:eastAsia="宋体" w:cs="Times New Roman"/>
                <w:bCs/>
                <w:color w:val="auto"/>
                <w:kern w:val="0"/>
                <w:szCs w:val="21"/>
                <w:lang w:val="en-US" w:eastAsia="zh-CN"/>
              </w:rPr>
            </w:pPr>
            <w:r>
              <w:rPr>
                <w:rFonts w:hint="eastAsia" w:ascii="Times New Roman" w:hAnsi="Times New Roman" w:eastAsia="宋体" w:cs="Times New Roman"/>
                <w:bCs/>
                <w:color w:val="FF0000"/>
                <w:kern w:val="0"/>
                <w:szCs w:val="21"/>
                <w:lang w:val="en-US" w:eastAsia="zh-CN"/>
              </w:rPr>
              <w:t>本项目距离焦港河39.5km，距离如海运河1.4km，距离如泰运河30.5km，项目所在地不在通榆河一级、二级、三级保护区内，因此本项目符合《江苏省通榆河水污染防治条例》</w:t>
            </w:r>
          </w:p>
          <w:p>
            <w:pPr>
              <w:autoSpaceDE w:val="0"/>
              <w:autoSpaceDN w:val="0"/>
              <w:adjustRightInd w:val="0"/>
              <w:snapToGrid w:val="0"/>
              <w:spacing w:line="400" w:lineRule="exact"/>
              <w:ind w:firstLine="422" w:firstLineChars="200"/>
              <w:rPr>
                <w:rFonts w:hint="eastAsia" w:ascii="Times New Roman" w:hAnsi="Times New Roman" w:eastAsia="宋体" w:cs="Times New Roman"/>
                <w:b/>
                <w:bCs w:val="0"/>
                <w:i w:val="0"/>
                <w:iCs w:val="0"/>
                <w:color w:val="auto"/>
                <w:kern w:val="0"/>
                <w:szCs w:val="21"/>
              </w:rPr>
            </w:pPr>
            <w:r>
              <w:rPr>
                <w:rFonts w:hint="eastAsia" w:ascii="Times New Roman" w:hAnsi="Times New Roman" w:eastAsia="宋体" w:cs="Times New Roman"/>
                <w:b/>
                <w:bCs w:val="0"/>
                <w:i w:val="0"/>
                <w:iCs w:val="0"/>
                <w:color w:val="auto"/>
                <w:kern w:val="0"/>
                <w:szCs w:val="21"/>
              </w:rPr>
              <w:t>（</w:t>
            </w:r>
            <w:r>
              <w:rPr>
                <w:rFonts w:hint="eastAsia" w:ascii="Times New Roman" w:hAnsi="Times New Roman" w:eastAsia="宋体" w:cs="Times New Roman"/>
                <w:b/>
                <w:bCs w:val="0"/>
                <w:i w:val="0"/>
                <w:iCs w:val="0"/>
                <w:color w:val="auto"/>
                <w:kern w:val="0"/>
                <w:szCs w:val="21"/>
                <w:lang w:val="en-US" w:eastAsia="zh-CN"/>
              </w:rPr>
              <w:t>6</w:t>
            </w:r>
            <w:r>
              <w:rPr>
                <w:rFonts w:hint="eastAsia" w:ascii="Times New Roman" w:hAnsi="Times New Roman" w:eastAsia="宋体" w:cs="Times New Roman"/>
                <w:b/>
                <w:bCs w:val="0"/>
                <w:i w:val="0"/>
                <w:iCs w:val="0"/>
                <w:color w:val="auto"/>
                <w:kern w:val="0"/>
                <w:szCs w:val="21"/>
              </w:rPr>
              <w:t>）与《新污染物治理工作方案》相符性分析</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rPr>
              <w:t>根据《国务院办公厅关于印发新污染物治理行动方案的通知》（国办发〔2022〕15号）、《省政府办公厅关于印发江苏省新污染物治理工作方案的通知》（苏政办发〔2022〕81号），“对使用有毒有害化学物质进行生产或者在生产过程中排放有毒有害化学物质的企业依法实施强制性清洁生产审核，全面推进清洁生产改造；企业应采取便于公众知晓的方式公布使用有毒有害原料的情况以及排放有毒有害化学物质的名称、浓度和数量等相关信息”。</w:t>
            </w:r>
          </w:p>
          <w:p>
            <w:pPr>
              <w:autoSpaceDE w:val="0"/>
              <w:autoSpaceDN w:val="0"/>
              <w:adjustRightInd w:val="0"/>
              <w:snapToGrid w:val="0"/>
              <w:spacing w:line="400" w:lineRule="exact"/>
              <w:ind w:firstLine="420" w:firstLineChars="200"/>
              <w:rPr>
                <w:rFonts w:hint="eastAsia" w:cs="Times New Roman"/>
                <w:bCs/>
                <w:color w:val="auto"/>
                <w:kern w:val="0"/>
                <w:szCs w:val="21"/>
                <w:lang w:val="en-US" w:eastAsia="zh-CN"/>
              </w:rPr>
            </w:pPr>
            <w:r>
              <w:rPr>
                <w:rFonts w:hint="eastAsia" w:cs="Times New Roman"/>
                <w:bCs/>
                <w:color w:val="auto"/>
                <w:kern w:val="0"/>
                <w:szCs w:val="21"/>
                <w:lang w:val="en-US" w:eastAsia="zh-CN"/>
              </w:rPr>
              <w:t>对照《重点管控新污染物清单》（2023年版）、《中国严格限制的有毒化学品名录（2023年）》、《优先控制化学品名录（第一批）》、《优先控制化学品名录（第二批）》、《优先控制化学品名录（第三批）》、《有毒有害水污染物名录（第一批）》、《有毒有害水污染物名录（第二批）》、《有毒有害大气污染物名录（2018年）》、《关于持久性有机污染物的斯德哥尔摩公约》、《重点控制的土壤有毒有害物质名录（第一批）》、《江苏省重点管控新污染物补充清单（第一批）中物质，本项目涉及汞为新污染物，根据产排污计算，本项目排放的汞可以达到排放标准限值要求，本次评价已将汞列入大气、土壤监测计划中。</w:t>
            </w:r>
          </w:p>
          <w:p>
            <w:pPr>
              <w:autoSpaceDE w:val="0"/>
              <w:autoSpaceDN w:val="0"/>
              <w:adjustRightInd w:val="0"/>
              <w:snapToGrid w:val="0"/>
              <w:spacing w:line="400" w:lineRule="exact"/>
              <w:ind w:firstLine="422" w:firstLineChars="200"/>
              <w:rPr>
                <w:rFonts w:hint="eastAsia" w:ascii="Times New Roman" w:hAnsi="Times New Roman" w:eastAsia="宋体" w:cs="Times New Roman"/>
                <w:b/>
                <w:bCs w:val="0"/>
                <w:i w:val="0"/>
                <w:iCs w:val="0"/>
                <w:color w:val="auto"/>
                <w:kern w:val="0"/>
                <w:szCs w:val="21"/>
              </w:rPr>
            </w:pPr>
            <w:r>
              <w:rPr>
                <w:rFonts w:hint="eastAsia" w:ascii="Times New Roman" w:hAnsi="Times New Roman" w:eastAsia="宋体" w:cs="Times New Roman"/>
                <w:b/>
                <w:bCs w:val="0"/>
                <w:i w:val="0"/>
                <w:iCs w:val="0"/>
                <w:color w:val="auto"/>
                <w:kern w:val="0"/>
                <w:szCs w:val="21"/>
              </w:rPr>
              <w:t>（</w:t>
            </w:r>
            <w:r>
              <w:rPr>
                <w:rFonts w:hint="eastAsia" w:ascii="Times New Roman" w:hAnsi="Times New Roman" w:eastAsia="宋体" w:cs="Times New Roman"/>
                <w:b/>
                <w:bCs w:val="0"/>
                <w:i w:val="0"/>
                <w:iCs w:val="0"/>
                <w:color w:val="auto"/>
                <w:kern w:val="0"/>
                <w:szCs w:val="21"/>
                <w:lang w:val="en-US" w:eastAsia="zh-CN"/>
              </w:rPr>
              <w:t>7</w:t>
            </w:r>
            <w:r>
              <w:rPr>
                <w:rFonts w:hint="eastAsia" w:ascii="Times New Roman" w:hAnsi="Times New Roman" w:eastAsia="宋体" w:cs="Times New Roman"/>
                <w:b/>
                <w:bCs w:val="0"/>
                <w:i w:val="0"/>
                <w:iCs w:val="0"/>
                <w:color w:val="auto"/>
                <w:kern w:val="0"/>
                <w:szCs w:val="21"/>
              </w:rPr>
              <w:t>）与</w:t>
            </w:r>
            <w:bookmarkStart w:id="3" w:name="_Hlk201220074"/>
            <w:bookmarkStart w:id="4" w:name="_Hlk201221589"/>
            <w:r>
              <w:rPr>
                <w:rFonts w:hint="eastAsia" w:ascii="Times New Roman" w:hAnsi="Times New Roman" w:eastAsia="宋体" w:cs="Times New Roman"/>
                <w:b/>
                <w:bCs w:val="0"/>
                <w:i w:val="0"/>
                <w:iCs w:val="0"/>
                <w:color w:val="auto"/>
                <w:kern w:val="0"/>
                <w:szCs w:val="21"/>
              </w:rPr>
              <w:t>《关于加强重点行业涉新污染物建设项目环境影响评价工作的意见》</w:t>
            </w:r>
            <w:bookmarkEnd w:id="3"/>
            <w:r>
              <w:rPr>
                <w:rFonts w:hint="eastAsia" w:ascii="Times New Roman" w:hAnsi="Times New Roman" w:eastAsia="宋体" w:cs="Times New Roman"/>
                <w:b/>
                <w:bCs w:val="0"/>
                <w:i w:val="0"/>
                <w:iCs w:val="0"/>
                <w:color w:val="auto"/>
                <w:kern w:val="0"/>
                <w:szCs w:val="21"/>
              </w:rPr>
              <w:t>（环环评〔2025〕28号）</w:t>
            </w:r>
            <w:bookmarkEnd w:id="4"/>
            <w:r>
              <w:rPr>
                <w:rFonts w:hint="eastAsia" w:ascii="Times New Roman" w:hAnsi="Times New Roman" w:eastAsia="宋体" w:cs="Times New Roman"/>
                <w:b/>
                <w:bCs w:val="0"/>
                <w:i w:val="0"/>
                <w:iCs w:val="0"/>
                <w:color w:val="auto"/>
                <w:kern w:val="0"/>
                <w:szCs w:val="21"/>
              </w:rPr>
              <w:t>相符性分析</w:t>
            </w:r>
          </w:p>
          <w:p>
            <w:pPr>
              <w:autoSpaceDE w:val="0"/>
              <w:autoSpaceDN w:val="0"/>
              <w:adjustRightInd w:val="0"/>
              <w:snapToGrid w:val="0"/>
              <w:spacing w:line="400" w:lineRule="exact"/>
              <w:ind w:firstLine="420" w:firstLineChars="200"/>
              <w:rPr>
                <w:rFonts w:hint="eastAsia" w:cs="Times New Roman"/>
                <w:bCs/>
                <w:color w:val="auto"/>
                <w:kern w:val="0"/>
                <w:szCs w:val="21"/>
                <w:lang w:val="en-US" w:eastAsia="zh-CN"/>
              </w:rPr>
            </w:pPr>
            <w:r>
              <w:rPr>
                <w:rFonts w:hint="eastAsia" w:cs="Times New Roman"/>
                <w:bCs/>
                <w:color w:val="auto"/>
                <w:kern w:val="0"/>
                <w:szCs w:val="21"/>
                <w:lang w:val="en-US" w:eastAsia="zh-CN"/>
              </w:rPr>
              <w:t>对照《关于加强重点行业涉新污染物建设项目环境影响评价工作的意见》（环环评〔2025〕28号），本项目属于纺织印染重点行业，生物质锅炉产生的汞属于有毒有害污染物名录、优先控制化学品名录和有毒有害大气污染物名录中新污染物，本环评已将汞纳入评价因子，根据产排污计算，本项目排放的汞可以达到排放标准限值要求，本次评价已将汞列入大气、土壤监测计划中。本项目不属于环环评〔2025〕28号文中不予审批环评的项目类别，符合环环评〔2025〕28号文中相关要求。</w:t>
            </w:r>
          </w:p>
          <w:p>
            <w:pPr>
              <w:autoSpaceDE w:val="0"/>
              <w:autoSpaceDN w:val="0"/>
              <w:adjustRightInd w:val="0"/>
              <w:snapToGrid w:val="0"/>
              <w:spacing w:line="400" w:lineRule="exact"/>
              <w:ind w:firstLine="422" w:firstLineChars="200"/>
              <w:rPr>
                <w:rFonts w:hint="eastAsia" w:ascii="Times New Roman" w:hAnsi="Times New Roman" w:eastAsia="宋体" w:cs="Times New Roman"/>
                <w:b/>
                <w:bCs w:val="0"/>
                <w:i w:val="0"/>
                <w:iCs w:val="0"/>
                <w:color w:val="auto"/>
                <w:kern w:val="0"/>
                <w:szCs w:val="21"/>
              </w:rPr>
            </w:pPr>
            <w:r>
              <w:rPr>
                <w:rFonts w:hint="eastAsia" w:ascii="Times New Roman" w:hAnsi="Times New Roman" w:eastAsia="宋体" w:cs="Times New Roman"/>
                <w:b/>
                <w:bCs w:val="0"/>
                <w:i w:val="0"/>
                <w:iCs w:val="0"/>
                <w:color w:val="auto"/>
                <w:kern w:val="0"/>
                <w:szCs w:val="21"/>
              </w:rPr>
              <w:t>（</w:t>
            </w:r>
            <w:r>
              <w:rPr>
                <w:rFonts w:hint="eastAsia" w:ascii="Times New Roman" w:hAnsi="Times New Roman" w:eastAsia="宋体" w:cs="Times New Roman"/>
                <w:b/>
                <w:bCs w:val="0"/>
                <w:i w:val="0"/>
                <w:iCs w:val="0"/>
                <w:color w:val="auto"/>
                <w:kern w:val="0"/>
                <w:szCs w:val="21"/>
                <w:lang w:val="en-US" w:eastAsia="zh-CN"/>
              </w:rPr>
              <w:t>8</w:t>
            </w:r>
            <w:r>
              <w:rPr>
                <w:rFonts w:hint="eastAsia" w:ascii="Times New Roman" w:hAnsi="Times New Roman" w:eastAsia="宋体" w:cs="Times New Roman"/>
                <w:b/>
                <w:bCs w:val="0"/>
                <w:i w:val="0"/>
                <w:iCs w:val="0"/>
                <w:color w:val="auto"/>
                <w:kern w:val="0"/>
                <w:szCs w:val="21"/>
              </w:rPr>
              <w:t>）与关于印发《江苏省地表水氟化物污染治理工作方案（2023-2025年）》的通知（苏污防攻坚指办〔2023〕2号）相符性分析</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auto"/>
                <w:kern w:val="0"/>
                <w:szCs w:val="21"/>
              </w:rPr>
            </w:pPr>
            <w:r>
              <w:rPr>
                <w:rFonts w:hint="eastAsia" w:ascii="Times New Roman" w:hAnsi="Times New Roman" w:eastAsia="宋体" w:cs="Times New Roman"/>
                <w:bCs/>
                <w:color w:val="auto"/>
                <w:kern w:val="0"/>
                <w:szCs w:val="21"/>
              </w:rPr>
              <w:t>对照关于印发《江苏省地表水氟化物污染治理工作方案（2023-2025年）》的通知（苏污防攻坚指办〔2023〕2号），本项目为</w:t>
            </w:r>
            <w:r>
              <w:rPr>
                <w:rFonts w:hint="eastAsia"/>
                <w:color w:val="auto"/>
                <w:szCs w:val="21"/>
              </w:rPr>
              <w:t>C1789其他产业用纺织制成品制造</w:t>
            </w:r>
            <w:r>
              <w:rPr>
                <w:rFonts w:hint="eastAsia"/>
                <w:color w:val="auto"/>
                <w:szCs w:val="21"/>
                <w:lang w:val="en-US" w:eastAsia="zh-CN"/>
              </w:rPr>
              <w:t>和</w:t>
            </w:r>
            <w:r>
              <w:rPr>
                <w:rFonts w:hint="eastAsia"/>
                <w:bCs/>
                <w:color w:val="auto"/>
                <w:kern w:val="0"/>
                <w:szCs w:val="21"/>
              </w:rPr>
              <w:t>D4430热力生产和供应</w:t>
            </w:r>
            <w:r>
              <w:rPr>
                <w:rFonts w:hint="eastAsia" w:ascii="Times New Roman" w:hAnsi="Times New Roman" w:eastAsia="宋体" w:cs="Times New Roman"/>
                <w:bCs/>
                <w:color w:val="auto"/>
                <w:kern w:val="0"/>
                <w:szCs w:val="21"/>
              </w:rPr>
              <w:t>，不涉及含氟废水排放。</w:t>
            </w:r>
          </w:p>
          <w:p>
            <w:pPr>
              <w:autoSpaceDE w:val="0"/>
              <w:autoSpaceDN w:val="0"/>
              <w:adjustRightInd w:val="0"/>
              <w:snapToGrid w:val="0"/>
              <w:spacing w:line="400" w:lineRule="exact"/>
              <w:ind w:firstLine="422" w:firstLineChars="200"/>
              <w:rPr>
                <w:rFonts w:hint="eastAsia" w:ascii="Times New Roman" w:hAnsi="Times New Roman" w:eastAsia="宋体" w:cs="Times New Roman"/>
                <w:b/>
                <w:bCs w:val="0"/>
                <w:i w:val="0"/>
                <w:iCs w:val="0"/>
                <w:color w:val="auto"/>
                <w:kern w:val="0"/>
                <w:szCs w:val="21"/>
              </w:rPr>
            </w:pPr>
            <w:r>
              <w:rPr>
                <w:rFonts w:hint="eastAsia" w:ascii="Times New Roman" w:hAnsi="Times New Roman" w:eastAsia="宋体" w:cs="Times New Roman"/>
                <w:b/>
                <w:bCs w:val="0"/>
                <w:i w:val="0"/>
                <w:iCs w:val="0"/>
                <w:color w:val="auto"/>
                <w:kern w:val="0"/>
                <w:szCs w:val="21"/>
              </w:rPr>
              <w:t>（</w:t>
            </w:r>
            <w:r>
              <w:rPr>
                <w:rFonts w:hint="eastAsia" w:ascii="Times New Roman" w:hAnsi="Times New Roman" w:eastAsia="宋体" w:cs="Times New Roman"/>
                <w:b/>
                <w:bCs w:val="0"/>
                <w:i w:val="0"/>
                <w:iCs w:val="0"/>
                <w:color w:val="auto"/>
                <w:kern w:val="0"/>
                <w:szCs w:val="21"/>
                <w:lang w:val="en-US" w:eastAsia="zh-CN"/>
              </w:rPr>
              <w:t>9</w:t>
            </w:r>
            <w:r>
              <w:rPr>
                <w:rFonts w:hint="eastAsia" w:ascii="Times New Roman" w:hAnsi="Times New Roman" w:eastAsia="宋体" w:cs="Times New Roman"/>
                <w:b/>
                <w:bCs w:val="0"/>
                <w:i w:val="0"/>
                <w:iCs w:val="0"/>
                <w:color w:val="auto"/>
                <w:kern w:val="0"/>
                <w:szCs w:val="21"/>
              </w:rPr>
              <w:t>）与《南通市地表水工业特征污染物专项整治工作实施方案》（通环办〔2023〕48号）相符性分析</w:t>
            </w:r>
          </w:p>
          <w:p>
            <w:pPr>
              <w:autoSpaceDE w:val="0"/>
              <w:autoSpaceDN w:val="0"/>
              <w:adjustRightInd w:val="0"/>
              <w:snapToGrid w:val="0"/>
              <w:spacing w:line="400" w:lineRule="exact"/>
              <w:jc w:val="center"/>
              <w:rPr>
                <w:b/>
                <w:color w:val="auto"/>
                <w:kern w:val="0"/>
                <w:szCs w:val="21"/>
              </w:rPr>
            </w:pPr>
            <w:r>
              <w:rPr>
                <w:b/>
                <w:color w:val="auto"/>
                <w:kern w:val="0"/>
                <w:szCs w:val="21"/>
              </w:rPr>
              <w:t>表1-</w:t>
            </w:r>
            <w:r>
              <w:rPr>
                <w:rFonts w:hint="eastAsia"/>
                <w:b/>
                <w:color w:val="auto"/>
                <w:kern w:val="0"/>
                <w:szCs w:val="21"/>
                <w:lang w:val="en-US" w:eastAsia="zh-CN"/>
              </w:rPr>
              <w:t xml:space="preserve">6  </w:t>
            </w:r>
            <w:r>
              <w:rPr>
                <w:b/>
                <w:color w:val="auto"/>
                <w:kern w:val="0"/>
                <w:szCs w:val="21"/>
              </w:rPr>
              <w:t xml:space="preserve"> 与</w:t>
            </w:r>
            <w:r>
              <w:rPr>
                <w:rFonts w:hint="eastAsia"/>
                <w:b/>
                <w:color w:val="auto"/>
                <w:kern w:val="0"/>
                <w:szCs w:val="21"/>
              </w:rPr>
              <w:t>通环办〔2023〕48号</w:t>
            </w:r>
            <w:r>
              <w:rPr>
                <w:b/>
                <w:color w:val="auto"/>
                <w:kern w:val="0"/>
                <w:szCs w:val="21"/>
              </w:rPr>
              <w:t>相符性对照表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259"/>
              <w:gridCol w:w="30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3180" w:type="pct"/>
                  <w:tcBorders>
                    <w:top w:val="single" w:color="auto" w:sz="12" w:space="0"/>
                    <w:bottom w:val="single" w:color="auto" w:sz="12" w:space="0"/>
                  </w:tcBorders>
                  <w:tcMar>
                    <w:left w:w="0" w:type="dxa"/>
                    <w:right w:w="0" w:type="dxa"/>
                  </w:tcMar>
                  <w:vAlign w:val="center"/>
                </w:tcPr>
                <w:p>
                  <w:pPr>
                    <w:adjustRightInd w:val="0"/>
                    <w:snapToGrid w:val="0"/>
                    <w:jc w:val="center"/>
                    <w:rPr>
                      <w:b/>
                      <w:color w:val="auto"/>
                      <w:sz w:val="20"/>
                      <w:szCs w:val="20"/>
                    </w:rPr>
                  </w:pPr>
                  <w:r>
                    <w:rPr>
                      <w:b/>
                      <w:color w:val="auto"/>
                      <w:sz w:val="20"/>
                      <w:szCs w:val="20"/>
                    </w:rPr>
                    <w:t>文件相关内容</w:t>
                  </w:r>
                </w:p>
              </w:tc>
              <w:tc>
                <w:tcPr>
                  <w:tcW w:w="1820" w:type="pct"/>
                  <w:tcBorders>
                    <w:top w:val="single" w:color="auto" w:sz="12" w:space="0"/>
                    <w:bottom w:val="single" w:color="auto" w:sz="12" w:space="0"/>
                  </w:tcBorders>
                  <w:tcMar>
                    <w:left w:w="0" w:type="dxa"/>
                    <w:right w:w="0" w:type="dxa"/>
                  </w:tcMar>
                  <w:vAlign w:val="center"/>
                </w:tcPr>
                <w:p>
                  <w:pPr>
                    <w:adjustRightInd w:val="0"/>
                    <w:snapToGrid w:val="0"/>
                    <w:jc w:val="center"/>
                    <w:rPr>
                      <w:b/>
                      <w:color w:val="auto"/>
                      <w:sz w:val="20"/>
                      <w:szCs w:val="20"/>
                    </w:rPr>
                  </w:pPr>
                  <w:r>
                    <w:rPr>
                      <w:b/>
                      <w:color w:val="auto"/>
                      <w:sz w:val="20"/>
                      <w:szCs w:val="20"/>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0" w:type="pct"/>
                  <w:tcMar>
                    <w:left w:w="0" w:type="dxa"/>
                    <w:right w:w="0" w:type="dxa"/>
                  </w:tcMar>
                  <w:vAlign w:val="center"/>
                </w:tcPr>
                <w:p>
                  <w:pPr>
                    <w:adjustRightInd w:val="0"/>
                    <w:snapToGrid w:val="0"/>
                    <w:rPr>
                      <w:color w:val="auto"/>
                      <w:sz w:val="20"/>
                      <w:szCs w:val="20"/>
                    </w:rPr>
                  </w:pPr>
                  <w:r>
                    <w:rPr>
                      <w:color w:val="auto"/>
                      <w:sz w:val="20"/>
                      <w:szCs w:val="20"/>
                    </w:rPr>
                    <w:t>完善基础设施。涉及工业特征污染物企业应做到“雨污分流、清污分流”，鼓励企业采用“一企一管，明管（专管）输送”的收集方式。加快推进涉及工业特征污染物的废水与生活污水分类收集、分质处理。新建企业涉及工业特征污染物的废水不得接入城镇污水处理设施，现有企业已接管城镇污水集中收集处理设施的须组织排查评估，认定不能接入的限期退出，认定可以接入的须经预处理达标后方可接入。</w:t>
                  </w:r>
                </w:p>
              </w:tc>
              <w:tc>
                <w:tcPr>
                  <w:tcW w:w="1820" w:type="pct"/>
                  <w:tcMar>
                    <w:left w:w="0" w:type="dxa"/>
                    <w:right w:w="0" w:type="dxa"/>
                  </w:tcMar>
                  <w:vAlign w:val="center"/>
                </w:tcPr>
                <w:p>
                  <w:pPr>
                    <w:adjustRightInd w:val="0"/>
                    <w:snapToGrid w:val="0"/>
                    <w:rPr>
                      <w:rFonts w:hint="eastAsia" w:eastAsia="宋体"/>
                      <w:color w:val="auto"/>
                      <w:sz w:val="20"/>
                      <w:szCs w:val="20"/>
                      <w:lang w:eastAsia="zh-CN"/>
                    </w:rPr>
                  </w:pPr>
                  <w:r>
                    <w:rPr>
                      <w:rFonts w:hint="eastAsia"/>
                      <w:color w:val="auto"/>
                      <w:sz w:val="20"/>
                      <w:szCs w:val="20"/>
                      <w:lang w:val="en-US" w:eastAsia="zh-CN"/>
                    </w:rPr>
                    <w:t>华胜</w:t>
                  </w:r>
                  <w:r>
                    <w:rPr>
                      <w:color w:val="auto"/>
                      <w:sz w:val="20"/>
                      <w:szCs w:val="20"/>
                    </w:rPr>
                    <w:t>厂区实行“雨污分流、清污分流”，生产废水</w:t>
                  </w:r>
                  <w:r>
                    <w:rPr>
                      <w:rFonts w:hint="eastAsia"/>
                      <w:color w:val="auto"/>
                      <w:sz w:val="20"/>
                      <w:szCs w:val="20"/>
                      <w:lang w:val="en-US" w:eastAsia="zh-CN"/>
                    </w:rPr>
                    <w:t>依托华胜污水处理站</w:t>
                  </w:r>
                  <w:r>
                    <w:rPr>
                      <w:color w:val="auto"/>
                      <w:sz w:val="20"/>
                      <w:szCs w:val="20"/>
                    </w:rPr>
                    <w:t>处理后接管</w:t>
                  </w:r>
                  <w:r>
                    <w:rPr>
                      <w:rFonts w:hint="eastAsia"/>
                      <w:color w:val="auto"/>
                      <w:sz w:val="20"/>
                      <w:szCs w:val="20"/>
                      <w:lang w:val="en-US" w:eastAsia="zh-CN"/>
                    </w:rPr>
                    <w:t>如皋市九华镇污水处理厂</w:t>
                  </w:r>
                  <w:r>
                    <w:rPr>
                      <w:color w:val="auto"/>
                      <w:sz w:val="20"/>
                      <w:szCs w:val="20"/>
                    </w:rPr>
                    <w:t>，污染排放浓度均能满足其排放标准限值</w:t>
                  </w:r>
                  <w:r>
                    <w:rPr>
                      <w:rFonts w:hint="eastAsia"/>
                      <w:color w:val="auto"/>
                      <w:sz w:val="20"/>
                      <w:szCs w:val="20"/>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80" w:type="pct"/>
                  <w:tcMar>
                    <w:left w:w="0" w:type="dxa"/>
                    <w:right w:w="0" w:type="dxa"/>
                  </w:tcMar>
                  <w:vAlign w:val="center"/>
                </w:tcPr>
                <w:p>
                  <w:pPr>
                    <w:adjustRightInd w:val="0"/>
                    <w:snapToGrid w:val="0"/>
                    <w:rPr>
                      <w:color w:val="auto"/>
                      <w:sz w:val="20"/>
                      <w:szCs w:val="20"/>
                    </w:rPr>
                  </w:pPr>
                  <w:r>
                    <w:rPr>
                      <w:color w:val="auto"/>
                      <w:sz w:val="20"/>
                      <w:szCs w:val="20"/>
                    </w:rPr>
                    <w:t>强化排污许可。完善申报及核发要求，将工业特征污染物纳入总量许可范围。结合排污许可管理有关要求，督促企业依法申领排污许可证或填写排污登记表，并在其中载明执行的污染控制标准要求及采取的污染控制措施。</w:t>
                  </w:r>
                </w:p>
              </w:tc>
              <w:tc>
                <w:tcPr>
                  <w:tcW w:w="1820" w:type="pct"/>
                  <w:tcMar>
                    <w:left w:w="0" w:type="dxa"/>
                    <w:right w:w="0" w:type="dxa"/>
                  </w:tcMar>
                  <w:vAlign w:val="center"/>
                </w:tcPr>
                <w:p>
                  <w:pPr>
                    <w:adjustRightInd w:val="0"/>
                    <w:snapToGrid w:val="0"/>
                    <w:rPr>
                      <w:color w:val="auto"/>
                      <w:sz w:val="20"/>
                      <w:szCs w:val="20"/>
                    </w:rPr>
                  </w:pPr>
                  <w:r>
                    <w:rPr>
                      <w:color w:val="auto"/>
                      <w:sz w:val="20"/>
                      <w:szCs w:val="20"/>
                    </w:rPr>
                    <w:t>本项目建成正式排污之前将根据文件要求申请排污许可证。</w:t>
                  </w:r>
                </w:p>
              </w:tc>
            </w:tr>
          </w:tbl>
          <w:p>
            <w:pPr>
              <w:autoSpaceDE w:val="0"/>
              <w:autoSpaceDN w:val="0"/>
              <w:adjustRightInd w:val="0"/>
              <w:snapToGrid w:val="0"/>
              <w:spacing w:line="400" w:lineRule="exact"/>
              <w:ind w:firstLine="422" w:firstLineChars="200"/>
              <w:rPr>
                <w:rFonts w:hint="eastAsia"/>
                <w:b/>
                <w:bCs/>
                <w:kern w:val="0"/>
              </w:rPr>
            </w:pPr>
            <w:r>
              <w:rPr>
                <w:rFonts w:hint="eastAsia" w:ascii="Times New Roman" w:hAnsi="Times New Roman" w:eastAsia="宋体" w:cs="Times New Roman"/>
                <w:b/>
                <w:bCs w:val="0"/>
                <w:i w:val="0"/>
                <w:iCs w:val="0"/>
                <w:color w:val="auto"/>
                <w:kern w:val="0"/>
                <w:szCs w:val="21"/>
              </w:rPr>
              <w:t>（</w:t>
            </w:r>
            <w:r>
              <w:rPr>
                <w:rFonts w:hint="eastAsia" w:ascii="Times New Roman" w:hAnsi="Times New Roman" w:eastAsia="宋体" w:cs="Times New Roman"/>
                <w:b/>
                <w:bCs w:val="0"/>
                <w:i w:val="0"/>
                <w:iCs w:val="0"/>
                <w:color w:val="auto"/>
                <w:kern w:val="0"/>
                <w:szCs w:val="21"/>
                <w:lang w:val="en-US" w:eastAsia="zh-CN"/>
              </w:rPr>
              <w:t>10</w:t>
            </w:r>
            <w:r>
              <w:rPr>
                <w:rFonts w:hint="eastAsia" w:ascii="Times New Roman" w:hAnsi="Times New Roman" w:eastAsia="宋体" w:cs="Times New Roman"/>
                <w:b/>
                <w:bCs w:val="0"/>
                <w:i w:val="0"/>
                <w:iCs w:val="0"/>
                <w:color w:val="auto"/>
                <w:kern w:val="0"/>
                <w:szCs w:val="21"/>
              </w:rPr>
              <w:t>）</w:t>
            </w:r>
            <w:r>
              <w:rPr>
                <w:rFonts w:hint="eastAsia"/>
                <w:b/>
                <w:bCs/>
                <w:kern w:val="0"/>
              </w:rPr>
              <w:t>与《南通市空气质量持续改善行动计划实施方案》（通政发[2024]24号）相符性分析</w:t>
            </w:r>
          </w:p>
          <w:p>
            <w:pPr>
              <w:spacing w:line="360" w:lineRule="auto"/>
              <w:ind w:firstLine="420" w:firstLineChars="200"/>
              <w:rPr>
                <w:rFonts w:hint="eastAsia"/>
                <w:szCs w:val="24"/>
              </w:rPr>
            </w:pPr>
            <w:bookmarkStart w:id="5" w:name="_Hlk199151285"/>
            <w:r>
              <w:rPr>
                <w:rFonts w:hint="eastAsia"/>
                <w:szCs w:val="24"/>
                <w:lang w:val="en-US" w:eastAsia="zh-CN"/>
              </w:rPr>
              <w:t>本项目</w:t>
            </w:r>
            <w:r>
              <w:rPr>
                <w:rFonts w:hint="eastAsia"/>
                <w:szCs w:val="24"/>
              </w:rPr>
              <w:t>与《南通市空气质量持续改善行动计划实施方案》（通政发[2024]24号）相符性分析见表1-</w:t>
            </w:r>
            <w:r>
              <w:rPr>
                <w:rFonts w:hint="eastAsia"/>
                <w:szCs w:val="24"/>
                <w:lang w:val="en-US" w:eastAsia="zh-CN"/>
              </w:rPr>
              <w:t>7</w:t>
            </w:r>
            <w:r>
              <w:rPr>
                <w:rFonts w:hint="eastAsia"/>
                <w:szCs w:val="24"/>
              </w:rPr>
              <w:t>。</w:t>
            </w:r>
          </w:p>
          <w:p>
            <w:pPr>
              <w:keepNext/>
              <w:jc w:val="center"/>
              <w:rPr>
                <w:rFonts w:hint="eastAsia"/>
                <w:b/>
                <w:bCs/>
              </w:rPr>
            </w:pPr>
            <w:r>
              <w:rPr>
                <w:rFonts w:hint="eastAsia"/>
                <w:b/>
                <w:bCs/>
              </w:rPr>
              <w:t>表1-</w:t>
            </w:r>
            <w:r>
              <w:rPr>
                <w:rFonts w:hint="eastAsia"/>
                <w:b/>
                <w:bCs/>
                <w:lang w:val="en-US" w:eastAsia="zh-CN"/>
              </w:rPr>
              <w:t>7</w:t>
            </w:r>
            <w:r>
              <w:rPr>
                <w:rFonts w:hint="eastAsia"/>
                <w:b/>
                <w:bCs/>
              </w:rPr>
              <w:t xml:space="preserve"> 与《南通市空气质量持续改善行动计划实施方案》（通政发[2024]24号）相符性分析</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5501"/>
              <w:gridCol w:w="1833"/>
              <w:gridCol w:w="4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b/>
                      <w:bCs/>
                      <w:sz w:val="20"/>
                      <w:szCs w:val="20"/>
                    </w:rPr>
                  </w:pPr>
                  <w:r>
                    <w:rPr>
                      <w:rFonts w:hint="eastAsia"/>
                      <w:b/>
                      <w:bCs/>
                      <w:sz w:val="20"/>
                      <w:szCs w:val="20"/>
                    </w:rPr>
                    <w:t>序号</w:t>
                  </w:r>
                </w:p>
              </w:tc>
              <w:tc>
                <w:tcPr>
                  <w:tcW w:w="0" w:type="auto"/>
                  <w:noWrap w:val="0"/>
                  <w:vAlign w:val="center"/>
                </w:tcPr>
                <w:p>
                  <w:pPr>
                    <w:jc w:val="center"/>
                    <w:rPr>
                      <w:rFonts w:hint="eastAsia"/>
                      <w:b/>
                      <w:bCs/>
                      <w:sz w:val="20"/>
                      <w:szCs w:val="20"/>
                    </w:rPr>
                  </w:pPr>
                  <w:r>
                    <w:rPr>
                      <w:rFonts w:hint="eastAsia"/>
                      <w:b/>
                      <w:bCs/>
                      <w:sz w:val="20"/>
                      <w:szCs w:val="20"/>
                    </w:rPr>
                    <w:t>相关条款</w:t>
                  </w:r>
                </w:p>
              </w:tc>
              <w:tc>
                <w:tcPr>
                  <w:tcW w:w="0" w:type="auto"/>
                  <w:noWrap w:val="0"/>
                  <w:vAlign w:val="center"/>
                </w:tcPr>
                <w:p>
                  <w:pPr>
                    <w:jc w:val="center"/>
                    <w:rPr>
                      <w:b/>
                      <w:bCs/>
                      <w:sz w:val="20"/>
                      <w:szCs w:val="20"/>
                    </w:rPr>
                  </w:pPr>
                  <w:r>
                    <w:rPr>
                      <w:rFonts w:hint="eastAsia"/>
                      <w:b/>
                      <w:bCs/>
                      <w:sz w:val="20"/>
                      <w:szCs w:val="20"/>
                    </w:rPr>
                    <w:t>本项目情况</w:t>
                  </w:r>
                </w:p>
              </w:tc>
              <w:tc>
                <w:tcPr>
                  <w:tcW w:w="0" w:type="auto"/>
                  <w:noWrap w:val="0"/>
                  <w:vAlign w:val="center"/>
                </w:tcPr>
                <w:p>
                  <w:pPr>
                    <w:jc w:val="center"/>
                    <w:rPr>
                      <w:b/>
                      <w:bCs/>
                      <w:sz w:val="20"/>
                      <w:szCs w:val="20"/>
                    </w:rPr>
                  </w:pPr>
                  <w:r>
                    <w:rPr>
                      <w:rFonts w:hint="eastAsia"/>
                      <w:b/>
                      <w:bCs/>
                      <w:sz w:val="20"/>
                      <w:szCs w:val="20"/>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sz w:val="20"/>
                      <w:szCs w:val="20"/>
                    </w:rPr>
                  </w:pPr>
                  <w:r>
                    <w:rPr>
                      <w:rFonts w:hint="eastAsia"/>
                      <w:sz w:val="20"/>
                      <w:szCs w:val="20"/>
                    </w:rPr>
                    <w:t>1</w:t>
                  </w:r>
                </w:p>
              </w:tc>
              <w:tc>
                <w:tcPr>
                  <w:tcW w:w="0" w:type="auto"/>
                  <w:noWrap w:val="0"/>
                  <w:vAlign w:val="center"/>
                </w:tcPr>
                <w:p>
                  <w:pPr>
                    <w:jc w:val="center"/>
                    <w:rPr>
                      <w:sz w:val="20"/>
                      <w:szCs w:val="20"/>
                    </w:rPr>
                  </w:pPr>
                  <w:r>
                    <w:rPr>
                      <w:rFonts w:hint="eastAsia"/>
                      <w:sz w:val="20"/>
                      <w:szCs w:val="20"/>
                    </w:rPr>
                    <w:t>坚决遏制“两高一低”项目盲目上马。按照省统一部署，落实“两高”项目管理目录，对“两高一低”项目实行清单管理、分类处置、动态监控。严禁核准或备案焦化、电解铝、水泥（熟料）、平板玻璃（不含光伏平板玻璃）和炼化（纳入国家产业规划除外）等行业新增产能的项目，严格钢铁冶炼项目备案管理。</w:t>
                  </w:r>
                </w:p>
              </w:tc>
              <w:tc>
                <w:tcPr>
                  <w:tcW w:w="0" w:type="auto"/>
                  <w:noWrap w:val="0"/>
                  <w:vAlign w:val="center"/>
                </w:tcPr>
                <w:p>
                  <w:pPr>
                    <w:jc w:val="center"/>
                    <w:rPr>
                      <w:sz w:val="20"/>
                      <w:szCs w:val="20"/>
                    </w:rPr>
                  </w:pPr>
                  <w:r>
                    <w:rPr>
                      <w:rFonts w:hint="eastAsia"/>
                      <w:sz w:val="20"/>
                      <w:szCs w:val="20"/>
                      <w:lang w:val="en-US" w:eastAsia="zh-CN"/>
                    </w:rPr>
                    <w:t>本</w:t>
                  </w:r>
                  <w:r>
                    <w:rPr>
                      <w:rFonts w:hint="eastAsia"/>
                      <w:sz w:val="20"/>
                      <w:szCs w:val="20"/>
                    </w:rPr>
                    <w:t>项目不属于“两高一低”项目。</w:t>
                  </w:r>
                </w:p>
              </w:tc>
              <w:tc>
                <w:tcPr>
                  <w:tcW w:w="0" w:type="auto"/>
                  <w:noWrap w:val="0"/>
                  <w:vAlign w:val="center"/>
                </w:tcPr>
                <w:p>
                  <w:pPr>
                    <w:jc w:val="center"/>
                    <w:rPr>
                      <w:sz w:val="20"/>
                      <w:szCs w:val="20"/>
                    </w:rPr>
                  </w:pPr>
                  <w:r>
                    <w:rPr>
                      <w:rFonts w:hint="eastAsia"/>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sz w:val="20"/>
                      <w:szCs w:val="20"/>
                    </w:rPr>
                  </w:pPr>
                  <w:r>
                    <w:rPr>
                      <w:rFonts w:hint="eastAsia"/>
                      <w:sz w:val="20"/>
                      <w:szCs w:val="20"/>
                    </w:rPr>
                    <w:t>2</w:t>
                  </w:r>
                </w:p>
              </w:tc>
              <w:tc>
                <w:tcPr>
                  <w:tcW w:w="0" w:type="auto"/>
                  <w:noWrap w:val="0"/>
                  <w:vAlign w:val="center"/>
                </w:tcPr>
                <w:p>
                  <w:pPr>
                    <w:jc w:val="center"/>
                    <w:rPr>
                      <w:sz w:val="20"/>
                      <w:szCs w:val="20"/>
                    </w:rPr>
                  </w:pPr>
                  <w:r>
                    <w:rPr>
                      <w:rFonts w:hint="eastAsia"/>
                      <w:sz w:val="20"/>
                      <w:szCs w:val="20"/>
                    </w:rPr>
                    <w:t>加快退出重点行业落后产能。落实国家《产业结构调整指导目录（2024年本）》，依法依规关停退出淘汰类落后生产工艺装备，推进全市每小时2蒸吨及以下生物质锅炉尽快淘汰。</w:t>
                  </w:r>
                </w:p>
              </w:tc>
              <w:tc>
                <w:tcPr>
                  <w:tcW w:w="0" w:type="auto"/>
                  <w:noWrap w:val="0"/>
                  <w:vAlign w:val="center"/>
                </w:tcPr>
                <w:p>
                  <w:pPr>
                    <w:jc w:val="center"/>
                    <w:rPr>
                      <w:sz w:val="20"/>
                      <w:szCs w:val="20"/>
                    </w:rPr>
                  </w:pPr>
                  <w:r>
                    <w:rPr>
                      <w:rFonts w:hint="eastAsia"/>
                      <w:sz w:val="20"/>
                      <w:szCs w:val="20"/>
                    </w:rPr>
                    <w:t>本项目使用</w:t>
                  </w:r>
                  <w:r>
                    <w:rPr>
                      <w:rFonts w:hint="eastAsia"/>
                      <w:sz w:val="20"/>
                      <w:szCs w:val="20"/>
                      <w:lang w:val="en-US" w:eastAsia="zh-CN"/>
                    </w:rPr>
                    <w:t>的</w:t>
                  </w:r>
                  <w:r>
                    <w:rPr>
                      <w:rFonts w:hint="eastAsia"/>
                      <w:sz w:val="20"/>
                      <w:szCs w:val="20"/>
                    </w:rPr>
                    <w:t>生物质锅炉为</w:t>
                  </w:r>
                  <w:r>
                    <w:rPr>
                      <w:rFonts w:hint="eastAsia"/>
                      <w:sz w:val="20"/>
                      <w:szCs w:val="20"/>
                      <w:lang w:val="en-US" w:eastAsia="zh-CN"/>
                    </w:rPr>
                    <w:t>6</w:t>
                  </w:r>
                  <w:r>
                    <w:rPr>
                      <w:rFonts w:hint="eastAsia"/>
                      <w:sz w:val="20"/>
                      <w:szCs w:val="20"/>
                    </w:rPr>
                    <w:t>t/h，不属于每小时2蒸吨及以下生物质锅炉。</w:t>
                  </w:r>
                </w:p>
              </w:tc>
              <w:tc>
                <w:tcPr>
                  <w:tcW w:w="0" w:type="auto"/>
                  <w:noWrap w:val="0"/>
                  <w:vAlign w:val="center"/>
                </w:tcPr>
                <w:p>
                  <w:pPr>
                    <w:jc w:val="center"/>
                    <w:rPr>
                      <w:sz w:val="20"/>
                      <w:szCs w:val="20"/>
                    </w:rPr>
                  </w:pPr>
                  <w:r>
                    <w:rPr>
                      <w:rFonts w:hint="eastAsia"/>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noWrap w:val="0"/>
                  <w:vAlign w:val="center"/>
                </w:tcPr>
                <w:p>
                  <w:pPr>
                    <w:jc w:val="center"/>
                    <w:rPr>
                      <w:sz w:val="20"/>
                      <w:szCs w:val="20"/>
                    </w:rPr>
                  </w:pPr>
                  <w:r>
                    <w:rPr>
                      <w:rFonts w:hint="eastAsia"/>
                      <w:sz w:val="20"/>
                      <w:szCs w:val="20"/>
                    </w:rPr>
                    <w:t>3</w:t>
                  </w:r>
                </w:p>
              </w:tc>
              <w:tc>
                <w:tcPr>
                  <w:tcW w:w="0" w:type="auto"/>
                  <w:shd w:val="clear" w:color="auto" w:fill="auto"/>
                  <w:noWrap w:val="0"/>
                  <w:vAlign w:val="center"/>
                </w:tcPr>
                <w:p>
                  <w:pPr>
                    <w:jc w:val="center"/>
                    <w:rPr>
                      <w:rFonts w:ascii="Times New Roman" w:hAnsi="Times New Roman" w:eastAsia="宋体" w:cs="Times New Roman"/>
                      <w:kern w:val="2"/>
                      <w:sz w:val="20"/>
                      <w:szCs w:val="20"/>
                      <w:lang w:val="en-US" w:eastAsia="zh-CN" w:bidi="ar-SA"/>
                    </w:rPr>
                  </w:pPr>
                  <w:r>
                    <w:rPr>
                      <w:rFonts w:hint="eastAsia"/>
                      <w:sz w:val="20"/>
                      <w:szCs w:val="20"/>
                    </w:rPr>
                    <w:t>优化含VOCs原辅材料和产品结构。严格控制生产和使用高VOCs含量涂料、油墨、胶粘剂、清洗剂等项目。在家具、汽车零部件、工程机械、钢结构、船舶制造等工业涂装、包装印刷和电子等行业工艺环节中，大力推广使用低VOCs含量涂料。鼓励和推进全市汽车4S店、大型汽修厂实施全水性涂料替代。</w:t>
                  </w:r>
                </w:p>
              </w:tc>
              <w:tc>
                <w:tcPr>
                  <w:tcW w:w="0" w:type="auto"/>
                  <w:shd w:val="clear" w:color="auto" w:fill="auto"/>
                  <w:noWrap w:val="0"/>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本项目不使用</w:t>
                  </w:r>
                  <w:r>
                    <w:rPr>
                      <w:rFonts w:hint="eastAsia"/>
                      <w:sz w:val="20"/>
                      <w:szCs w:val="20"/>
                    </w:rPr>
                    <w:t>高VOCs含量涂料、油墨、胶粘剂、清洗剂</w:t>
                  </w:r>
                </w:p>
              </w:tc>
              <w:tc>
                <w:tcPr>
                  <w:tcW w:w="0" w:type="auto"/>
                  <w:shd w:val="clear" w:color="auto" w:fill="auto"/>
                  <w:noWrap w:val="0"/>
                  <w:vAlign w:val="center"/>
                </w:tcPr>
                <w:p>
                  <w:pPr>
                    <w:jc w:val="center"/>
                    <w:rPr>
                      <w:rFonts w:ascii="Times New Roman" w:hAnsi="Times New Roman" w:eastAsia="宋体" w:cs="Times New Roman"/>
                      <w:kern w:val="2"/>
                      <w:sz w:val="20"/>
                      <w:szCs w:val="20"/>
                      <w:lang w:val="en-US" w:eastAsia="zh-CN" w:bidi="ar-SA"/>
                    </w:rPr>
                  </w:pPr>
                  <w:r>
                    <w:rPr>
                      <w:rFonts w:hint="eastAsia"/>
                      <w:sz w:val="20"/>
                      <w:szCs w:val="20"/>
                    </w:rPr>
                    <w:t>符合</w:t>
                  </w:r>
                </w:p>
              </w:tc>
            </w:tr>
            <w:bookmarkEnd w:id="5"/>
          </w:tbl>
          <w:p>
            <w:pPr>
              <w:keepNext w:val="0"/>
              <w:keepLines w:val="0"/>
              <w:pageBreakBefore w:val="0"/>
              <w:widowControl w:val="0"/>
              <w:numPr>
                <w:ilvl w:val="0"/>
                <w:numId w:val="22"/>
              </w:numPr>
              <w:kinsoku/>
              <w:wordWrap/>
              <w:overflowPunct/>
              <w:topLinePunct w:val="0"/>
              <w:bidi w:val="0"/>
              <w:adjustRightInd w:val="0"/>
              <w:snapToGrid w:val="0"/>
              <w:spacing w:line="360" w:lineRule="auto"/>
              <w:ind w:firstLine="422" w:firstLineChars="200"/>
              <w:textAlignment w:val="auto"/>
              <w:rPr>
                <w:rFonts w:hint="eastAsia" w:ascii="Times New Roman" w:hAnsi="Times New Roman" w:eastAsia="宋体" w:cs="Times New Roman"/>
                <w:b/>
                <w:bCs/>
                <w:lang w:val="en-US" w:eastAsia="zh-CN"/>
              </w:rPr>
            </w:pPr>
            <w:r>
              <w:rPr>
                <w:rFonts w:hint="eastAsia" w:ascii="Times New Roman" w:hAnsi="Times New Roman" w:eastAsia="宋体" w:cs="Times New Roman"/>
                <w:b/>
                <w:bCs/>
                <w:lang w:val="en-US" w:eastAsia="zh-CN"/>
              </w:rPr>
              <w:t>与</w:t>
            </w:r>
            <w:r>
              <w:rPr>
                <w:rFonts w:ascii="Times New Roman" w:hAnsi="Times New Roman" w:eastAsia="宋体" w:cs="Times New Roman"/>
                <w:b/>
                <w:bCs/>
              </w:rPr>
              <w:t>《江苏省生物质电厂与锅炉综合治理实施方案》（苏环办〔2022〕321号）</w:t>
            </w:r>
            <w:r>
              <w:rPr>
                <w:rFonts w:hint="eastAsia" w:ascii="Times New Roman" w:hAnsi="Times New Roman" w:eastAsia="宋体" w:cs="Times New Roman"/>
                <w:b/>
                <w:bCs/>
                <w:lang w:val="en-US" w:eastAsia="zh-CN"/>
              </w:rPr>
              <w:t>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Cs/>
                <w:color w:val="FF0000"/>
                <w:szCs w:val="21"/>
              </w:rPr>
            </w:pPr>
            <w:r>
              <w:rPr>
                <w:rFonts w:hint="eastAsia"/>
                <w:bCs/>
                <w:color w:val="FF0000"/>
                <w:szCs w:val="21"/>
              </w:rPr>
              <w:t>本项目生产中需设置锅炉和导热油炉，《江苏省节约能源条例》第二十六条明确，“县级以上地方人民政府应当进行城市热力规划，推广热电联产、集中供热和集中供冷，提高热电机组利用率，鼓励发展热能梯级利用技术，发展热、电、冷联产技术和热、电、煤气三联供技术，提高热能综合利用率。</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bCs/>
                <w:color w:val="FF0000"/>
                <w:szCs w:val="21"/>
              </w:rPr>
            </w:pPr>
            <w:r>
              <w:rPr>
                <w:rFonts w:hint="eastAsia"/>
                <w:bCs/>
                <w:color w:val="FF0000"/>
                <w:szCs w:val="21"/>
              </w:rPr>
              <w:t>新建的开发区和有条件的住宅区、城镇，应当集中供热。在集中供热范围内，除科研、生产特殊需要并经节能、生态环境主管部门批准外，不得分散新建锅炉，现有的锅炉应当限期淘汰。集中供热单位应当依据法律、法规的规定和合同的约定，保证正常、安全、可靠供热”。</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bCs/>
                <w:color w:val="FF0000"/>
                <w:szCs w:val="21"/>
              </w:rPr>
            </w:pPr>
            <w:r>
              <w:rPr>
                <w:rFonts w:hint="eastAsia" w:ascii="Times New Roman" w:hAnsi="Times New Roman" w:eastAsia="宋体" w:cs="Times New Roman"/>
                <w:bCs/>
                <w:color w:val="FF0000"/>
                <w:szCs w:val="21"/>
              </w:rPr>
              <w:t>《江苏省生物质电厂与锅炉综合治理实施方案》（苏环办〔2022〕321号）规定：“加快推进4蒸吨/小时以下生物质锅炉淘汰工作”</w:t>
            </w:r>
            <w:r>
              <w:rPr>
                <w:rFonts w:hint="eastAsia" w:cs="Times New Roman"/>
                <w:bCs/>
                <w:color w:val="FF0000"/>
                <w:szCs w:val="21"/>
                <w:lang w:eastAsia="zh-CN"/>
              </w:rPr>
              <w:t>；</w:t>
            </w:r>
            <w:r>
              <w:rPr>
                <w:rFonts w:hint="eastAsia" w:ascii="Times New Roman" w:hAnsi="Times New Roman" w:eastAsia="宋体" w:cs="Times New Roman"/>
                <w:bCs/>
                <w:color w:val="FF0000"/>
                <w:szCs w:val="21"/>
              </w:rPr>
              <w:t>“使用生物锅炉企业应以农林生物质燃料为燃料，采用专用生物质成型燃料锅炉燃烧</w:t>
            </w:r>
            <w:r>
              <w:rPr>
                <w:rFonts w:hint="eastAsia" w:cs="Times New Roman"/>
                <w:bCs/>
                <w:color w:val="FF0000"/>
                <w:szCs w:val="21"/>
                <w:lang w:eastAsia="zh-CN"/>
              </w:rPr>
              <w:t>。</w:t>
            </w:r>
            <w:r>
              <w:rPr>
                <w:rFonts w:hint="eastAsia" w:ascii="Times New Roman" w:hAnsi="Times New Roman" w:eastAsia="宋体" w:cs="Times New Roman"/>
                <w:bCs/>
                <w:color w:val="FF0000"/>
                <w:szCs w:val="21"/>
              </w:rPr>
              <w:t>烟气脱硝推荐采用选择性非催化还原(SNCR)+低氮燃烧等高效脱硝工艺,全面淘汰“氧化脱硝”工艺</w:t>
            </w:r>
            <w:r>
              <w:rPr>
                <w:rFonts w:hint="eastAsia" w:cs="Times New Roman"/>
                <w:bCs/>
                <w:color w:val="FF0000"/>
                <w:szCs w:val="21"/>
                <w:lang w:eastAsia="zh-CN"/>
              </w:rPr>
              <w:t>；</w:t>
            </w:r>
            <w:r>
              <w:rPr>
                <w:rFonts w:hint="eastAsia" w:ascii="Times New Roman" w:hAnsi="Times New Roman" w:eastAsia="宋体" w:cs="Times New Roman"/>
                <w:bCs/>
                <w:color w:val="FF0000"/>
                <w:szCs w:val="21"/>
              </w:rPr>
              <w:t>烟气除尘推荐采用江膜滤料袋式除尘器、滤筒除尘器等先进工艺</w:t>
            </w:r>
            <w:r>
              <w:rPr>
                <w:rFonts w:hint="eastAsia" w:cs="Times New Roman"/>
                <w:bCs/>
                <w:color w:val="FF0000"/>
                <w:szCs w:val="21"/>
                <w:lang w:eastAsia="zh-CN"/>
              </w:rPr>
              <w:t>；</w:t>
            </w:r>
            <w:r>
              <w:rPr>
                <w:rFonts w:hint="eastAsia" w:ascii="Times New Roman" w:hAnsi="Times New Roman" w:eastAsia="宋体" w:cs="Times New Roman"/>
                <w:bCs/>
                <w:color w:val="FF0000"/>
                <w:szCs w:val="21"/>
              </w:rPr>
              <w:t>烟气</w:t>
            </w:r>
            <w:r>
              <w:rPr>
                <w:rFonts w:hint="eastAsia"/>
                <w:color w:val="FF0000"/>
                <w:lang w:val="en-US" w:eastAsia="zh-CN"/>
              </w:rPr>
              <w:t>脱硫</w:t>
            </w:r>
            <w:r>
              <w:rPr>
                <w:rFonts w:hint="eastAsia" w:ascii="Times New Roman" w:hAnsi="Times New Roman" w:eastAsia="宋体" w:cs="Times New Roman"/>
                <w:bCs/>
                <w:color w:val="FF0000"/>
                <w:szCs w:val="21"/>
              </w:rPr>
              <w:t>推荐采用干法或半干法脱硫</w:t>
            </w:r>
            <w:r>
              <w:rPr>
                <w:rFonts w:hint="eastAsia" w:cs="Times New Roman"/>
                <w:bCs/>
                <w:color w:val="FF0000"/>
                <w:szCs w:val="21"/>
                <w:lang w:eastAsia="zh-CN"/>
              </w:rPr>
              <w:t>”；</w:t>
            </w:r>
            <w:r>
              <w:rPr>
                <w:rFonts w:hint="eastAsia" w:ascii="Times New Roman" w:hAnsi="Times New Roman" w:eastAsia="宋体" w:cs="Times New Roman"/>
                <w:bCs/>
                <w:color w:val="FF0000"/>
                <w:szCs w:val="21"/>
              </w:rPr>
              <w:t>“加快推进4蒸吨/小时及以上生物质锅炉安装大气污染物自动监控设施，并与当地生态环境主管部门联网”。</w:t>
            </w:r>
          </w:p>
          <w:p>
            <w:pPr>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textAlignment w:val="auto"/>
              <w:rPr>
                <w:rFonts w:hint="eastAsia" w:ascii="Times New Roman" w:hAnsi="Times New Roman" w:eastAsia="宋体" w:cs="Times New Roman"/>
                <w:b/>
                <w:bCs/>
                <w:color w:val="FF0000"/>
                <w:lang w:val="en-US" w:eastAsia="zh-CN"/>
              </w:rPr>
            </w:pPr>
            <w:r>
              <w:rPr>
                <w:rFonts w:hint="eastAsia" w:ascii="Times New Roman" w:hAnsi="Times New Roman" w:eastAsia="宋体" w:cs="Times New Roman"/>
                <w:bCs/>
                <w:color w:val="FF0000"/>
                <w:szCs w:val="21"/>
              </w:rPr>
              <w:t>本项目生产工艺需要，设置1台6吨/小时锅炉和1台6吨/小时导热油炉，本项目租赁华胜工业厂房，据现场了解，该区域目</w:t>
            </w:r>
            <w:r>
              <w:rPr>
                <w:rFonts w:hint="eastAsia" w:ascii="Times New Roman" w:hAnsi="Times New Roman" w:eastAsia="宋体" w:cs="Times New Roman"/>
                <w:bCs/>
                <w:color w:val="FF0000"/>
                <w:szCs w:val="21"/>
                <w:lang w:eastAsia="zh-CN"/>
              </w:rPr>
              <w:t>前尚</w:t>
            </w:r>
            <w:r>
              <w:rPr>
                <w:rFonts w:hint="eastAsia" w:ascii="Times New Roman" w:hAnsi="Times New Roman" w:eastAsia="宋体" w:cs="Times New Roman"/>
                <w:bCs/>
                <w:color w:val="FF0000"/>
                <w:szCs w:val="21"/>
              </w:rPr>
              <w:t>未实施集中供热，亦未铺设天然气管道，不在集中供热和天然气管道铺设范围之内，采用专用生物质成型燃料锅炉燃烧，烟气脱硝采用低氮燃烧+选择性非催化还原（SNC</w:t>
            </w:r>
            <w:r>
              <w:rPr>
                <w:rFonts w:hint="eastAsia" w:ascii="Times New Roman" w:hAnsi="Times New Roman" w:eastAsia="宋体" w:cs="Times New Roman"/>
                <w:bCs/>
                <w:color w:val="FF0000"/>
                <w:szCs w:val="21"/>
                <w:lang w:val="en-US" w:eastAsia="zh-CN"/>
              </w:rPr>
              <w:t>R）高效脱硝工艺，脱硫采用石灰喷雾干燥法脱硫脱酸(半干法)，烟尘采用</w:t>
            </w:r>
            <w:r>
              <w:rPr>
                <w:rFonts w:hint="default" w:ascii="Times New Roman" w:hAnsi="Times New Roman" w:eastAsia="宋体" w:cs="Times New Roman"/>
                <w:bCs/>
                <w:color w:val="FF0000"/>
                <w:szCs w:val="21"/>
                <w:lang w:val="en-US" w:eastAsia="zh-CN"/>
              </w:rPr>
              <w:t>旋风除尘+布袋除尘+水幕除尘</w:t>
            </w:r>
            <w:r>
              <w:rPr>
                <w:rFonts w:hint="eastAsia" w:ascii="Times New Roman" w:hAnsi="Times New Roman" w:eastAsia="宋体" w:cs="Times New Roman"/>
                <w:bCs/>
                <w:color w:val="FF0000"/>
                <w:szCs w:val="21"/>
                <w:lang w:val="en-US" w:eastAsia="zh-CN"/>
              </w:rPr>
              <w:t>，汞及其化合物经低氮燃烧器+布袋除尘器协同处置，在废气排放口DA002</w:t>
            </w:r>
            <w:r>
              <w:rPr>
                <w:rFonts w:hint="eastAsia" w:cs="Times New Roman"/>
                <w:bCs/>
                <w:color w:val="FF0000"/>
                <w:szCs w:val="21"/>
                <w:lang w:val="en-US" w:eastAsia="zh-CN"/>
              </w:rPr>
              <w:t>和DA003分别</w:t>
            </w:r>
            <w:r>
              <w:rPr>
                <w:rFonts w:hint="eastAsia" w:ascii="Times New Roman" w:hAnsi="Times New Roman" w:eastAsia="宋体" w:cs="Times New Roman"/>
                <w:bCs/>
                <w:color w:val="FF0000"/>
                <w:szCs w:val="21"/>
                <w:lang w:val="en-US" w:eastAsia="zh-CN"/>
              </w:rPr>
              <w:t>设置烟气在线监测装置1套，本项目锅炉设置与《江苏省节约能源条例》、苏环</w:t>
            </w:r>
            <w:r>
              <w:rPr>
                <w:rFonts w:hint="eastAsia" w:ascii="Times New Roman" w:hAnsi="Times New Roman" w:eastAsia="宋体" w:cs="Times New Roman"/>
                <w:bCs/>
                <w:color w:val="FF0000"/>
                <w:szCs w:val="21"/>
              </w:rPr>
              <w:t>办〔2022〕321号文件不相违</w:t>
            </w:r>
            <w:r>
              <w:rPr>
                <w:rFonts w:hint="eastAsia" w:cs="Times New Roman"/>
                <w:bCs/>
                <w:color w:val="FF0000"/>
                <w:szCs w:val="21"/>
                <w:lang w:eastAsia="zh-CN"/>
              </w:rPr>
              <w:t>。</w:t>
            </w:r>
          </w:p>
          <w:p>
            <w:pPr>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color w:val="FF0000"/>
                <w:lang w:val="en-US" w:eastAsia="zh-CN"/>
              </w:rPr>
            </w:pPr>
            <w:r>
              <w:rPr>
                <w:rFonts w:hint="eastAsia" w:ascii="Times New Roman" w:hAnsi="Times New Roman" w:eastAsia="宋体" w:cs="Times New Roman"/>
                <w:b/>
                <w:bCs/>
                <w:color w:val="FF0000"/>
                <w:lang w:val="en-US" w:eastAsia="zh-CN"/>
              </w:rPr>
              <w:t>（12）与《市政府办公室印发＜关于进一步促进全市乡镇工业集聚区高质量发展的实施意见＞的通知》（通政办发〔2022〕70号）相符性分析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bCs/>
                <w:color w:val="FF0000"/>
                <w:szCs w:val="21"/>
                <w:lang w:val="en-US" w:eastAsia="zh-CN"/>
              </w:rPr>
            </w:pPr>
            <w:r>
              <w:rPr>
                <w:rFonts w:hint="eastAsia" w:ascii="Times New Roman" w:hAnsi="Times New Roman" w:eastAsia="宋体" w:cs="Times New Roman"/>
                <w:bCs/>
                <w:color w:val="FF0000"/>
                <w:szCs w:val="21"/>
                <w:lang w:val="en-US" w:eastAsia="zh-CN"/>
              </w:rPr>
              <w:t>根据《市政府办公室印发＜关于进一步促进全市乡镇工业集聚区高质量发展的实施意见＞的通知》（通政办发〔2022〕70号）中“各地新建项目一律进入开发区（园区）和集聚区，按照管理权限履行好审批手续。”本项目为新建项目，项目位于如皋市九华镇马桥村18组，根据附件3土地证明材料，项目用地为工业用地，利用现有闲置厂房，项目开工前依据流程完成备案。因此本项目符合《市政府办公室印发＜关于进一步促进全市乡镇工业集聚区高质量发展的实施意见＞的通知》。</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default" w:cs="Times New Roman"/>
                <w:b/>
                <w:bCs/>
                <w:color w:val="FF0000"/>
                <w:lang w:val="en-US" w:eastAsia="zh-CN"/>
              </w:rPr>
            </w:pPr>
            <w:r>
              <w:rPr>
                <w:rFonts w:hint="eastAsia" w:cs="Times New Roman"/>
                <w:b/>
                <w:bCs/>
                <w:color w:val="FF0000"/>
                <w:lang w:val="en-US" w:eastAsia="zh-CN"/>
              </w:rPr>
              <w:t>（13）</w:t>
            </w:r>
            <w:r>
              <w:rPr>
                <w:rFonts w:hint="eastAsia" w:ascii="Times New Roman" w:hAnsi="Times New Roman" w:eastAsia="宋体" w:cs="Times New Roman"/>
                <w:b/>
                <w:bCs/>
                <w:color w:val="FF0000"/>
                <w:lang w:val="en-US" w:eastAsia="zh-CN"/>
              </w:rPr>
              <w:t>与</w:t>
            </w:r>
            <w:r>
              <w:rPr>
                <w:rFonts w:hint="default" w:ascii="Times New Roman" w:hAnsi="Times New Roman" w:eastAsia="宋体" w:cs="Times New Roman"/>
                <w:b/>
                <w:bCs/>
                <w:color w:val="FF0000"/>
                <w:lang w:val="en-US" w:eastAsia="zh-CN"/>
              </w:rPr>
              <w:t>《市政府关于调整高污染燃料禁燃区的通知》（皋政发[2017]125号）</w:t>
            </w:r>
            <w:r>
              <w:rPr>
                <w:rFonts w:hint="eastAsia" w:ascii="Times New Roman" w:hAnsi="Times New Roman" w:eastAsia="宋体" w:cs="Times New Roman"/>
                <w:b/>
                <w:bCs/>
                <w:color w:val="FF0000"/>
                <w:lang w:val="en-US" w:eastAsia="zh-CN"/>
              </w:rPr>
              <w:t>相符性分析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lang w:val="en-US" w:eastAsia="zh-CN"/>
              </w:rPr>
              <w:t>文件规定：“</w:t>
            </w:r>
            <w:r>
              <w:rPr>
                <w:rFonts w:hint="default" w:ascii="Times New Roman" w:hAnsi="Times New Roman" w:eastAsia="宋体" w:cs="Times New Roman"/>
                <w:bCs/>
                <w:color w:val="FF0000"/>
                <w:szCs w:val="21"/>
              </w:rPr>
              <w:t>本市划定的高污染燃料禁燃区范围为如皋全市域</w:t>
            </w:r>
            <w:r>
              <w:rPr>
                <w:rFonts w:hint="default" w:ascii="Times New Roman" w:hAnsi="Times New Roman" w:eastAsia="宋体" w:cs="Times New Roman"/>
                <w:bCs/>
                <w:color w:val="FF0000"/>
                <w:szCs w:val="21"/>
                <w:lang w:eastAsia="zh-CN"/>
              </w:rPr>
              <w:t>••••••</w:t>
            </w:r>
            <w:r>
              <w:rPr>
                <w:rFonts w:hint="default" w:ascii="Times New Roman" w:hAnsi="Times New Roman" w:eastAsia="宋体" w:cs="Times New Roman"/>
                <w:bCs/>
                <w:color w:val="FF0000"/>
                <w:szCs w:val="21"/>
              </w:rPr>
              <w:t>本通知所称高污染燃料为以下燃料：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（一）Ⅱ类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1、除单台出力大于35蒸吨/小时锅炉以外燃用的煤炭及其制品。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2、石油焦、油页岩、原油、重油、渣油、煤焦油。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（二）Ⅲ类</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1、煤炭及其制品。</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rPr>
            </w:pPr>
            <w:r>
              <w:rPr>
                <w:rFonts w:hint="default" w:ascii="Times New Roman" w:hAnsi="Times New Roman" w:eastAsia="宋体" w:cs="Times New Roman"/>
                <w:bCs/>
                <w:color w:val="FF0000"/>
                <w:szCs w:val="21"/>
              </w:rPr>
              <w:t>2、石油焦、油页岩、原油、重油、渣油、煤焦油。</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lang w:val="en-US" w:eastAsia="zh-CN"/>
              </w:rPr>
            </w:pPr>
            <w:r>
              <w:rPr>
                <w:rFonts w:hint="default" w:ascii="Times New Roman" w:hAnsi="Times New Roman" w:eastAsia="宋体" w:cs="Times New Roman"/>
                <w:bCs/>
                <w:color w:val="FF0000"/>
                <w:szCs w:val="21"/>
              </w:rPr>
              <w:t>3、非专用锅炉或未配置高效除尘设施的专用锅炉燃用的生物质成型燃料。</w:t>
            </w:r>
            <w:r>
              <w:rPr>
                <w:rFonts w:hint="default" w:ascii="Times New Roman" w:hAnsi="Times New Roman" w:eastAsia="宋体" w:cs="Times New Roman"/>
                <w:bCs/>
                <w:color w:val="FF0000"/>
                <w:szCs w:val="21"/>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bCs/>
                <w:color w:val="FF0000"/>
                <w:szCs w:val="21"/>
                <w:lang w:val="en-US" w:eastAsia="zh-CN"/>
              </w:rPr>
            </w:pPr>
            <w:r>
              <w:rPr>
                <w:rFonts w:hint="default" w:ascii="Times New Roman" w:hAnsi="Times New Roman" w:eastAsia="宋体" w:cs="Times New Roman"/>
                <w:bCs/>
                <w:color w:val="FF0000"/>
                <w:szCs w:val="21"/>
                <w:lang w:val="en-US" w:eastAsia="zh-CN"/>
              </w:rPr>
              <w:t>本项目使用生物质燃料，且配备低氮燃烧+SNCR+</w:t>
            </w:r>
            <w:r>
              <w:rPr>
                <w:rFonts w:hint="eastAsia" w:ascii="Times New Roman" w:hAnsi="Times New Roman" w:eastAsia="宋体" w:cs="Times New Roman"/>
                <w:bCs/>
                <w:color w:val="FF0000"/>
                <w:szCs w:val="21"/>
                <w:lang w:val="en-US" w:eastAsia="zh-CN"/>
              </w:rPr>
              <w:t>石灰喷雾干燥+</w:t>
            </w:r>
            <w:r>
              <w:rPr>
                <w:rFonts w:hint="default" w:ascii="Times New Roman" w:hAnsi="Times New Roman" w:eastAsia="宋体" w:cs="Times New Roman"/>
                <w:bCs/>
                <w:color w:val="FF0000"/>
                <w:szCs w:val="21"/>
                <w:lang w:val="en-US" w:eastAsia="zh-CN"/>
              </w:rPr>
              <w:t>余热回收+旋风除尘+布袋除尘+水幕除尘的高效除尘设备，不属于禁止类燃料。</w:t>
            </w:r>
          </w:p>
          <w:p>
            <w:pPr>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2" w:firstLineChars="200"/>
              <w:textAlignment w:val="auto"/>
              <w:rPr>
                <w:rFonts w:hint="eastAsia" w:ascii="Times New Roman" w:hAnsi="Times New Roman" w:eastAsia="宋体" w:cs="Times New Roman"/>
                <w:b/>
                <w:bCs/>
                <w:color w:val="FF0000"/>
                <w:lang w:val="en-US" w:eastAsia="zh-CN"/>
              </w:rPr>
            </w:pPr>
            <w:r>
              <w:rPr>
                <w:rFonts w:hint="eastAsia" w:cs="Times New Roman"/>
                <w:b/>
                <w:bCs/>
                <w:color w:val="FF0000"/>
                <w:lang w:val="en-US" w:eastAsia="zh-CN"/>
              </w:rPr>
              <w:t>（14）</w:t>
            </w:r>
            <w:r>
              <w:rPr>
                <w:rFonts w:hint="eastAsia" w:ascii="Times New Roman" w:hAnsi="Times New Roman" w:eastAsia="宋体" w:cs="Times New Roman"/>
                <w:b/>
                <w:bCs/>
                <w:color w:val="FF0000"/>
                <w:lang w:val="en-US" w:eastAsia="zh-CN"/>
              </w:rPr>
              <w:t>与《关于印发&lt;江苏省工业废水与生活污水分质处理工作推进方案&gt;的通知》（苏环办〔2023〕144号）相符性分析</w:t>
            </w:r>
          </w:p>
          <w:p>
            <w:pPr>
              <w:keepNext/>
              <w:keepLines w:val="0"/>
              <w:pageBreakBefore w:val="0"/>
              <w:widowControl w:val="0"/>
              <w:kinsoku/>
              <w:wordWrap/>
              <w:overflowPunct/>
              <w:topLinePunct w:val="0"/>
              <w:autoSpaceDE/>
              <w:autoSpaceDN/>
              <w:bidi w:val="0"/>
              <w:spacing w:line="360" w:lineRule="auto"/>
              <w:jc w:val="center"/>
              <w:textAlignment w:val="auto"/>
              <w:rPr>
                <w:rFonts w:hint="eastAsia"/>
                <w:b/>
                <w:bCs/>
                <w:color w:val="FF0000"/>
              </w:rPr>
            </w:pPr>
            <w:r>
              <w:rPr>
                <w:rFonts w:hint="eastAsia"/>
                <w:b/>
                <w:bCs/>
                <w:color w:val="FF0000"/>
              </w:rPr>
              <w:t>表1-</w:t>
            </w:r>
            <w:r>
              <w:rPr>
                <w:rFonts w:hint="eastAsia"/>
                <w:b/>
                <w:bCs/>
                <w:color w:val="FF0000"/>
                <w:lang w:val="en-US" w:eastAsia="zh-CN"/>
              </w:rPr>
              <w:t>8</w:t>
            </w:r>
            <w:r>
              <w:rPr>
                <w:rFonts w:hint="eastAsia"/>
                <w:b/>
                <w:bCs/>
                <w:color w:val="FF0000"/>
              </w:rPr>
              <w:t xml:space="preserve"> 与苏环办〔2023〕144号文（相关条款）相符性分析</w:t>
            </w:r>
          </w:p>
          <w:tbl>
            <w:tblPr>
              <w:tblStyle w:val="9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10"/>
              <w:gridCol w:w="2634"/>
              <w:gridCol w:w="10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8" w:type="pct"/>
                  <w:tcBorders>
                    <w:bottom w:val="single" w:color="auto" w:sz="12" w:space="0"/>
                  </w:tcBorders>
                  <w:noWrap w:val="0"/>
                  <w:vAlign w:val="center"/>
                </w:tcPr>
                <w:p>
                  <w:pPr>
                    <w:adjustRightInd w:val="0"/>
                    <w:snapToGrid w:val="0"/>
                    <w:jc w:val="center"/>
                    <w:rPr>
                      <w:rFonts w:hint="eastAsia"/>
                      <w:b/>
                      <w:color w:val="FF0000"/>
                      <w:sz w:val="20"/>
                      <w:szCs w:val="20"/>
                    </w:rPr>
                  </w:pPr>
                  <w:r>
                    <w:rPr>
                      <w:rFonts w:hint="eastAsia"/>
                      <w:b/>
                      <w:color w:val="FF0000"/>
                      <w:sz w:val="20"/>
                      <w:szCs w:val="20"/>
                    </w:rPr>
                    <w:t>相关内容</w:t>
                  </w:r>
                </w:p>
              </w:tc>
              <w:tc>
                <w:tcPr>
                  <w:tcW w:w="1593" w:type="pct"/>
                  <w:tcBorders>
                    <w:bottom w:val="single" w:color="auto" w:sz="12" w:space="0"/>
                  </w:tcBorders>
                  <w:noWrap w:val="0"/>
                  <w:vAlign w:val="center"/>
                </w:tcPr>
                <w:p>
                  <w:pPr>
                    <w:adjustRightInd w:val="0"/>
                    <w:snapToGrid w:val="0"/>
                    <w:jc w:val="center"/>
                    <w:rPr>
                      <w:rFonts w:hint="eastAsia"/>
                      <w:b/>
                      <w:color w:val="FF0000"/>
                      <w:sz w:val="20"/>
                      <w:szCs w:val="20"/>
                    </w:rPr>
                  </w:pPr>
                  <w:r>
                    <w:rPr>
                      <w:rFonts w:hint="eastAsia"/>
                      <w:b/>
                      <w:color w:val="FF0000"/>
                      <w:sz w:val="20"/>
                      <w:szCs w:val="20"/>
                    </w:rPr>
                    <w:t>本项目情况</w:t>
                  </w:r>
                </w:p>
              </w:tc>
              <w:tc>
                <w:tcPr>
                  <w:tcW w:w="618" w:type="pct"/>
                  <w:tcBorders>
                    <w:bottom w:val="single" w:color="auto" w:sz="12" w:space="0"/>
                  </w:tcBorders>
                  <w:noWrap w:val="0"/>
                  <w:vAlign w:val="center"/>
                </w:tcPr>
                <w:p>
                  <w:pPr>
                    <w:adjustRightInd w:val="0"/>
                    <w:snapToGrid w:val="0"/>
                    <w:jc w:val="center"/>
                    <w:rPr>
                      <w:rFonts w:hint="eastAsia"/>
                      <w:b/>
                      <w:color w:val="FF0000"/>
                      <w:sz w:val="20"/>
                      <w:szCs w:val="20"/>
                    </w:rPr>
                  </w:pPr>
                  <w:r>
                    <w:rPr>
                      <w:rFonts w:hint="eastAsia"/>
                      <w:b/>
                      <w:color w:val="FF0000"/>
                      <w:sz w:val="20"/>
                      <w:szCs w:val="20"/>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8" w:type="pct"/>
                  <w:noWrap w:val="0"/>
                  <w:vAlign w:val="center"/>
                </w:tcPr>
                <w:p>
                  <w:pPr>
                    <w:adjustRightInd w:val="0"/>
                    <w:snapToGrid w:val="0"/>
                    <w:jc w:val="center"/>
                    <w:rPr>
                      <w:rFonts w:hint="eastAsia"/>
                      <w:bCs/>
                      <w:color w:val="FF0000"/>
                      <w:sz w:val="20"/>
                      <w:szCs w:val="20"/>
                      <w:lang w:eastAsia="zh-Hans"/>
                    </w:rPr>
                  </w:pPr>
                  <w:r>
                    <w:rPr>
                      <w:rFonts w:hint="eastAsia"/>
                      <w:bCs/>
                      <w:color w:val="FF0000"/>
                      <w:sz w:val="20"/>
                      <w:szCs w:val="20"/>
                      <w:lang w:eastAsia="zh-Hans"/>
                    </w:rPr>
                    <w:t>可生化优先原则：以下制造业工业企业，生产废水可生化性较好，有利于城镇污水处理厂提高处理效能，与城镇污水处理厂约定纳管标准限值、签订书面合同、变更排污及排水许可证内容、完成备案手续后可优先接入城镇污水处理厂：1）发酵酒精和白酒、啤酒、味精、制糖工业（依据行业标准修改单和排污许可证技术规范，排放浓度可协商）；2）淀粉、酵母、柠檬酸工业（依据行业标准修改单征求意见稿，排放浓度可协商）3）肉类加工工业（依据行业标准，BOD</w:t>
                  </w:r>
                  <w:r>
                    <w:rPr>
                      <w:rFonts w:hint="eastAsia"/>
                      <w:bCs/>
                      <w:color w:val="FF0000"/>
                      <w:sz w:val="20"/>
                      <w:szCs w:val="20"/>
                      <w:lang w:val="en-US" w:eastAsia="zh-CN"/>
                    </w:rPr>
                    <w:t>5</w:t>
                  </w:r>
                  <w:r>
                    <w:rPr>
                      <w:rFonts w:hint="eastAsia"/>
                      <w:bCs/>
                      <w:color w:val="FF0000"/>
                      <w:sz w:val="20"/>
                      <w:szCs w:val="20"/>
                      <w:lang w:eastAsia="zh-Hans"/>
                    </w:rPr>
                    <w:t xml:space="preserve">  浓度可放宽至 600mg/L，CODcr  浓度可放宽至 1000mg/L）。</w:t>
                  </w:r>
                </w:p>
              </w:tc>
              <w:tc>
                <w:tcPr>
                  <w:tcW w:w="1593"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本项目属于C1789其他产业用纺织制成品制造</w:t>
                  </w:r>
                  <w:r>
                    <w:rPr>
                      <w:rFonts w:hint="eastAsia"/>
                      <w:bCs/>
                      <w:color w:val="FF0000"/>
                      <w:sz w:val="20"/>
                      <w:szCs w:val="20"/>
                      <w:lang w:val="en-US" w:eastAsia="zh-CN"/>
                    </w:rPr>
                    <w:t>和</w:t>
                  </w:r>
                  <w:r>
                    <w:rPr>
                      <w:rFonts w:hint="eastAsia"/>
                      <w:bCs/>
                      <w:color w:val="FF0000"/>
                      <w:sz w:val="20"/>
                      <w:szCs w:val="20"/>
                    </w:rPr>
                    <w:t>D4430热力生产和供应，不属于发酵酒精和白酒、啤酒、味精、制糖工业，不属于淀粉、酵母、柠檬酸工业，不属于肉类加工工业。</w:t>
                  </w:r>
                </w:p>
              </w:tc>
              <w:tc>
                <w:tcPr>
                  <w:tcW w:w="618"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8" w:type="pct"/>
                  <w:noWrap w:val="0"/>
                  <w:vAlign w:val="center"/>
                </w:tcPr>
                <w:p>
                  <w:pPr>
                    <w:adjustRightInd w:val="0"/>
                    <w:snapToGrid w:val="0"/>
                    <w:jc w:val="center"/>
                    <w:rPr>
                      <w:rFonts w:hint="eastAsia"/>
                      <w:bCs/>
                      <w:color w:val="FF0000"/>
                      <w:sz w:val="20"/>
                      <w:szCs w:val="20"/>
                      <w:lang w:eastAsia="zh-Hans"/>
                    </w:rPr>
                  </w:pPr>
                  <w:r>
                    <w:rPr>
                      <w:rFonts w:hint="eastAsia"/>
                      <w:bCs/>
                      <w:color w:val="FF0000"/>
                      <w:sz w:val="20"/>
                      <w:szCs w:val="20"/>
                    </w:rPr>
                    <w:t>纳管浓度达标原则：工业企业排放的常规和特征污染物浓度均需达到相应的纳管标准和协议要求，其中部分行业污染物按照行业排放标准要求须达到直接排放限值，方可接入城镇污水处理厂。</w:t>
                  </w:r>
                </w:p>
              </w:tc>
              <w:tc>
                <w:tcPr>
                  <w:tcW w:w="1593"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本项目废水排放不涉及特征污染物，项目接管标准执行如皋市</w:t>
                  </w:r>
                  <w:r>
                    <w:rPr>
                      <w:rFonts w:hint="eastAsia"/>
                      <w:bCs/>
                      <w:color w:val="FF0000"/>
                      <w:sz w:val="20"/>
                      <w:szCs w:val="20"/>
                      <w:lang w:val="en-US" w:eastAsia="zh-CN"/>
                    </w:rPr>
                    <w:t>九华镇</w:t>
                  </w:r>
                  <w:r>
                    <w:rPr>
                      <w:rFonts w:hint="eastAsia"/>
                      <w:bCs/>
                      <w:color w:val="FF0000"/>
                      <w:sz w:val="20"/>
                      <w:szCs w:val="20"/>
                    </w:rPr>
                    <w:t>污水处理</w:t>
                  </w:r>
                  <w:r>
                    <w:rPr>
                      <w:rFonts w:hint="eastAsia"/>
                      <w:bCs/>
                      <w:color w:val="FF0000"/>
                      <w:sz w:val="20"/>
                      <w:szCs w:val="20"/>
                      <w:lang w:val="en-US" w:eastAsia="zh-CN"/>
                    </w:rPr>
                    <w:t>厂</w:t>
                  </w:r>
                  <w:r>
                    <w:rPr>
                      <w:rFonts w:hint="eastAsia"/>
                      <w:bCs/>
                      <w:color w:val="FF0000"/>
                      <w:sz w:val="20"/>
                      <w:szCs w:val="20"/>
                    </w:rPr>
                    <w:t>接管标准。</w:t>
                  </w:r>
                </w:p>
              </w:tc>
              <w:tc>
                <w:tcPr>
                  <w:tcW w:w="618"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8" w:type="pct"/>
                  <w:noWrap w:val="0"/>
                  <w:vAlign w:val="center"/>
                </w:tcPr>
                <w:p>
                  <w:pPr>
                    <w:adjustRightInd w:val="0"/>
                    <w:snapToGrid w:val="0"/>
                    <w:jc w:val="center"/>
                    <w:rPr>
                      <w:rFonts w:hint="eastAsia"/>
                      <w:bCs/>
                      <w:color w:val="FF0000"/>
                      <w:sz w:val="20"/>
                      <w:szCs w:val="20"/>
                      <w:lang w:eastAsia="zh-Hans"/>
                    </w:rPr>
                  </w:pPr>
                  <w:r>
                    <w:rPr>
                      <w:rFonts w:hint="eastAsia"/>
                      <w:bCs/>
                      <w:color w:val="FF0000"/>
                      <w:sz w:val="20"/>
                      <w:szCs w:val="20"/>
                    </w:rPr>
                    <w:t>总量达标双控原则：纳管工业企业其排放的废水和污染物总量，不得高于环评报告及批复、排污及排水许可证等核定的纳管总量控制限值；城镇污水处理厂排放的某一项特征污染物的总量不得高于所有纳管工业企业按照相应标准直接排放限值核算的该项特征污染物排放总量之和。</w:t>
                  </w:r>
                </w:p>
              </w:tc>
              <w:tc>
                <w:tcPr>
                  <w:tcW w:w="1593" w:type="pct"/>
                  <w:noWrap w:val="0"/>
                  <w:vAlign w:val="center"/>
                </w:tcPr>
                <w:p>
                  <w:pPr>
                    <w:adjustRightInd w:val="0"/>
                    <w:snapToGrid w:val="0"/>
                    <w:jc w:val="center"/>
                    <w:rPr>
                      <w:rFonts w:hint="default" w:eastAsia="宋体"/>
                      <w:bCs/>
                      <w:color w:val="FF0000"/>
                      <w:sz w:val="20"/>
                      <w:szCs w:val="20"/>
                      <w:lang w:val="en-US" w:eastAsia="zh-CN"/>
                    </w:rPr>
                  </w:pPr>
                  <w:r>
                    <w:rPr>
                      <w:rFonts w:hint="eastAsia"/>
                      <w:bCs/>
                      <w:color w:val="FF0000"/>
                      <w:sz w:val="20"/>
                      <w:szCs w:val="20"/>
                      <w:lang w:val="en-US" w:eastAsia="zh-CN"/>
                    </w:rPr>
                    <w:t>本项目为登记管理，无需申请总量</w:t>
                  </w:r>
                </w:p>
              </w:tc>
              <w:tc>
                <w:tcPr>
                  <w:tcW w:w="618"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8" w:type="pct"/>
                  <w:noWrap w:val="0"/>
                  <w:vAlign w:val="center"/>
                </w:tcPr>
                <w:p>
                  <w:pPr>
                    <w:adjustRightInd w:val="0"/>
                    <w:snapToGrid w:val="0"/>
                    <w:jc w:val="center"/>
                    <w:rPr>
                      <w:rFonts w:hint="eastAsia"/>
                      <w:bCs/>
                      <w:color w:val="FF0000"/>
                      <w:sz w:val="20"/>
                      <w:szCs w:val="20"/>
                      <w:lang w:eastAsia="zh-Hans"/>
                    </w:rPr>
                  </w:pPr>
                  <w:r>
                    <w:rPr>
                      <w:rFonts w:hint="eastAsia"/>
                      <w:bCs/>
                      <w:color w:val="FF0000"/>
                      <w:sz w:val="20"/>
                      <w:szCs w:val="20"/>
                    </w:rPr>
                    <w:t>工业废水限量纳管原则：工业废水总量超过1万吨/日的省级以上工业园区，或者工业废水纳管量占比超过 40%的城镇污水处理厂所在区域，原则上应配套专业的工业废水处理厂。</w:t>
                  </w:r>
                </w:p>
              </w:tc>
              <w:tc>
                <w:tcPr>
                  <w:tcW w:w="1593"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不属于工业废水总量超过1万吨/日的省级以上工业园区，或者工业废水纳管量占比超过40%的城镇污水处理厂所在区域项目</w:t>
                  </w:r>
                </w:p>
              </w:tc>
              <w:tc>
                <w:tcPr>
                  <w:tcW w:w="618"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8" w:type="pct"/>
                  <w:noWrap w:val="0"/>
                  <w:vAlign w:val="center"/>
                </w:tcPr>
                <w:p>
                  <w:pPr>
                    <w:adjustRightInd w:val="0"/>
                    <w:snapToGrid w:val="0"/>
                    <w:jc w:val="center"/>
                    <w:rPr>
                      <w:rFonts w:hint="eastAsia"/>
                      <w:bCs/>
                      <w:color w:val="FF0000"/>
                      <w:sz w:val="20"/>
                      <w:szCs w:val="20"/>
                      <w:lang w:eastAsia="zh-Hans"/>
                    </w:rPr>
                  </w:pPr>
                  <w:r>
                    <w:rPr>
                      <w:rFonts w:hint="eastAsia"/>
                      <w:bCs/>
                      <w:color w:val="FF0000"/>
                      <w:sz w:val="20"/>
                      <w:szCs w:val="20"/>
                    </w:rPr>
                    <w:t>污水处理厂稳定运行原则：纳管的工业企业废水不得影响城镇污水处理厂的稳定运行和达标排放，污水处理厂出现受纳管工业废水冲击负荷影响导致排水超标或者进水可生化污染物浓度过低时，应强化纳管企业的退出管控力度。</w:t>
                  </w:r>
                </w:p>
              </w:tc>
              <w:tc>
                <w:tcPr>
                  <w:tcW w:w="1593"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本项目废水水质简单，不会影响城镇污水处理厂的稳定运行和达标排放</w:t>
                  </w:r>
                </w:p>
              </w:tc>
              <w:tc>
                <w:tcPr>
                  <w:tcW w:w="618"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8" w:type="pct"/>
                  <w:noWrap w:val="0"/>
                  <w:vAlign w:val="center"/>
                </w:tcPr>
                <w:p>
                  <w:pPr>
                    <w:adjustRightInd w:val="0"/>
                    <w:snapToGrid w:val="0"/>
                    <w:jc w:val="center"/>
                    <w:rPr>
                      <w:rFonts w:hint="eastAsia"/>
                      <w:bCs/>
                      <w:color w:val="FF0000"/>
                      <w:sz w:val="20"/>
                      <w:szCs w:val="20"/>
                      <w:lang w:eastAsia="zh-Hans"/>
                    </w:rPr>
                  </w:pPr>
                  <w:r>
                    <w:rPr>
                      <w:rFonts w:hint="eastAsia"/>
                      <w:bCs/>
                      <w:color w:val="FF0000"/>
                      <w:sz w:val="20"/>
                      <w:szCs w:val="20"/>
                    </w:rPr>
                    <w:t>环境质量达标原则：区域内国省考断面、水源地等敏感水域不得出现氟化物、挥发酚等特征污染物检出超标情况，否则应强化对上游汇水区域范围内排放上述特征污染物纳管企业的退出管控力度。</w:t>
                  </w:r>
                </w:p>
              </w:tc>
              <w:tc>
                <w:tcPr>
                  <w:tcW w:w="1593"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本项目废水不涉及特征污染物。</w:t>
                  </w:r>
                </w:p>
              </w:tc>
              <w:tc>
                <w:tcPr>
                  <w:tcW w:w="618"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88" w:type="pct"/>
                  <w:noWrap w:val="0"/>
                  <w:vAlign w:val="center"/>
                </w:tcPr>
                <w:p>
                  <w:pPr>
                    <w:adjustRightInd w:val="0"/>
                    <w:snapToGrid w:val="0"/>
                    <w:jc w:val="center"/>
                    <w:rPr>
                      <w:rFonts w:hint="eastAsia"/>
                      <w:bCs/>
                      <w:color w:val="FF0000"/>
                      <w:sz w:val="20"/>
                      <w:szCs w:val="20"/>
                      <w:lang w:eastAsia="zh-Hans"/>
                    </w:rPr>
                  </w:pPr>
                  <w:r>
                    <w:rPr>
                      <w:rFonts w:hint="eastAsia"/>
                      <w:bCs/>
                      <w:color w:val="FF0000"/>
                      <w:sz w:val="20"/>
                      <w:szCs w:val="20"/>
                    </w:rPr>
                    <w:t>污水处理厂出水负责原则：城镇污水处理厂及其运营单位，对城镇污水集中处理设施的出水水质负责，应积极参与纳管企业水质水量对污水处理设施正常运行影响的评估工作，认为其生产废水含有污染物不能被污水处理设施有效处理或者可能影响污水处理设施出水稳定达标的，应及时报城镇排水主管部门和生态环境部门。</w:t>
                  </w:r>
                </w:p>
              </w:tc>
              <w:tc>
                <w:tcPr>
                  <w:tcW w:w="1593"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本项目废水不涉及含有污染物不能被污水处理设施有效处理或者可能影响污水处理设施出水稳定达标的。</w:t>
                  </w:r>
                </w:p>
              </w:tc>
              <w:tc>
                <w:tcPr>
                  <w:tcW w:w="618" w:type="pct"/>
                  <w:noWrap w:val="0"/>
                  <w:vAlign w:val="center"/>
                </w:tcPr>
                <w:p>
                  <w:pPr>
                    <w:adjustRightInd w:val="0"/>
                    <w:snapToGrid w:val="0"/>
                    <w:jc w:val="center"/>
                    <w:rPr>
                      <w:rFonts w:hint="eastAsia"/>
                      <w:bCs/>
                      <w:color w:val="FF0000"/>
                      <w:sz w:val="20"/>
                      <w:szCs w:val="20"/>
                    </w:rPr>
                  </w:pPr>
                  <w:r>
                    <w:rPr>
                      <w:rFonts w:hint="eastAsia"/>
                      <w:bCs/>
                      <w:color w:val="FF0000"/>
                      <w:sz w:val="20"/>
                      <w:szCs w:val="20"/>
                    </w:rPr>
                    <w:t>符合</w:t>
                  </w:r>
                </w:p>
              </w:tc>
            </w:tr>
          </w:tbl>
          <w:p>
            <w:pPr>
              <w:adjustRightInd w:val="0"/>
              <w:snapToGrid w:val="0"/>
              <w:spacing w:line="360" w:lineRule="auto"/>
              <w:ind w:firstLine="422" w:firstLineChars="200"/>
              <w:rPr>
                <w:b/>
                <w:bCs/>
                <w:color w:val="auto"/>
                <w:szCs w:val="21"/>
              </w:rPr>
            </w:pPr>
            <w:r>
              <w:rPr>
                <w:rFonts w:hint="eastAsia" w:cs="Times New Roman"/>
                <w:b/>
                <w:bCs/>
                <w:kern w:val="0"/>
                <w:lang w:val="en-US" w:eastAsia="zh-CN"/>
              </w:rPr>
              <w:t>5</w:t>
            </w:r>
            <w:r>
              <w:rPr>
                <w:rFonts w:hint="eastAsia" w:ascii="Times New Roman" w:hAnsi="Times New Roman" w:eastAsia="宋体" w:cs="Times New Roman"/>
                <w:b/>
                <w:bCs/>
                <w:kern w:val="0"/>
                <w:lang w:val="en-US" w:eastAsia="zh-CN"/>
              </w:rPr>
              <w:t>、</w:t>
            </w:r>
            <w:r>
              <w:rPr>
                <w:b/>
                <w:bCs/>
                <w:color w:val="auto"/>
                <w:szCs w:val="21"/>
              </w:rPr>
              <w:t>与挥发性有机物防治政策文件相符性分析</w:t>
            </w:r>
          </w:p>
          <w:p>
            <w:pPr>
              <w:spacing w:line="360" w:lineRule="auto"/>
              <w:ind w:left="-2" w:firstLine="422"/>
              <w:rPr>
                <w:b/>
                <w:bCs/>
              </w:rPr>
            </w:pPr>
            <w:r>
              <w:rPr>
                <w:rFonts w:hint="eastAsia"/>
                <w:b/>
                <w:color w:val="auto"/>
                <w:szCs w:val="21"/>
              </w:rPr>
              <w:t>（1）</w:t>
            </w:r>
            <w:r>
              <w:rPr>
                <w:rFonts w:hint="eastAsia" w:ascii="Times New Roman" w:hAnsi="Times New Roman" w:eastAsia="宋体" w:cs="Times New Roman"/>
                <w:b/>
                <w:bCs/>
                <w:color w:val="auto"/>
                <w:szCs w:val="21"/>
              </w:rPr>
              <w:t>与</w:t>
            </w:r>
            <w:r>
              <w:rPr>
                <w:b/>
                <w:bCs/>
              </w:rPr>
              <w:t>《江苏省重点行业挥发性有机物污染控制指南》</w:t>
            </w:r>
            <w:r>
              <w:rPr>
                <w:b/>
                <w:bCs/>
                <w:color w:val="auto"/>
                <w:szCs w:val="21"/>
              </w:rPr>
              <w:t>（苏环办[2014]128号）</w:t>
            </w:r>
            <w:r>
              <w:rPr>
                <w:b/>
                <w:bCs/>
              </w:rPr>
              <w:t>相符性</w:t>
            </w:r>
          </w:p>
          <w:p>
            <w:pPr>
              <w:adjustRightInd w:val="0"/>
              <w:snapToGrid w:val="0"/>
              <w:spacing w:line="360" w:lineRule="auto"/>
              <w:ind w:firstLine="420" w:firstLineChars="200"/>
              <w:rPr>
                <w:color w:val="auto"/>
                <w:szCs w:val="21"/>
              </w:rPr>
            </w:pPr>
            <w:r>
              <w:rPr>
                <w:color w:val="auto"/>
                <w:szCs w:val="21"/>
              </w:rPr>
              <w:t>根据《江苏省重点行业挥发性有机物污染控制指南》（苏环办[2014]128号）要求：“一、总体要求（二）鼓励对排放的VOCs进行回收利用，并优先在生产系统内回用。对浓度、性状差异较大的废气应分类收集，并采用适宜的方式进行有效处理，确保VOCs总去除率满足管理要求，其中有机化工、医药化工、橡胶和塑料制品（有溶剂浸胶工艺）、溶剂型涂料表面涂装、包装印刷业的VOCs总收集、净化处理率均不低于90%，其他行业原则上不低于75%。</w:t>
            </w:r>
          </w:p>
          <w:p>
            <w:pPr>
              <w:adjustRightInd w:val="0"/>
              <w:snapToGrid w:val="0"/>
              <w:spacing w:line="360" w:lineRule="auto"/>
              <w:ind w:firstLine="420" w:firstLineChars="200"/>
              <w:rPr>
                <w:b/>
                <w:bCs/>
                <w:color w:val="auto"/>
                <w:szCs w:val="21"/>
              </w:rPr>
            </w:pPr>
            <w:r>
              <w:rPr>
                <w:color w:val="auto"/>
                <w:szCs w:val="21"/>
              </w:rPr>
              <w:t>本项目不属于上述重点行业，本项目</w:t>
            </w:r>
            <w:r>
              <w:rPr>
                <w:rFonts w:hint="eastAsia"/>
                <w:color w:val="auto"/>
                <w:szCs w:val="21"/>
              </w:rPr>
              <w:t>定型</w:t>
            </w:r>
            <w:r>
              <w:rPr>
                <w:rFonts w:hint="eastAsia"/>
                <w:color w:val="auto"/>
                <w:szCs w:val="21"/>
                <w:lang w:val="en-US" w:eastAsia="zh-CN"/>
              </w:rPr>
              <w:t>和蒸呢</w:t>
            </w:r>
            <w:r>
              <w:rPr>
                <w:rFonts w:hint="eastAsia"/>
                <w:color w:val="auto"/>
                <w:szCs w:val="21"/>
              </w:rPr>
              <w:t>废气经收集后由</w:t>
            </w:r>
            <w:r>
              <w:rPr>
                <w:rFonts w:hint="eastAsia"/>
                <w:color w:val="auto"/>
                <w:szCs w:val="21"/>
                <w:lang w:val="en-US" w:eastAsia="zh-CN"/>
              </w:rPr>
              <w:t>水喷淋+</w:t>
            </w:r>
            <w:r>
              <w:rPr>
                <w:rFonts w:hint="eastAsia"/>
                <w:color w:val="auto"/>
                <w:szCs w:val="21"/>
                <w:lang w:eastAsia="zh-CN"/>
              </w:rPr>
              <w:t>静电净化</w:t>
            </w:r>
            <w:r>
              <w:rPr>
                <w:rFonts w:hint="eastAsia"/>
                <w:color w:val="auto"/>
                <w:szCs w:val="21"/>
              </w:rPr>
              <w:t>处理后有组织排放</w:t>
            </w:r>
            <w:r>
              <w:rPr>
                <w:rFonts w:hint="eastAsia"/>
                <w:color w:val="auto"/>
                <w:szCs w:val="21"/>
                <w:lang w:eastAsia="zh-CN"/>
              </w:rPr>
              <w:t>，</w:t>
            </w:r>
            <w:r>
              <w:rPr>
                <w:color w:val="auto"/>
                <w:szCs w:val="21"/>
              </w:rPr>
              <w:t>本项目符合《江苏省重点行业挥发性有机物污染控制指南》的要求。</w:t>
            </w:r>
          </w:p>
          <w:p>
            <w:pPr>
              <w:keepNext w:val="0"/>
              <w:keepLines w:val="0"/>
              <w:pageBreakBefore w:val="0"/>
              <w:widowControl w:val="0"/>
              <w:kinsoku/>
              <w:wordWrap/>
              <w:overflowPunct/>
              <w:topLinePunct w:val="0"/>
              <w:bidi w:val="0"/>
              <w:adjustRightInd w:val="0"/>
              <w:snapToGrid w:val="0"/>
              <w:spacing w:line="360" w:lineRule="auto"/>
              <w:ind w:firstLine="422" w:firstLineChars="200"/>
              <w:textAlignment w:val="auto"/>
              <w:rPr>
                <w:b/>
                <w:bCs/>
                <w:color w:val="auto"/>
                <w:szCs w:val="21"/>
              </w:rPr>
            </w:pPr>
            <w:r>
              <w:rPr>
                <w:b/>
                <w:bCs/>
                <w:color w:val="auto"/>
                <w:szCs w:val="21"/>
              </w:rPr>
              <w:t>（</w:t>
            </w:r>
            <w:r>
              <w:rPr>
                <w:rFonts w:hint="eastAsia"/>
                <w:b/>
                <w:bCs/>
                <w:color w:val="auto"/>
                <w:szCs w:val="21"/>
                <w:lang w:val="en-US" w:eastAsia="zh-CN"/>
              </w:rPr>
              <w:t>2</w:t>
            </w:r>
            <w:r>
              <w:rPr>
                <w:b/>
                <w:bCs/>
                <w:color w:val="auto"/>
                <w:szCs w:val="21"/>
              </w:rPr>
              <w:t>）与《江苏省挥发性有机物污染防治管理办法》相符性分析</w:t>
            </w:r>
          </w:p>
          <w:p>
            <w:pPr>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bCs/>
                <w:color w:val="auto"/>
                <w:szCs w:val="21"/>
              </w:rPr>
            </w:pPr>
            <w:r>
              <w:rPr>
                <w:color w:val="auto"/>
                <w:szCs w:val="21"/>
              </w:rPr>
              <w:t>本项目与《江苏省挥发性有机物污染防治管理办法》（省政府令第119号）中相关内容的相符性分析情况如下表1-</w:t>
            </w:r>
            <w:r>
              <w:rPr>
                <w:rFonts w:hint="eastAsia"/>
                <w:color w:val="auto"/>
                <w:szCs w:val="21"/>
                <w:lang w:val="en-US" w:eastAsia="zh-CN"/>
              </w:rPr>
              <w:t>9</w:t>
            </w:r>
            <w:r>
              <w:rPr>
                <w:color w:val="auto"/>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ascii="Times New Roman" w:hAnsi="Times New Roman" w:eastAsia="宋体" w:cs="Times New Roman"/>
                <w:b/>
                <w:color w:val="auto"/>
                <w:kern w:val="0"/>
                <w:szCs w:val="21"/>
              </w:rPr>
            </w:pPr>
            <w:r>
              <w:rPr>
                <w:rFonts w:ascii="Times New Roman" w:hAnsi="Times New Roman" w:eastAsia="宋体" w:cs="Times New Roman"/>
                <w:b/>
                <w:color w:val="auto"/>
                <w:kern w:val="0"/>
                <w:szCs w:val="21"/>
              </w:rPr>
              <w:t>表1-</w:t>
            </w:r>
            <w:r>
              <w:rPr>
                <w:rFonts w:hint="eastAsia" w:cs="Times New Roman"/>
                <w:b/>
                <w:color w:val="auto"/>
                <w:kern w:val="0"/>
                <w:szCs w:val="21"/>
                <w:lang w:val="en-US" w:eastAsia="zh-CN"/>
              </w:rPr>
              <w:t>9</w:t>
            </w:r>
            <w:r>
              <w:rPr>
                <w:rFonts w:ascii="Times New Roman" w:hAnsi="Times New Roman" w:eastAsia="宋体" w:cs="Times New Roman"/>
                <w:b/>
                <w:color w:val="auto"/>
                <w:kern w:val="0"/>
                <w:szCs w:val="21"/>
              </w:rPr>
              <w:t xml:space="preserve">  本项目与省政府令第119号文相符性分析</w:t>
            </w:r>
          </w:p>
          <w:tbl>
            <w:tblPr>
              <w:tblStyle w:val="9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50"/>
              <w:gridCol w:w="2422"/>
              <w:gridCol w:w="6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5" w:type="pct"/>
                  <w:tcBorders>
                    <w:top w:val="single" w:color="auto" w:sz="12" w:space="0"/>
                    <w:left w:val="nil"/>
                    <w:bottom w:val="single" w:color="auto" w:sz="12" w:space="0"/>
                    <w:right w:val="single" w:color="auto" w:sz="4" w:space="0"/>
                  </w:tcBorders>
                  <w:noWrap w:val="0"/>
                  <w:vAlign w:val="center"/>
                </w:tcPr>
                <w:p>
                  <w:pPr>
                    <w:adjustRightInd w:val="0"/>
                    <w:snapToGrid w:val="0"/>
                    <w:jc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sz w:val="20"/>
                      <w:szCs w:val="20"/>
                    </w:rPr>
                    <w:t>省政府令第119号</w:t>
                  </w:r>
                </w:p>
              </w:tc>
              <w:tc>
                <w:tcPr>
                  <w:tcW w:w="1465" w:type="pct"/>
                  <w:tcBorders>
                    <w:top w:val="single" w:color="auto" w:sz="12" w:space="0"/>
                    <w:left w:val="single" w:color="auto" w:sz="4" w:space="0"/>
                    <w:bottom w:val="single" w:color="auto" w:sz="12" w:space="0"/>
                    <w:right w:val="single" w:color="auto" w:sz="4" w:space="0"/>
                  </w:tcBorders>
                  <w:noWrap w:val="0"/>
                  <w:vAlign w:val="center"/>
                </w:tcPr>
                <w:p>
                  <w:pPr>
                    <w:adjustRightInd w:val="0"/>
                    <w:snapToGrid w:val="0"/>
                    <w:jc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sz w:val="20"/>
                      <w:szCs w:val="20"/>
                    </w:rPr>
                    <w:t>本项目相符性分析</w:t>
                  </w:r>
                </w:p>
              </w:tc>
              <w:tc>
                <w:tcPr>
                  <w:tcW w:w="418" w:type="pct"/>
                  <w:tcBorders>
                    <w:top w:val="single" w:color="auto" w:sz="12" w:space="0"/>
                    <w:left w:val="single" w:color="auto" w:sz="4" w:space="0"/>
                    <w:bottom w:val="single" w:color="auto" w:sz="12" w:space="0"/>
                    <w:right w:val="nil"/>
                  </w:tcBorders>
                  <w:noWrap w:val="0"/>
                  <w:vAlign w:val="center"/>
                </w:tcPr>
                <w:p>
                  <w:pPr>
                    <w:adjustRightInd w:val="0"/>
                    <w:snapToGrid w:val="0"/>
                    <w:jc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sz w:val="20"/>
                      <w:szCs w:val="20"/>
                    </w:rPr>
                    <w:t>是否</w:t>
                  </w:r>
                </w:p>
                <w:p>
                  <w:pPr>
                    <w:adjustRightInd w:val="0"/>
                    <w:snapToGrid w:val="0"/>
                    <w:jc w:val="center"/>
                    <w:rPr>
                      <w:rFonts w:ascii="Times New Roman" w:hAnsi="Times New Roman" w:eastAsia="宋体" w:cs="Times New Roman"/>
                      <w:b/>
                      <w:bCs/>
                      <w:color w:val="auto"/>
                      <w:sz w:val="20"/>
                      <w:szCs w:val="20"/>
                    </w:rPr>
                  </w:pPr>
                  <w:r>
                    <w:rPr>
                      <w:rFonts w:ascii="Times New Roman" w:hAnsi="Times New Roman" w:eastAsia="宋体" w:cs="Times New Roman"/>
                      <w:b/>
                      <w:bCs/>
                      <w:color w:val="auto"/>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5" w:type="pct"/>
                  <w:tcBorders>
                    <w:top w:val="single" w:color="auto" w:sz="12" w:space="0"/>
                    <w:left w:val="nil"/>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新建、改建、扩建排放挥发性有机物的建设项目，应当依法进行环境影响评价。新增挥发性有机物排放总量指标的不足部分，可以依照有关规定通过排污权交易取得。建设项目的环境影响评价文件未经审查或者审查后未予批准的，建设单位不得开工建设。</w:t>
                  </w:r>
                </w:p>
              </w:tc>
              <w:tc>
                <w:tcPr>
                  <w:tcW w:w="1465" w:type="pct"/>
                  <w:tcBorders>
                    <w:top w:val="single" w:color="auto" w:sz="12" w:space="0"/>
                    <w:left w:val="single" w:color="auto" w:sz="4" w:space="0"/>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本项目为</w:t>
                  </w:r>
                  <w:r>
                    <w:rPr>
                      <w:rFonts w:hint="eastAsia" w:ascii="Times New Roman" w:hAnsi="Times New Roman" w:eastAsia="宋体" w:cs="Times New Roman"/>
                      <w:color w:val="auto"/>
                      <w:sz w:val="20"/>
                      <w:szCs w:val="20"/>
                      <w:lang w:val="en-US" w:eastAsia="zh-CN"/>
                    </w:rPr>
                    <w:t>新</w:t>
                  </w:r>
                  <w:r>
                    <w:rPr>
                      <w:rFonts w:hint="eastAsia" w:cs="Times New Roman"/>
                      <w:color w:val="auto"/>
                      <w:sz w:val="20"/>
                      <w:szCs w:val="20"/>
                      <w:lang w:val="en-US" w:eastAsia="zh-CN"/>
                    </w:rPr>
                    <w:t>建</w:t>
                  </w:r>
                  <w:r>
                    <w:rPr>
                      <w:rFonts w:ascii="Times New Roman" w:hAnsi="Times New Roman" w:eastAsia="宋体" w:cs="Times New Roman"/>
                      <w:color w:val="auto"/>
                      <w:sz w:val="20"/>
                      <w:szCs w:val="20"/>
                    </w:rPr>
                    <w:t>项目，待环境影响评价文件审查后予以批准后开工建设。</w:t>
                  </w:r>
                </w:p>
              </w:tc>
              <w:tc>
                <w:tcPr>
                  <w:tcW w:w="418" w:type="pct"/>
                  <w:tcBorders>
                    <w:top w:val="single" w:color="auto" w:sz="12" w:space="0"/>
                    <w:left w:val="single" w:color="auto" w:sz="4" w:space="0"/>
                    <w:bottom w:val="single" w:color="auto" w:sz="4" w:space="0"/>
                    <w:right w:val="nil"/>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5" w:type="pct"/>
                  <w:tcBorders>
                    <w:top w:val="single" w:color="auto" w:sz="4" w:space="0"/>
                    <w:left w:val="nil"/>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w:t>
                  </w:r>
                </w:p>
              </w:tc>
              <w:tc>
                <w:tcPr>
                  <w:tcW w:w="1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本项目定型</w:t>
                  </w:r>
                  <w:r>
                    <w:rPr>
                      <w:rFonts w:hint="eastAsia" w:cs="Times New Roman"/>
                      <w:color w:val="auto"/>
                      <w:sz w:val="20"/>
                      <w:szCs w:val="20"/>
                      <w:lang w:val="en-US" w:eastAsia="zh-CN"/>
                    </w:rPr>
                    <w:t>和蒸呢废气</w:t>
                  </w:r>
                  <w:r>
                    <w:rPr>
                      <w:rFonts w:hint="eastAsia" w:ascii="Times New Roman" w:hAnsi="Times New Roman" w:eastAsia="宋体" w:cs="Times New Roman"/>
                      <w:color w:val="auto"/>
                      <w:sz w:val="20"/>
                      <w:szCs w:val="20"/>
                    </w:rPr>
                    <w:t>经收集后由</w:t>
                  </w:r>
                  <w:r>
                    <w:rPr>
                      <w:rFonts w:hint="eastAsia" w:ascii="Times New Roman" w:hAnsi="Times New Roman" w:eastAsia="宋体" w:cs="Times New Roman"/>
                      <w:color w:val="auto"/>
                      <w:sz w:val="20"/>
                      <w:szCs w:val="20"/>
                      <w:lang w:val="en-US" w:eastAsia="zh-CN"/>
                    </w:rPr>
                    <w:t>水喷淋+静电净化</w:t>
                  </w:r>
                  <w:r>
                    <w:rPr>
                      <w:rFonts w:hint="eastAsia" w:ascii="Times New Roman" w:hAnsi="Times New Roman" w:eastAsia="宋体" w:cs="Times New Roman"/>
                      <w:color w:val="auto"/>
                      <w:sz w:val="20"/>
                      <w:szCs w:val="20"/>
                    </w:rPr>
                    <w:t>处理后有组织排放。</w:t>
                  </w:r>
                </w:p>
              </w:tc>
              <w:tc>
                <w:tcPr>
                  <w:tcW w:w="418" w:type="pct"/>
                  <w:tcBorders>
                    <w:top w:val="single" w:color="auto" w:sz="4" w:space="0"/>
                    <w:left w:val="single" w:color="auto" w:sz="4" w:space="0"/>
                    <w:bottom w:val="single" w:color="auto" w:sz="4" w:space="0"/>
                    <w:right w:val="nil"/>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5" w:type="pct"/>
                  <w:tcBorders>
                    <w:top w:val="single" w:color="auto" w:sz="4" w:space="0"/>
                    <w:left w:val="nil"/>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挥发性有机物排放应当在排污许可分类管理名录规定的时限内按照排污许可证载明的要求进行；禁止无证排污或者不按证排污。排污许可证核发机关应当根据挥发性有机物排放标准、总量控制指标、环境影响评价文件以及相关批复要求等，依法合理确定挥发性有机物的排放种类、浓度以及排放量。</w:t>
                  </w:r>
                </w:p>
              </w:tc>
              <w:tc>
                <w:tcPr>
                  <w:tcW w:w="1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本项目建成后挥发性有机物排放将在排污许可分类管理名录规定的时限内按照排污许可证载明的要求进行。</w:t>
                  </w:r>
                </w:p>
              </w:tc>
              <w:tc>
                <w:tcPr>
                  <w:tcW w:w="418" w:type="pct"/>
                  <w:tcBorders>
                    <w:top w:val="single" w:color="auto" w:sz="4" w:space="0"/>
                    <w:left w:val="single" w:color="auto" w:sz="4" w:space="0"/>
                    <w:bottom w:val="single" w:color="auto" w:sz="4" w:space="0"/>
                    <w:right w:val="nil"/>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5" w:type="pct"/>
                  <w:tcBorders>
                    <w:top w:val="single" w:color="auto" w:sz="4" w:space="0"/>
                    <w:left w:val="nil"/>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挥发性有机物排放单位应当按照有关规定和监测规范自行或者委托有关监测机构对其排放的挥发性有机物进行监测，记录、保存监测数据，并按照规定向社会公开。监测数据应当真实、可靠，保存时间不得少于3年。</w:t>
                  </w:r>
                </w:p>
              </w:tc>
              <w:tc>
                <w:tcPr>
                  <w:tcW w:w="1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本项目制定了运营期环境环境监测，委托监测机构进行例行监测，并会按照规定向社会公开。</w:t>
                  </w:r>
                </w:p>
              </w:tc>
              <w:tc>
                <w:tcPr>
                  <w:tcW w:w="418" w:type="pct"/>
                  <w:tcBorders>
                    <w:top w:val="single" w:color="auto" w:sz="4" w:space="0"/>
                    <w:left w:val="single" w:color="auto" w:sz="4" w:space="0"/>
                    <w:bottom w:val="single" w:color="auto" w:sz="4" w:space="0"/>
                    <w:right w:val="nil"/>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5" w:type="pct"/>
                  <w:tcBorders>
                    <w:top w:val="single" w:color="auto" w:sz="4" w:space="0"/>
                    <w:left w:val="nil"/>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挥发性有机物排放重点单位应当按照有关规定和监测规范安装挥发性有机物自动监测设备，与环境保护主管部门的监控系统联网，保证其正常运行和数据传输，并按照规定如实向社会公开相关数据和信息，接受社会监督。挥发性有机物排放重点单位名录由环境保护主管部门定期公布。</w:t>
                  </w:r>
                </w:p>
              </w:tc>
              <w:tc>
                <w:tcPr>
                  <w:tcW w:w="1465" w:type="pct"/>
                  <w:tcBorders>
                    <w:top w:val="single" w:color="auto" w:sz="4" w:space="0"/>
                    <w:left w:val="single" w:color="auto" w:sz="4" w:space="0"/>
                    <w:bottom w:val="single" w:color="auto" w:sz="4"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本企业不属于挥发性有机物排放重点单位。</w:t>
                  </w:r>
                </w:p>
              </w:tc>
              <w:tc>
                <w:tcPr>
                  <w:tcW w:w="418" w:type="pct"/>
                  <w:tcBorders>
                    <w:top w:val="single" w:color="auto" w:sz="4" w:space="0"/>
                    <w:left w:val="single" w:color="auto" w:sz="4" w:space="0"/>
                    <w:bottom w:val="single" w:color="auto" w:sz="4" w:space="0"/>
                    <w:right w:val="nil"/>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15" w:type="pct"/>
                  <w:tcBorders>
                    <w:top w:val="single" w:color="auto" w:sz="4" w:space="0"/>
                    <w:left w:val="nil"/>
                    <w:bottom w:val="single" w:color="auto" w:sz="12"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p>
              </w:tc>
              <w:tc>
                <w:tcPr>
                  <w:tcW w:w="1465" w:type="pct"/>
                  <w:tcBorders>
                    <w:top w:val="single" w:color="auto" w:sz="4" w:space="0"/>
                    <w:left w:val="single" w:color="auto" w:sz="4" w:space="0"/>
                    <w:bottom w:val="single" w:color="auto" w:sz="12" w:space="0"/>
                    <w:right w:val="single" w:color="auto" w:sz="4" w:space="0"/>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项目</w:t>
                  </w:r>
                  <w:r>
                    <w:rPr>
                      <w:rFonts w:hint="eastAsia" w:ascii="Times New Roman" w:hAnsi="Times New Roman" w:eastAsia="宋体" w:cs="Times New Roman"/>
                      <w:color w:val="auto"/>
                      <w:sz w:val="20"/>
                      <w:szCs w:val="20"/>
                    </w:rPr>
                    <w:t>定型</w:t>
                  </w:r>
                  <w:r>
                    <w:rPr>
                      <w:rFonts w:hint="eastAsia" w:cs="Times New Roman"/>
                      <w:color w:val="auto"/>
                      <w:sz w:val="20"/>
                      <w:szCs w:val="20"/>
                      <w:lang w:val="en-US" w:eastAsia="zh-CN"/>
                    </w:rPr>
                    <w:t>和蒸呢</w:t>
                  </w:r>
                  <w:r>
                    <w:rPr>
                      <w:rFonts w:hint="eastAsia" w:ascii="Times New Roman" w:hAnsi="Times New Roman" w:eastAsia="宋体" w:cs="Times New Roman"/>
                      <w:color w:val="auto"/>
                      <w:sz w:val="20"/>
                      <w:szCs w:val="20"/>
                    </w:rPr>
                    <w:t>废气经收集后由</w:t>
                  </w:r>
                  <w:r>
                    <w:rPr>
                      <w:rFonts w:hint="eastAsia" w:ascii="Times New Roman" w:hAnsi="Times New Roman" w:eastAsia="宋体" w:cs="Times New Roman"/>
                      <w:color w:val="auto"/>
                      <w:sz w:val="20"/>
                      <w:szCs w:val="20"/>
                      <w:lang w:val="en-US" w:eastAsia="zh-CN"/>
                    </w:rPr>
                    <w:t>水喷淋+静电净化</w:t>
                  </w:r>
                  <w:r>
                    <w:rPr>
                      <w:rFonts w:hint="eastAsia" w:ascii="Times New Roman" w:hAnsi="Times New Roman" w:eastAsia="宋体" w:cs="Times New Roman"/>
                      <w:color w:val="auto"/>
                      <w:sz w:val="20"/>
                      <w:szCs w:val="20"/>
                    </w:rPr>
                    <w:t>处理后有组织排放。</w:t>
                  </w:r>
                </w:p>
              </w:tc>
              <w:tc>
                <w:tcPr>
                  <w:tcW w:w="418" w:type="pct"/>
                  <w:tcBorders>
                    <w:top w:val="single" w:color="auto" w:sz="4" w:space="0"/>
                    <w:left w:val="single" w:color="auto" w:sz="4" w:space="0"/>
                    <w:bottom w:val="single" w:color="auto" w:sz="12" w:space="0"/>
                    <w:right w:val="nil"/>
                  </w:tcBorders>
                  <w:noWrap w:val="0"/>
                  <w:vAlign w:val="center"/>
                </w:tcPr>
                <w:p>
                  <w:pPr>
                    <w:adjustRightInd w:val="0"/>
                    <w:snapToGrid w:val="0"/>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相符</w:t>
                  </w:r>
                </w:p>
              </w:tc>
            </w:tr>
          </w:tbl>
          <w:p>
            <w:pPr>
              <w:adjustRightInd w:val="0"/>
              <w:snapToGrid w:val="0"/>
              <w:spacing w:line="360" w:lineRule="auto"/>
              <w:ind w:firstLine="420" w:firstLineChars="200"/>
              <w:rPr>
                <w:color w:val="auto"/>
                <w:szCs w:val="21"/>
              </w:rPr>
            </w:pPr>
            <w:r>
              <w:rPr>
                <w:color w:val="auto"/>
                <w:szCs w:val="21"/>
              </w:rPr>
              <w:t>由表1</w:t>
            </w:r>
            <w:r>
              <w:rPr>
                <w:rFonts w:hint="eastAsia"/>
                <w:color w:val="auto"/>
                <w:szCs w:val="21"/>
                <w:lang w:val="en-US" w:eastAsia="zh-CN"/>
              </w:rPr>
              <w:t>-8</w:t>
            </w:r>
            <w:r>
              <w:rPr>
                <w:color w:val="auto"/>
                <w:szCs w:val="21"/>
              </w:rPr>
              <w:t>可知，本项目的建设基本符合《江苏省挥发性有机物污染防治管理办法》（省政府令第119号）的相关规定。</w:t>
            </w:r>
          </w:p>
          <w:p>
            <w:pPr>
              <w:adjustRightInd w:val="0"/>
              <w:snapToGrid w:val="0"/>
              <w:spacing w:line="360" w:lineRule="auto"/>
              <w:ind w:firstLine="422" w:firstLineChars="200"/>
              <w:rPr>
                <w:b/>
                <w:bCs/>
                <w:color w:val="auto"/>
                <w:szCs w:val="21"/>
              </w:rPr>
            </w:pPr>
            <w:r>
              <w:rPr>
                <w:b/>
                <w:bCs/>
                <w:color w:val="auto"/>
                <w:szCs w:val="21"/>
              </w:rPr>
              <w:t>（</w:t>
            </w:r>
            <w:r>
              <w:rPr>
                <w:rFonts w:hint="eastAsia"/>
                <w:b/>
                <w:bCs/>
                <w:color w:val="auto"/>
                <w:szCs w:val="21"/>
              </w:rPr>
              <w:t>3</w:t>
            </w:r>
            <w:r>
              <w:rPr>
                <w:b/>
                <w:bCs/>
                <w:color w:val="auto"/>
                <w:szCs w:val="21"/>
              </w:rPr>
              <w:t>）与《关于印发&lt;重点行业挥发性有机物综合治理方案&gt;的通知》相符性</w:t>
            </w:r>
          </w:p>
          <w:p>
            <w:pPr>
              <w:adjustRightInd w:val="0"/>
              <w:snapToGrid w:val="0"/>
              <w:spacing w:line="360" w:lineRule="auto"/>
              <w:ind w:firstLine="420" w:firstLineChars="200"/>
              <w:rPr>
                <w:color w:val="auto"/>
                <w:szCs w:val="21"/>
              </w:rPr>
            </w:pPr>
            <w:r>
              <w:rPr>
                <w:color w:val="auto"/>
                <w:szCs w:val="21"/>
              </w:rPr>
              <w:t>本项目属于</w:t>
            </w:r>
            <w:r>
              <w:rPr>
                <w:rFonts w:hint="eastAsia"/>
                <w:color w:val="auto"/>
                <w:szCs w:val="21"/>
              </w:rPr>
              <w:t>C1789其他产</w:t>
            </w:r>
            <w:r>
              <w:rPr>
                <w:rFonts w:hint="eastAsia" w:ascii="Times New Roman" w:hAnsi="Times New Roman" w:eastAsia="宋体" w:cs="Times New Roman"/>
                <w:color w:val="auto"/>
                <w:szCs w:val="21"/>
              </w:rPr>
              <w:t>业用纺织制成品制造</w:t>
            </w:r>
            <w:r>
              <w:rPr>
                <w:rFonts w:ascii="Times New Roman" w:hAnsi="Times New Roman" w:eastAsia="宋体" w:cs="Times New Roman"/>
                <w:color w:val="auto"/>
                <w:szCs w:val="21"/>
              </w:rPr>
              <w:t>，本项目</w:t>
            </w:r>
            <w:r>
              <w:rPr>
                <w:rFonts w:hint="eastAsia" w:ascii="Times New Roman" w:hAnsi="Times New Roman" w:eastAsia="宋体" w:cs="Times New Roman"/>
                <w:color w:val="auto"/>
                <w:szCs w:val="21"/>
              </w:rPr>
              <w:t>定型</w:t>
            </w:r>
            <w:r>
              <w:rPr>
                <w:rFonts w:hint="eastAsia" w:cs="Times New Roman"/>
                <w:color w:val="auto"/>
                <w:szCs w:val="21"/>
                <w:lang w:val="en-US" w:eastAsia="zh-CN"/>
              </w:rPr>
              <w:t>和蒸呢</w:t>
            </w:r>
            <w:r>
              <w:rPr>
                <w:rFonts w:hint="eastAsia" w:ascii="Times New Roman" w:hAnsi="Times New Roman" w:eastAsia="宋体" w:cs="Times New Roman"/>
                <w:color w:val="auto"/>
                <w:szCs w:val="21"/>
              </w:rPr>
              <w:t>废气经收集后由</w:t>
            </w:r>
            <w:r>
              <w:rPr>
                <w:rFonts w:hint="eastAsia" w:ascii="Times New Roman" w:hAnsi="Times New Roman" w:eastAsia="宋体" w:cs="Times New Roman"/>
                <w:color w:val="auto"/>
                <w:szCs w:val="21"/>
                <w:lang w:val="en-US" w:eastAsia="zh-CN"/>
              </w:rPr>
              <w:t>水喷淋+静电净化</w:t>
            </w:r>
            <w:r>
              <w:rPr>
                <w:rFonts w:hint="eastAsia" w:ascii="Times New Roman" w:hAnsi="Times New Roman" w:eastAsia="宋体" w:cs="Times New Roman"/>
                <w:color w:val="auto"/>
                <w:szCs w:val="21"/>
              </w:rPr>
              <w:t>处理后有</w:t>
            </w:r>
            <w:r>
              <w:rPr>
                <w:rFonts w:hint="eastAsia"/>
                <w:color w:val="auto"/>
                <w:szCs w:val="21"/>
              </w:rPr>
              <w:t>组织排放</w:t>
            </w:r>
            <w:r>
              <w:rPr>
                <w:color w:val="auto"/>
                <w:szCs w:val="21"/>
              </w:rPr>
              <w:t>。同时加强企业的日常运行管理</w:t>
            </w:r>
            <w:r>
              <w:rPr>
                <w:rFonts w:hint="eastAsia"/>
                <w:color w:val="auto"/>
                <w:szCs w:val="21"/>
                <w:lang w:eastAsia="zh-CN"/>
              </w:rPr>
              <w:t>，</w:t>
            </w:r>
            <w:r>
              <w:rPr>
                <w:color w:val="auto"/>
                <w:szCs w:val="21"/>
              </w:rPr>
              <w:t>符合《关于印发&lt;重点行业挥发性有机物综合治理方案&gt;的通知》（环大气[2019]53号）要求。</w:t>
            </w:r>
          </w:p>
          <w:p>
            <w:pPr>
              <w:adjustRightInd w:val="0"/>
              <w:snapToGrid w:val="0"/>
              <w:spacing w:line="360" w:lineRule="auto"/>
              <w:ind w:firstLine="422" w:firstLineChars="200"/>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b/>
                <w:bCs/>
                <w:color w:val="FF0000"/>
                <w:szCs w:val="21"/>
                <w:lang w:eastAsia="zh-CN"/>
              </w:rPr>
              <w:t>（</w:t>
            </w:r>
            <w:r>
              <w:rPr>
                <w:rFonts w:hint="eastAsia" w:ascii="Times New Roman" w:hAnsi="Times New Roman" w:eastAsia="宋体" w:cs="Times New Roman"/>
                <w:b/>
                <w:bCs/>
                <w:color w:val="FF0000"/>
                <w:szCs w:val="21"/>
                <w:lang w:val="en-US" w:eastAsia="zh-CN"/>
              </w:rPr>
              <w:t>4）与</w:t>
            </w:r>
            <w:r>
              <w:rPr>
                <w:rFonts w:ascii="Times New Roman" w:hAnsi="Times New Roman" w:eastAsia="宋体" w:cs="Times New Roman"/>
                <w:b/>
                <w:bCs/>
                <w:color w:val="FF0000"/>
                <w:szCs w:val="21"/>
              </w:rPr>
              <w:t>《2020年挥发性有机物治理攻坚方案》（环大气</w:t>
            </w:r>
            <w:r>
              <w:rPr>
                <w:rFonts w:hint="eastAsia" w:ascii="Times New Roman" w:hAnsi="Times New Roman" w:eastAsia="宋体" w:cs="Times New Roman"/>
                <w:b/>
                <w:bCs/>
                <w:color w:val="FF0000"/>
                <w:szCs w:val="21"/>
              </w:rPr>
              <w:t>〔2020〕33号</w:t>
            </w:r>
            <w:r>
              <w:rPr>
                <w:rFonts w:ascii="Times New Roman" w:hAnsi="Times New Roman" w:eastAsia="宋体" w:cs="Times New Roman"/>
                <w:b/>
                <w:bCs/>
                <w:color w:val="FF0000"/>
                <w:szCs w:val="21"/>
              </w:rPr>
              <w:t>）</w:t>
            </w:r>
            <w:r>
              <w:rPr>
                <w:rFonts w:hint="eastAsia" w:ascii="Times New Roman" w:hAnsi="Times New Roman" w:eastAsia="宋体" w:cs="Times New Roman"/>
                <w:b/>
                <w:bCs/>
                <w:color w:val="FF0000"/>
                <w:szCs w:val="21"/>
                <w:lang w:val="en-US" w:eastAsia="zh-CN"/>
              </w:rPr>
              <w:t>相符性分析</w:t>
            </w:r>
          </w:p>
          <w:p>
            <w:pPr>
              <w:adjustRightInd w:val="0"/>
              <w:snapToGrid w:val="0"/>
              <w:spacing w:line="360" w:lineRule="auto"/>
              <w:ind w:firstLine="420" w:firstLineChars="200"/>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对照</w:t>
            </w:r>
            <w:r>
              <w:rPr>
                <w:rFonts w:ascii="Times New Roman" w:hAnsi="Times New Roman" w:eastAsia="宋体" w:cs="Times New Roman"/>
                <w:color w:val="FF0000"/>
                <w:szCs w:val="21"/>
              </w:rPr>
              <w:t>环大气</w:t>
            </w:r>
            <w:r>
              <w:rPr>
                <w:rFonts w:hint="eastAsia" w:ascii="Times New Roman" w:hAnsi="Times New Roman" w:eastAsia="宋体" w:cs="Times New Roman"/>
                <w:color w:val="FF0000"/>
                <w:szCs w:val="21"/>
              </w:rPr>
              <w:t>〔2020〕33号</w:t>
            </w:r>
            <w:r>
              <w:rPr>
                <w:rFonts w:hint="eastAsia" w:ascii="Times New Roman" w:hAnsi="Times New Roman" w:eastAsia="宋体" w:cs="Times New Roman"/>
                <w:color w:val="FF0000"/>
                <w:szCs w:val="21"/>
                <w:lang w:val="en-US" w:eastAsia="zh-CN"/>
              </w:rPr>
              <w:t>文：</w:t>
            </w:r>
            <w:r>
              <w:rPr>
                <w:rFonts w:ascii="Times New Roman" w:hAnsi="Times New Roman" w:eastAsia="宋体" w:cs="Times New Roman"/>
                <w:color w:val="FF0000"/>
                <w:szCs w:val="21"/>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采用符合国家有关低VOCs含量产品规定的涂料、油墨、胶粘剂等，排放浓度稳定达标且排放速率满足相关规定的，相应生产工序可不要求建设末端治理设施。使用的原辅材料VOCs含量(质量比)均低于10%的工序，可不要求采取无组织排放收集和处理措施。推进政府绿色采购，要求家具、印刷等政府定点招标采购企业优先使用低挥发性原辅材料，鼓励汽车维修等政府定点招标采购企业使用低挥发性原辅材料；将低VOCs含量产品纳入政府采购名录，并在政府投资项目中优先使用；引导将使用低VOCs含量涂料、胶粘剂等纳入政府采购装修合同环保条款。</w:t>
            </w:r>
          </w:p>
          <w:p>
            <w:pPr>
              <w:adjustRightInd w:val="0"/>
              <w:snapToGrid w:val="0"/>
              <w:spacing w:line="360" w:lineRule="auto"/>
              <w:ind w:firstLine="420" w:firstLineChars="200"/>
              <w:rPr>
                <w:b/>
                <w:bCs/>
                <w:color w:val="FF0000"/>
                <w:szCs w:val="21"/>
              </w:rPr>
            </w:pPr>
            <w:r>
              <w:rPr>
                <w:rFonts w:ascii="Times New Roman" w:cs="Times New Roman"/>
                <w:b w:val="0"/>
                <w:bCs/>
                <w:color w:val="FF0000"/>
                <w:sz w:val="21"/>
                <w:szCs w:val="21"/>
              </w:rPr>
              <w:t>本项目</w:t>
            </w:r>
            <w:r>
              <w:rPr>
                <w:rFonts w:hint="eastAsia" w:ascii="Times New Roman" w:cs="Times New Roman"/>
                <w:b w:val="0"/>
                <w:bCs/>
                <w:color w:val="FF0000"/>
                <w:sz w:val="21"/>
                <w:szCs w:val="21"/>
              </w:rPr>
              <w:t>不涉及溶剂型涂料，本项目产生的有机废气经</w:t>
            </w:r>
            <w:r>
              <w:rPr>
                <w:rFonts w:hint="eastAsia"/>
                <w:color w:val="FF0000"/>
                <w:szCs w:val="21"/>
                <w:lang w:val="en-US" w:eastAsia="zh-CN"/>
              </w:rPr>
              <w:t>水喷淋+</w:t>
            </w:r>
            <w:r>
              <w:rPr>
                <w:rFonts w:hint="eastAsia"/>
                <w:color w:val="FF0000"/>
                <w:szCs w:val="21"/>
                <w:lang w:eastAsia="zh-CN"/>
              </w:rPr>
              <w:t>静电净化</w:t>
            </w:r>
            <w:r>
              <w:rPr>
                <w:rFonts w:hint="eastAsia"/>
                <w:color w:val="FF0000"/>
                <w:szCs w:val="21"/>
              </w:rPr>
              <w:t>处理</w:t>
            </w:r>
            <w:r>
              <w:rPr>
                <w:rFonts w:hint="eastAsia" w:ascii="Times New Roman" w:cs="Times New Roman"/>
                <w:b w:val="0"/>
                <w:bCs/>
                <w:color w:val="FF0000"/>
                <w:sz w:val="21"/>
                <w:szCs w:val="21"/>
              </w:rPr>
              <w:t>后可达标排放</w:t>
            </w:r>
            <w:r>
              <w:rPr>
                <w:rFonts w:ascii="Times New Roman" w:cs="Times New Roman"/>
                <w:b w:val="0"/>
                <w:bCs/>
                <w:color w:val="FF0000"/>
                <w:sz w:val="21"/>
                <w:szCs w:val="21"/>
              </w:rPr>
              <w:t>。</w:t>
            </w:r>
          </w:p>
          <w:p>
            <w:pPr>
              <w:adjustRightInd w:val="0"/>
              <w:snapToGrid w:val="0"/>
              <w:spacing w:line="360" w:lineRule="auto"/>
              <w:ind w:firstLine="422" w:firstLineChars="200"/>
              <w:rPr>
                <w:rFonts w:hint="default" w:ascii="Times New Roman" w:hAnsi="Times New Roman" w:eastAsia="宋体" w:cs="Times New Roman"/>
                <w:b/>
                <w:color w:val="FF0000"/>
                <w:szCs w:val="21"/>
                <w:highlight w:val="none"/>
                <w:lang w:val="en-US" w:eastAsia="zh-CN"/>
              </w:rPr>
            </w:pPr>
            <w:r>
              <w:rPr>
                <w:rFonts w:hint="eastAsia" w:ascii="Times New Roman" w:hAnsi="Times New Roman" w:eastAsia="宋体" w:cs="Times New Roman"/>
                <w:b/>
                <w:color w:val="FF0000"/>
                <w:szCs w:val="21"/>
                <w:highlight w:val="none"/>
                <w:lang w:eastAsia="zh-CN"/>
              </w:rPr>
              <w:t>（</w:t>
            </w:r>
            <w:r>
              <w:rPr>
                <w:rFonts w:hint="eastAsia" w:ascii="Times New Roman" w:hAnsi="Times New Roman" w:eastAsia="宋体" w:cs="Times New Roman"/>
                <w:b/>
                <w:color w:val="FF0000"/>
                <w:szCs w:val="21"/>
                <w:highlight w:val="none"/>
                <w:lang w:val="en-US" w:eastAsia="zh-CN"/>
              </w:rPr>
              <w:t>5）与</w:t>
            </w:r>
            <w:r>
              <w:rPr>
                <w:rFonts w:hint="eastAsia" w:ascii="Times New Roman" w:hAnsi="Times New Roman" w:eastAsia="宋体" w:cs="Times New Roman"/>
                <w:b/>
                <w:color w:val="FF0000"/>
                <w:szCs w:val="21"/>
                <w:highlight w:val="none"/>
              </w:rPr>
              <w:t>《关于印发南通市2020年重点行业挥发性有机物综合治理方案的通知》（通大气办〔2020〕5号）</w:t>
            </w:r>
            <w:r>
              <w:rPr>
                <w:rFonts w:hint="eastAsia" w:ascii="Times New Roman" w:hAnsi="Times New Roman" w:eastAsia="宋体" w:cs="Times New Roman"/>
                <w:b/>
                <w:color w:val="FF0000"/>
                <w:szCs w:val="21"/>
                <w:highlight w:val="none"/>
                <w:lang w:val="en-US" w:eastAsia="zh-CN"/>
              </w:rPr>
              <w:t>相符性分析</w:t>
            </w:r>
          </w:p>
          <w:p>
            <w:pPr>
              <w:adjustRightInd w:val="0"/>
              <w:snapToGrid w:val="0"/>
              <w:spacing w:line="360" w:lineRule="auto"/>
              <w:ind w:firstLine="420" w:firstLineChars="200"/>
              <w:rPr>
                <w:rFonts w:hint="eastAsia" w:ascii="Times New Roman"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对照通大气办〔2020〕5号文：</w:t>
            </w:r>
            <w:r>
              <w:rPr>
                <w:rFonts w:hint="eastAsia" w:ascii="Times New Roman" w:cs="Times New Roman"/>
                <w:b w:val="0"/>
                <w:bCs/>
                <w:color w:val="FF0000"/>
                <w:sz w:val="21"/>
                <w:szCs w:val="21"/>
                <w:lang w:val="en-US" w:eastAsia="zh-CN"/>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保留更换记录，废旧活性炭应再生或处理处置。</w:t>
            </w:r>
          </w:p>
          <w:p>
            <w:pPr>
              <w:adjustRightInd w:val="0"/>
              <w:snapToGrid w:val="0"/>
              <w:spacing w:line="360" w:lineRule="auto"/>
              <w:ind w:firstLine="420" w:firstLineChars="200"/>
              <w:rPr>
                <w:rFonts w:hint="eastAsia" w:ascii="Times New Roman" w:cs="Times New Roman"/>
                <w:b w:val="0"/>
                <w:bCs/>
                <w:color w:val="auto"/>
                <w:sz w:val="21"/>
                <w:szCs w:val="21"/>
                <w:lang w:val="en-US" w:eastAsia="zh-CN"/>
              </w:rPr>
            </w:pPr>
            <w:r>
              <w:rPr>
                <w:rFonts w:hint="eastAsia" w:ascii="Times New Roman" w:cs="Times New Roman"/>
                <w:b w:val="0"/>
                <w:bCs/>
                <w:color w:val="FF0000"/>
                <w:sz w:val="21"/>
                <w:szCs w:val="21"/>
              </w:rPr>
              <w:t>本项目</w:t>
            </w:r>
            <w:r>
              <w:rPr>
                <w:rFonts w:hint="eastAsia" w:ascii="Times New Roman" w:cs="Times New Roman"/>
                <w:b w:val="0"/>
                <w:bCs/>
                <w:color w:val="FF0000"/>
                <w:sz w:val="21"/>
                <w:szCs w:val="21"/>
                <w:lang w:val="en-US" w:eastAsia="zh-CN"/>
              </w:rPr>
              <w:t>定型和蒸呢</w:t>
            </w:r>
            <w:r>
              <w:rPr>
                <w:rFonts w:hint="eastAsia" w:ascii="Times New Roman" w:cs="Times New Roman"/>
                <w:b w:val="0"/>
                <w:bCs/>
                <w:color w:val="FF0000"/>
                <w:sz w:val="21"/>
                <w:szCs w:val="21"/>
              </w:rPr>
              <w:t>产生的有机废气经</w:t>
            </w:r>
            <w:r>
              <w:rPr>
                <w:rFonts w:hint="eastAsia"/>
                <w:color w:val="FF0000"/>
                <w:szCs w:val="21"/>
                <w:lang w:val="en-US" w:eastAsia="zh-CN"/>
              </w:rPr>
              <w:t>水喷淋+</w:t>
            </w:r>
            <w:r>
              <w:rPr>
                <w:rFonts w:hint="eastAsia"/>
                <w:color w:val="FF0000"/>
                <w:szCs w:val="21"/>
                <w:lang w:eastAsia="zh-CN"/>
              </w:rPr>
              <w:t>静电净化</w:t>
            </w:r>
            <w:r>
              <w:rPr>
                <w:rFonts w:hint="eastAsia" w:ascii="Times New Roman" w:cs="Times New Roman"/>
                <w:b w:val="0"/>
                <w:bCs/>
                <w:color w:val="FF0000"/>
                <w:sz w:val="21"/>
                <w:szCs w:val="21"/>
                <w:lang w:val="en-US" w:eastAsia="zh-CN"/>
              </w:rPr>
              <w:t>组合工艺</w:t>
            </w:r>
            <w:r>
              <w:rPr>
                <w:rFonts w:hint="eastAsia"/>
                <w:color w:val="FF0000"/>
                <w:szCs w:val="21"/>
              </w:rPr>
              <w:t>处理</w:t>
            </w:r>
            <w:r>
              <w:rPr>
                <w:rFonts w:hint="eastAsia" w:ascii="Times New Roman" w:cs="Times New Roman"/>
                <w:b w:val="0"/>
                <w:bCs/>
                <w:color w:val="FF0000"/>
                <w:sz w:val="21"/>
                <w:szCs w:val="21"/>
              </w:rPr>
              <w:t>后可达标排放</w:t>
            </w:r>
            <w:r>
              <w:rPr>
                <w:rFonts w:hint="eastAsia" w:ascii="Times New Roman" w:cs="Times New Roman"/>
                <w:b w:val="0"/>
                <w:bCs/>
                <w:color w:val="FF0000"/>
                <w:sz w:val="21"/>
                <w:szCs w:val="21"/>
                <w:lang w:eastAsia="zh-CN"/>
              </w:rPr>
              <w:t>，</w:t>
            </w:r>
            <w:r>
              <w:rPr>
                <w:rFonts w:hint="eastAsia" w:ascii="Times New Roman" w:cs="Times New Roman"/>
                <w:b w:val="0"/>
                <w:bCs/>
                <w:color w:val="FF0000"/>
                <w:sz w:val="21"/>
                <w:szCs w:val="21"/>
                <w:lang w:val="en-US" w:eastAsia="zh-CN"/>
              </w:rPr>
              <w:t>VOCs去除效率可达80%</w:t>
            </w:r>
            <w:r>
              <w:rPr>
                <w:rFonts w:ascii="Times New Roman" w:cs="Times New Roman"/>
                <w:b w:val="0"/>
                <w:bCs/>
                <w:color w:val="FF0000"/>
                <w:sz w:val="21"/>
                <w:szCs w:val="21"/>
              </w:rPr>
              <w:t>。</w:t>
            </w:r>
          </w:p>
          <w:p>
            <w:pPr>
              <w:adjustRightInd w:val="0"/>
              <w:snapToGrid w:val="0"/>
              <w:spacing w:line="360" w:lineRule="auto"/>
              <w:ind w:firstLine="422" w:firstLineChars="200"/>
              <w:rPr>
                <w:rFonts w:ascii="Times New Roman" w:hAnsi="Times New Roman" w:eastAsia="宋体" w:cs="Times New Roman"/>
                <w:b/>
                <w:bCs/>
                <w:color w:val="FF0000"/>
                <w:szCs w:val="21"/>
              </w:rPr>
            </w:pPr>
            <w:r>
              <w:rPr>
                <w:rFonts w:hint="eastAsia" w:ascii="Times New Roman" w:hAnsi="Times New Roman" w:eastAsia="宋体" w:cs="Times New Roman"/>
                <w:b/>
                <w:bCs/>
                <w:color w:val="FF0000"/>
                <w:szCs w:val="21"/>
                <w:lang w:eastAsia="zh-CN"/>
              </w:rPr>
              <w:t>（</w:t>
            </w:r>
            <w:r>
              <w:rPr>
                <w:rFonts w:hint="eastAsia" w:ascii="Times New Roman" w:hAnsi="Times New Roman" w:eastAsia="宋体" w:cs="Times New Roman"/>
                <w:b/>
                <w:bCs/>
                <w:color w:val="FF0000"/>
                <w:szCs w:val="21"/>
                <w:lang w:val="en-US" w:eastAsia="zh-CN"/>
              </w:rPr>
              <w:t>6</w:t>
            </w:r>
            <w:r>
              <w:rPr>
                <w:rFonts w:hint="eastAsia" w:ascii="Times New Roman" w:hAnsi="Times New Roman" w:eastAsia="宋体" w:cs="Times New Roman"/>
                <w:b/>
                <w:bCs/>
                <w:color w:val="FF0000"/>
                <w:szCs w:val="21"/>
                <w:lang w:eastAsia="zh-CN"/>
              </w:rPr>
              <w:t>）</w:t>
            </w:r>
            <w:r>
              <w:rPr>
                <w:rFonts w:hint="eastAsia" w:ascii="Times New Roman" w:hAnsi="Times New Roman" w:eastAsia="宋体" w:cs="Times New Roman"/>
                <w:b/>
                <w:bCs/>
                <w:color w:val="FF0000"/>
                <w:szCs w:val="21"/>
              </w:rPr>
              <w:t>与关于印发《关于做好建设项目挥发性有机物排放管理工作的意见(试行)》的通知（通环办[2025]32号）相符性分析</w:t>
            </w:r>
          </w:p>
          <w:p>
            <w:pPr>
              <w:adjustRightInd w:val="0"/>
              <w:snapToGrid w:val="0"/>
              <w:spacing w:line="360" w:lineRule="auto"/>
              <w:ind w:firstLine="420" w:firstLineChars="200"/>
              <w:rPr>
                <w:rFonts w:hint="eastAsia" w:ascii="Times New Roman" w:hAnsi="Times New Roman" w:eastAsia="宋体" w:cs="Times New Roman"/>
                <w:b w:val="0"/>
                <w:bCs/>
                <w:color w:val="FF0000"/>
                <w:sz w:val="21"/>
                <w:szCs w:val="21"/>
                <w:lang w:val="en-US" w:eastAsia="zh-CN"/>
              </w:rPr>
            </w:pPr>
            <w:r>
              <w:rPr>
                <w:rFonts w:hint="eastAsia" w:ascii="Times New Roman" w:hAnsi="Times New Roman" w:eastAsia="宋体" w:cs="Times New Roman"/>
                <w:b w:val="0"/>
                <w:bCs/>
                <w:color w:val="FF0000"/>
                <w:sz w:val="21"/>
                <w:szCs w:val="21"/>
                <w:lang w:val="en-US" w:eastAsia="zh-CN"/>
              </w:rPr>
              <w:t>根据关于印发《关于做好建设项目挥发性有机物排放管理工作的意见(试行)》的通知（通环办[2025]32号）：(三)拓展 VOCs减排路径。持续推进含 VOCs 原辅材料源头替代，开展虚假“油改水”专项清理；参照《南通市重点行业挥发性有机物综合治理技术指南》等文件要求，大力推进VOCs末端治理技术提标升级，确保淘汰类VOCs治理设施整改到位；深挖船舶海工、石化、纺织印染等重点行业无组织减排潜力，释放绿色发展空间，协同推动区域高质量发展。</w:t>
            </w:r>
          </w:p>
          <w:p>
            <w:pPr>
              <w:adjustRightInd w:val="0"/>
              <w:snapToGrid w:val="0"/>
              <w:spacing w:line="360" w:lineRule="auto"/>
              <w:ind w:firstLine="420" w:firstLineChars="200"/>
              <w:rPr>
                <w:b/>
                <w:bCs/>
                <w:color w:val="auto"/>
                <w:szCs w:val="21"/>
              </w:rPr>
            </w:pPr>
            <w:r>
              <w:rPr>
                <w:rFonts w:hint="eastAsia" w:ascii="Times New Roman" w:hAnsi="Times New Roman" w:eastAsia="宋体" w:cs="Times New Roman"/>
                <w:b w:val="0"/>
                <w:bCs/>
                <w:color w:val="FF0000"/>
                <w:sz w:val="21"/>
                <w:szCs w:val="21"/>
                <w:lang w:val="en-US" w:eastAsia="zh-CN"/>
              </w:rPr>
              <w:t>本定型和蒸呢工序产生非甲烷总烃，经设备密闭收集（收集率95%）后经水喷淋+静电净化装置处理，尾气通过15m排气筒排放，故本项目符合《关于做好建设项目挥发性有机物排放管理工作的意见(试行)》的通知（通环办[2025]32号）相关要求。</w:t>
            </w:r>
          </w:p>
          <w:p>
            <w:pPr>
              <w:adjustRightInd w:val="0"/>
              <w:snapToGrid w:val="0"/>
              <w:spacing w:line="360" w:lineRule="auto"/>
              <w:ind w:firstLine="422" w:firstLineChars="200"/>
              <w:rPr>
                <w:b/>
                <w:color w:val="auto"/>
                <w:szCs w:val="21"/>
                <w:highlight w:val="none"/>
              </w:rPr>
            </w:pPr>
            <w:r>
              <w:rPr>
                <w:b/>
                <w:bCs/>
                <w:color w:val="auto"/>
                <w:szCs w:val="21"/>
              </w:rPr>
              <w:t>（</w:t>
            </w:r>
            <w:r>
              <w:rPr>
                <w:rFonts w:hint="eastAsia"/>
                <w:b/>
                <w:bCs/>
                <w:color w:val="auto"/>
                <w:szCs w:val="21"/>
                <w:lang w:val="en-US" w:eastAsia="zh-CN"/>
              </w:rPr>
              <w:t>7</w:t>
            </w:r>
            <w:r>
              <w:rPr>
                <w:b/>
                <w:bCs/>
                <w:color w:val="auto"/>
                <w:szCs w:val="21"/>
              </w:rPr>
              <w:t>）</w:t>
            </w:r>
            <w:r>
              <w:rPr>
                <w:b/>
                <w:color w:val="auto"/>
                <w:szCs w:val="21"/>
                <w:highlight w:val="none"/>
              </w:rPr>
              <w:t>与《关于做好生态环境和应急管理部门联动工作的意见》（苏环办[2020]101号）相符性分析</w:t>
            </w:r>
          </w:p>
          <w:p>
            <w:pPr>
              <w:adjustRightInd w:val="0"/>
              <w:snapToGrid w:val="0"/>
              <w:spacing w:line="360" w:lineRule="auto"/>
              <w:ind w:firstLine="420" w:firstLineChars="200"/>
              <w:rPr>
                <w:rFonts w:ascii="Times New Roman" w:hAnsi="宋体" w:eastAsia="宋体"/>
                <w:b/>
                <w:bCs/>
                <w:color w:val="auto"/>
                <w:sz w:val="21"/>
                <w:szCs w:val="21"/>
                <w:highlight w:val="none"/>
              </w:rPr>
            </w:pPr>
            <w:r>
              <w:rPr>
                <w:szCs w:val="21"/>
              </w:rPr>
              <w:t>对照《关于做好生态环境和应急管理部门联动工作的意见》（苏环办[2020]101号）“企业要对脱硫脱硝、煤改气、挥发性有机物回收、污水处理、粉尘治理、RTO焚烧炉等六类环境治理设施开展安全风险辨识管控，要健全内部污染防治设施稳定运行和管理责任制度，严格依据标准规范建设环境治理设施，确保环境治理设施安全、稳定、有效运行”要求，经排查，本项目涉及的环境治理设施主要为</w:t>
            </w:r>
            <w:r>
              <w:rPr>
                <w:rFonts w:hint="eastAsia"/>
                <w:szCs w:val="21"/>
              </w:rPr>
              <w:t>粉尘、</w:t>
            </w:r>
            <w:r>
              <w:rPr>
                <w:szCs w:val="21"/>
              </w:rPr>
              <w:t>有机废气</w:t>
            </w:r>
            <w:r>
              <w:rPr>
                <w:rFonts w:hint="eastAsia"/>
                <w:szCs w:val="21"/>
              </w:rPr>
              <w:t>及氮氧化物治理</w:t>
            </w:r>
            <w:r>
              <w:rPr>
                <w:szCs w:val="21"/>
              </w:rPr>
              <w:t>，存在的安全风险主要为</w:t>
            </w:r>
            <w:r>
              <w:rPr>
                <w:rFonts w:hint="eastAsia"/>
                <w:szCs w:val="21"/>
              </w:rPr>
              <w:t>静电净化设备、</w:t>
            </w:r>
            <w:r>
              <w:rPr>
                <w:rFonts w:hint="eastAsia"/>
                <w:color w:val="auto"/>
                <w:kern w:val="2"/>
                <w:sz w:val="21"/>
                <w:szCs w:val="21"/>
                <w:lang w:val="en-US" w:eastAsia="zh-CN"/>
              </w:rPr>
              <w:t>低氮燃烧+SNCR+</w:t>
            </w:r>
            <w:r>
              <w:rPr>
                <w:rFonts w:hint="eastAsia" w:cs="Times New Roman"/>
                <w:snapToGrid w:val="0"/>
                <w:kern w:val="0"/>
                <w:sz w:val="20"/>
                <w:szCs w:val="22"/>
                <w:lang w:val="en-US" w:eastAsia="zh-CN"/>
              </w:rPr>
              <w:t>石灰喷雾干燥+</w:t>
            </w:r>
            <w:r>
              <w:rPr>
                <w:rFonts w:hint="eastAsia"/>
                <w:color w:val="auto"/>
                <w:kern w:val="2"/>
                <w:sz w:val="21"/>
                <w:szCs w:val="21"/>
                <w:lang w:val="en-US" w:eastAsia="zh-CN"/>
              </w:rPr>
              <w:t>余热回收+旋风除尘+布袋除尘+水幕除尘</w:t>
            </w:r>
            <w:r>
              <w:rPr>
                <w:rFonts w:hint="eastAsia"/>
                <w:szCs w:val="21"/>
              </w:rPr>
              <w:t>设备火灾爆炸等</w:t>
            </w:r>
            <w:r>
              <w:rPr>
                <w:szCs w:val="21"/>
              </w:rPr>
              <w:t>隐患，具体如表1-</w:t>
            </w:r>
            <w:r>
              <w:rPr>
                <w:rFonts w:hint="eastAsia"/>
                <w:szCs w:val="21"/>
                <w:lang w:val="en-US" w:eastAsia="zh-CN"/>
              </w:rPr>
              <w:t>10</w:t>
            </w:r>
            <w:r>
              <w:rPr>
                <w:szCs w:val="21"/>
              </w:rPr>
              <w:t>。</w:t>
            </w:r>
          </w:p>
          <w:p>
            <w:pPr>
              <w:pStyle w:val="24"/>
              <w:tabs>
                <w:tab w:val="left" w:pos="1280"/>
              </w:tabs>
              <w:adjustRightInd w:val="0"/>
              <w:snapToGrid w:val="0"/>
              <w:spacing w:line="240" w:lineRule="auto"/>
              <w:ind w:firstLine="422"/>
              <w:jc w:val="center"/>
              <w:rPr>
                <w:rFonts w:ascii="Times New Roman" w:hAnsi="Times New Roman" w:eastAsia="宋体"/>
                <w:b/>
                <w:bCs/>
                <w:color w:val="auto"/>
                <w:sz w:val="21"/>
                <w:szCs w:val="21"/>
                <w:highlight w:val="none"/>
              </w:rPr>
            </w:pPr>
            <w:r>
              <w:rPr>
                <w:rFonts w:ascii="Times New Roman" w:hAnsi="宋体" w:eastAsia="宋体"/>
                <w:b/>
                <w:bCs/>
                <w:color w:val="auto"/>
                <w:sz w:val="21"/>
                <w:szCs w:val="21"/>
                <w:highlight w:val="none"/>
              </w:rPr>
              <w:t>表</w:t>
            </w:r>
            <w:r>
              <w:rPr>
                <w:rFonts w:ascii="Times New Roman" w:hAnsi="Times New Roman" w:eastAsia="宋体"/>
                <w:b/>
                <w:bCs/>
                <w:color w:val="auto"/>
                <w:sz w:val="21"/>
                <w:szCs w:val="21"/>
                <w:highlight w:val="none"/>
              </w:rPr>
              <w:t>1-</w:t>
            </w:r>
            <w:r>
              <w:rPr>
                <w:rFonts w:hint="eastAsia" w:ascii="Times New Roman" w:hAnsi="Times New Roman" w:eastAsia="宋体"/>
                <w:b/>
                <w:bCs/>
                <w:color w:val="auto"/>
                <w:sz w:val="21"/>
                <w:szCs w:val="21"/>
                <w:highlight w:val="none"/>
                <w:lang w:val="en-US" w:eastAsia="zh-CN"/>
              </w:rPr>
              <w:t>10</w:t>
            </w:r>
            <w:r>
              <w:rPr>
                <w:rFonts w:ascii="Times New Roman" w:hAnsi="Times New Roman" w:eastAsia="宋体"/>
                <w:b/>
                <w:bCs/>
                <w:color w:val="auto"/>
                <w:sz w:val="21"/>
                <w:szCs w:val="21"/>
                <w:highlight w:val="none"/>
              </w:rPr>
              <w:t xml:space="preserve">  </w:t>
            </w:r>
            <w:r>
              <w:rPr>
                <w:rFonts w:ascii="Times New Roman" w:hAnsi="宋体" w:eastAsia="宋体"/>
                <w:b/>
                <w:bCs/>
                <w:color w:val="auto"/>
                <w:sz w:val="21"/>
                <w:szCs w:val="21"/>
                <w:highlight w:val="none"/>
              </w:rPr>
              <w:t>安全风险辨识表</w:t>
            </w:r>
          </w:p>
          <w:tbl>
            <w:tblPr>
              <w:tblStyle w:val="90"/>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57" w:type="dxa"/>
                <w:bottom w:w="0" w:type="dxa"/>
                <w:right w:w="57" w:type="dxa"/>
              </w:tblCellMar>
            </w:tblPr>
            <w:tblGrid>
              <w:gridCol w:w="675"/>
              <w:gridCol w:w="1665"/>
              <w:gridCol w:w="2315"/>
              <w:gridCol w:w="1922"/>
              <w:gridCol w:w="168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b/>
                      <w:bCs/>
                      <w:i w:val="0"/>
                      <w:iCs w:val="0"/>
                      <w:color w:val="auto"/>
                      <w:kern w:val="0"/>
                      <w:sz w:val="18"/>
                      <w:szCs w:val="18"/>
                      <w:highlight w:val="none"/>
                      <w:lang w:val="en-US" w:eastAsia="zh-CN" w:bidi="ar-SA"/>
                    </w:rPr>
                  </w:pPr>
                  <w:r>
                    <w:rPr>
                      <w:rFonts w:ascii="Times New Roman" w:hAnsi="Times New Roman" w:eastAsia="宋体" w:cs="Times New Roman"/>
                      <w:b/>
                      <w:bCs/>
                      <w:i w:val="0"/>
                      <w:iCs w:val="0"/>
                      <w:color w:val="auto"/>
                      <w:kern w:val="0"/>
                      <w:sz w:val="18"/>
                      <w:szCs w:val="18"/>
                      <w:highlight w:val="none"/>
                      <w:lang w:val="en-US" w:eastAsia="zh-CN" w:bidi="ar-SA"/>
                    </w:rPr>
                    <w:t>序号</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b/>
                      <w:bCs/>
                      <w:i w:val="0"/>
                      <w:iCs w:val="0"/>
                      <w:color w:val="auto"/>
                      <w:kern w:val="0"/>
                      <w:sz w:val="18"/>
                      <w:szCs w:val="18"/>
                      <w:highlight w:val="none"/>
                      <w:lang w:val="en-US" w:eastAsia="zh-CN" w:bidi="ar-SA"/>
                    </w:rPr>
                  </w:pPr>
                  <w:r>
                    <w:rPr>
                      <w:rFonts w:ascii="Times New Roman" w:hAnsi="Times New Roman" w:eastAsia="宋体" w:cs="Times New Roman"/>
                      <w:b/>
                      <w:bCs/>
                      <w:i w:val="0"/>
                      <w:iCs w:val="0"/>
                      <w:color w:val="auto"/>
                      <w:kern w:val="0"/>
                      <w:sz w:val="18"/>
                      <w:szCs w:val="18"/>
                      <w:highlight w:val="none"/>
                      <w:lang w:val="en-US" w:eastAsia="zh-CN" w:bidi="ar-SA"/>
                    </w:rPr>
                    <w:t>环境治理设施</w:t>
                  </w:r>
                </w:p>
              </w:tc>
              <w:tc>
                <w:tcPr>
                  <w:tcW w:w="1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b/>
                      <w:bCs/>
                      <w:i w:val="0"/>
                      <w:iCs w:val="0"/>
                      <w:color w:val="auto"/>
                      <w:kern w:val="0"/>
                      <w:sz w:val="18"/>
                      <w:szCs w:val="18"/>
                      <w:highlight w:val="none"/>
                      <w:lang w:val="en-US" w:eastAsia="zh-CN" w:bidi="ar-SA"/>
                    </w:rPr>
                  </w:pPr>
                  <w:r>
                    <w:rPr>
                      <w:rFonts w:ascii="Times New Roman" w:hAnsi="Times New Roman" w:eastAsia="宋体" w:cs="Times New Roman"/>
                      <w:b/>
                      <w:bCs/>
                      <w:i w:val="0"/>
                      <w:iCs w:val="0"/>
                      <w:color w:val="auto"/>
                      <w:kern w:val="0"/>
                      <w:sz w:val="18"/>
                      <w:szCs w:val="18"/>
                      <w:highlight w:val="none"/>
                      <w:lang w:val="en-US" w:eastAsia="zh-CN" w:bidi="ar-SA"/>
                    </w:rPr>
                    <w:t>本项目涉及的设施</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b/>
                      <w:bCs/>
                      <w:i w:val="0"/>
                      <w:iCs w:val="0"/>
                      <w:color w:val="auto"/>
                      <w:kern w:val="0"/>
                      <w:sz w:val="18"/>
                      <w:szCs w:val="18"/>
                      <w:highlight w:val="none"/>
                      <w:lang w:val="en-US" w:eastAsia="zh-CN" w:bidi="ar-SA"/>
                    </w:rPr>
                  </w:pPr>
                  <w:r>
                    <w:rPr>
                      <w:rFonts w:ascii="Times New Roman" w:hAnsi="Times New Roman" w:eastAsia="宋体" w:cs="Times New Roman"/>
                      <w:b/>
                      <w:bCs/>
                      <w:i w:val="0"/>
                      <w:iCs w:val="0"/>
                      <w:color w:val="auto"/>
                      <w:kern w:val="0"/>
                      <w:sz w:val="18"/>
                      <w:szCs w:val="18"/>
                      <w:highlight w:val="none"/>
                      <w:lang w:val="en-US" w:eastAsia="zh-CN" w:bidi="ar-SA"/>
                    </w:rPr>
                    <w:t>是否存在安全风险</w:t>
                  </w:r>
                </w:p>
              </w:tc>
              <w:tc>
                <w:tcPr>
                  <w:tcW w:w="10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b/>
                      <w:bCs/>
                      <w:i w:val="0"/>
                      <w:iCs w:val="0"/>
                      <w:color w:val="auto"/>
                      <w:kern w:val="0"/>
                      <w:sz w:val="18"/>
                      <w:szCs w:val="18"/>
                      <w:highlight w:val="none"/>
                      <w:lang w:val="en-US" w:eastAsia="zh-CN" w:bidi="ar-SA"/>
                    </w:rPr>
                  </w:pPr>
                  <w:r>
                    <w:rPr>
                      <w:rFonts w:ascii="Times New Roman" w:hAnsi="Times New Roman" w:eastAsia="宋体" w:cs="Times New Roman"/>
                      <w:b/>
                      <w:bCs/>
                      <w:i w:val="0"/>
                      <w:iCs w:val="0"/>
                      <w:color w:val="auto"/>
                      <w:kern w:val="0"/>
                      <w:sz w:val="18"/>
                      <w:szCs w:val="18"/>
                      <w:highlight w:val="none"/>
                      <w:lang w:val="en-US" w:eastAsia="zh-CN" w:bidi="ar-SA"/>
                    </w:rPr>
                    <w:t>存在的安全风险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1</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粉尘治理</w:t>
                  </w:r>
                </w:p>
              </w:tc>
              <w:tc>
                <w:tcPr>
                  <w:tcW w:w="1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水喷淋塔</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是</w:t>
                  </w:r>
                </w:p>
              </w:tc>
              <w:tc>
                <w:tcPr>
                  <w:tcW w:w="10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火灾、爆炸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2</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有机废气治理</w:t>
                  </w:r>
                </w:p>
              </w:tc>
              <w:tc>
                <w:tcPr>
                  <w:tcW w:w="1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snapToGrid w:val="0"/>
                      <w:color w:val="auto"/>
                      <w:sz w:val="18"/>
                      <w:szCs w:val="18"/>
                      <w:highlight w:val="none"/>
                      <w:lang w:val="en-US" w:eastAsia="zh-CN"/>
                    </w:rPr>
                    <w:t>静电净化设备</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是</w:t>
                  </w:r>
                </w:p>
              </w:tc>
              <w:tc>
                <w:tcPr>
                  <w:tcW w:w="10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火灾、爆炸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3</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污水处理</w:t>
                  </w:r>
                </w:p>
              </w:tc>
              <w:tc>
                <w:tcPr>
                  <w:tcW w:w="1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未涉及</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w:t>
                  </w:r>
                </w:p>
              </w:tc>
              <w:tc>
                <w:tcPr>
                  <w:tcW w:w="10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4</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脱硫脱硝</w:t>
                  </w:r>
                </w:p>
              </w:tc>
              <w:tc>
                <w:tcPr>
                  <w:tcW w:w="1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低氮燃烧+SNCR+石灰喷雾干燥+余热回收+旋风除尘+布袋除尘+水幕除尘</w:t>
                  </w:r>
                </w:p>
              </w:tc>
              <w:tc>
                <w:tcPr>
                  <w:tcW w:w="185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是</w:t>
                  </w:r>
                </w:p>
              </w:tc>
              <w:tc>
                <w:tcPr>
                  <w:tcW w:w="162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火灾、爆炸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5</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煤改气</w:t>
                  </w:r>
                </w:p>
              </w:tc>
              <w:tc>
                <w:tcPr>
                  <w:tcW w:w="1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未涉及</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w:t>
                  </w:r>
                </w:p>
              </w:tc>
              <w:tc>
                <w:tcPr>
                  <w:tcW w:w="10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97" w:hRule="atLeast"/>
                <w:jc w:val="center"/>
              </w:trPr>
              <w:tc>
                <w:tcPr>
                  <w:tcW w:w="40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hint="default" w:ascii="Times New Roman" w:hAnsi="Times New Roman" w:eastAsia="宋体" w:cs="Times New Roman"/>
                      <w:color w:val="auto"/>
                      <w:kern w:val="0"/>
                      <w:sz w:val="18"/>
                      <w:szCs w:val="18"/>
                      <w:highlight w:val="none"/>
                      <w:lang w:val="en-US" w:eastAsia="zh-CN" w:bidi="ar-SA"/>
                    </w:rPr>
                  </w:pPr>
                  <w:r>
                    <w:rPr>
                      <w:rFonts w:hint="eastAsia" w:ascii="Times New Roman" w:hAnsi="Times New Roman" w:eastAsia="宋体" w:cs="Times New Roman"/>
                      <w:color w:val="auto"/>
                      <w:kern w:val="0"/>
                      <w:sz w:val="18"/>
                      <w:szCs w:val="18"/>
                      <w:highlight w:val="none"/>
                      <w:lang w:val="en-US" w:eastAsia="zh-CN" w:bidi="ar-SA"/>
                    </w:rPr>
                    <w:t>6</w:t>
                  </w:r>
                </w:p>
              </w:tc>
              <w:tc>
                <w:tcPr>
                  <w:tcW w:w="100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RTO焚烧炉</w:t>
                  </w:r>
                </w:p>
              </w:tc>
              <w:tc>
                <w:tcPr>
                  <w:tcW w:w="14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未涉及</w:t>
                  </w:r>
                </w:p>
              </w:tc>
              <w:tc>
                <w:tcPr>
                  <w:tcW w:w="116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w:t>
                  </w:r>
                </w:p>
              </w:tc>
              <w:tc>
                <w:tcPr>
                  <w:tcW w:w="102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jc w:val="center"/>
                    <w:textAlignment w:val="auto"/>
                    <w:rPr>
                      <w:rFonts w:ascii="Times New Roman" w:hAnsi="Times New Roman" w:eastAsia="宋体" w:cs="Times New Roman"/>
                      <w:color w:val="auto"/>
                      <w:kern w:val="0"/>
                      <w:sz w:val="18"/>
                      <w:szCs w:val="18"/>
                      <w:highlight w:val="none"/>
                      <w:lang w:val="en-US" w:eastAsia="zh-CN" w:bidi="ar-SA"/>
                    </w:rPr>
                  </w:pPr>
                  <w:r>
                    <w:rPr>
                      <w:rFonts w:ascii="Times New Roman" w:hAnsi="Times New Roman" w:eastAsia="宋体" w:cs="Times New Roman"/>
                      <w:color w:val="auto"/>
                      <w:kern w:val="0"/>
                      <w:sz w:val="18"/>
                      <w:szCs w:val="18"/>
                      <w:highlight w:val="none"/>
                      <w:lang w:val="en-US" w:eastAsia="zh-CN" w:bidi="ar-SA"/>
                    </w:rPr>
                    <w:t>/</w:t>
                  </w:r>
                </w:p>
              </w:tc>
            </w:tr>
          </w:tbl>
          <w:p>
            <w:pPr>
              <w:adjustRightInd w:val="0"/>
              <w:snapToGrid w:val="0"/>
              <w:spacing w:line="360" w:lineRule="auto"/>
              <w:ind w:firstLine="420" w:firstLineChars="200"/>
              <w:rPr>
                <w:szCs w:val="21"/>
              </w:rPr>
            </w:pPr>
            <w:r>
              <w:rPr>
                <w:szCs w:val="21"/>
              </w:rPr>
              <w:t>企业在项目竣工前应根据《关于做好生态环境和应急管理部门联动工作的意见》（苏环办[2020]101号）、省生态环境厅印发《关于做好安全生产专项整治工作实施方案》（苏环办〔2020〕16号）做好环境治理设施安全风险评估论证，健全内部污染防治设施稳定运行和管理责任制度，严格依据标准规范建设环境治理设施，确保环境治理设施安全、稳定、有效运行及污染物达标排放。</w:t>
            </w:r>
          </w:p>
          <w:p>
            <w:pPr>
              <w:adjustRightInd w:val="0"/>
              <w:snapToGrid w:val="0"/>
              <w:spacing w:line="360" w:lineRule="auto"/>
              <w:ind w:firstLine="420" w:firstLineChars="200"/>
              <w:rPr>
                <w:rFonts w:hint="eastAsia" w:hAnsi="宋体"/>
                <w:szCs w:val="21"/>
              </w:rPr>
            </w:pPr>
            <w:r>
              <w:rPr>
                <w:szCs w:val="21"/>
              </w:rPr>
              <w:t>综上，</w:t>
            </w:r>
            <w:r>
              <w:rPr>
                <w:rFonts w:hint="eastAsia"/>
                <w:szCs w:val="21"/>
              </w:rPr>
              <w:t>本</w:t>
            </w:r>
            <w:r>
              <w:rPr>
                <w:szCs w:val="21"/>
              </w:rPr>
              <w:t>项目建设符合国家及地方相关文件要求</w:t>
            </w:r>
            <w:r>
              <w:rPr>
                <w:rFonts w:hAnsi="宋体"/>
                <w:szCs w:val="21"/>
              </w:rPr>
              <w:t>。</w:t>
            </w:r>
          </w:p>
          <w:p>
            <w:pPr>
              <w:adjustRightInd w:val="0"/>
              <w:snapToGrid w:val="0"/>
              <w:spacing w:line="360" w:lineRule="auto"/>
              <w:ind w:firstLine="422" w:firstLineChars="200"/>
              <w:rPr>
                <w:rFonts w:hint="eastAsia" w:hAnsi="宋体"/>
                <w:b/>
                <w:bCs/>
                <w:szCs w:val="21"/>
              </w:rPr>
            </w:pPr>
            <w:r>
              <w:rPr>
                <w:rFonts w:hint="eastAsia" w:hAnsi="宋体"/>
                <w:b/>
                <w:bCs/>
                <w:szCs w:val="21"/>
              </w:rPr>
              <w:t>（</w:t>
            </w:r>
            <w:r>
              <w:rPr>
                <w:rFonts w:hint="eastAsia" w:hAnsi="宋体"/>
                <w:b/>
                <w:bCs/>
                <w:szCs w:val="21"/>
                <w:lang w:val="en-US" w:eastAsia="zh-CN"/>
              </w:rPr>
              <w:t>8</w:t>
            </w:r>
            <w:r>
              <w:rPr>
                <w:rFonts w:hint="eastAsia" w:hAnsi="宋体"/>
                <w:b/>
                <w:bCs/>
                <w:szCs w:val="21"/>
              </w:rPr>
              <w:t>）《关于进一步加强重金属污染防控的意见》（环固体【2022】17号）相符性分析</w:t>
            </w:r>
          </w:p>
          <w:p>
            <w:pPr>
              <w:adjustRightInd w:val="0"/>
              <w:snapToGrid w:val="0"/>
              <w:spacing w:line="360" w:lineRule="auto"/>
              <w:ind w:firstLine="420" w:firstLineChars="200"/>
              <w:rPr>
                <w:rFonts w:hint="eastAsia" w:ascii="Times New Roman" w:hAnsi="宋体" w:eastAsia="宋体" w:cs="Times New Roman"/>
                <w:color w:val="FF0000"/>
                <w:szCs w:val="21"/>
              </w:rPr>
            </w:pPr>
            <w:r>
              <w:rPr>
                <w:rFonts w:hint="eastAsia" w:ascii="Times New Roman" w:hAnsi="宋体" w:eastAsia="宋体" w:cs="Times New Roman"/>
                <w:color w:val="FF0000"/>
                <w:szCs w:val="21"/>
              </w:rPr>
              <w:t>对照《关于进一步加强重金属污染防控的意见》（环固体【2022】17号）</w:t>
            </w:r>
            <w:r>
              <w:rPr>
                <w:rFonts w:hint="eastAsia" w:ascii="Times New Roman" w:hAnsi="宋体" w:eastAsia="宋体" w:cs="Times New Roman"/>
                <w:color w:val="FF0000"/>
                <w:szCs w:val="21"/>
                <w:lang w:eastAsia="zh-CN"/>
              </w:rPr>
              <w:t>：</w:t>
            </w:r>
            <w:r>
              <w:rPr>
                <w:rFonts w:hint="eastAsia" w:ascii="Times New Roman" w:hAnsi="宋体" w:eastAsia="宋体" w:cs="Times New Roman"/>
                <w:color w:val="FF0000"/>
                <w:szCs w:val="21"/>
                <w:lang w:val="en-US" w:eastAsia="zh-CN"/>
              </w:rPr>
              <w:t>加强</w:t>
            </w:r>
            <w:r>
              <w:rPr>
                <w:rFonts w:hint="eastAsia" w:ascii="Times New Roman" w:hAnsi="宋体" w:eastAsia="宋体" w:cs="Times New Roman"/>
                <w:color w:val="FF0000"/>
                <w:szCs w:val="21"/>
              </w:rPr>
              <w:t>重金属污染物减排分类管理。根据各省（区、市）重金属污染物排放量基数和减排潜力，分档确定减排目标；按重点区域、重点行业以及重点重金属，实施差别化减排政策。各地生态环境部门应进一步摸排企业情况，挖掘减 排潜力，以结构调整、升级改造和深度治理为主要手段，将减排目标任务落实到具体企业，推动实施一批重金属减排工程，持续减少重金属污染物排放。</w:t>
            </w:r>
          </w:p>
          <w:p>
            <w:pPr>
              <w:adjustRightInd w:val="0"/>
              <w:snapToGrid w:val="0"/>
              <w:spacing w:line="360" w:lineRule="auto"/>
              <w:ind w:firstLine="420" w:firstLineChars="200"/>
              <w:rPr>
                <w:rFonts w:hint="eastAsia" w:ascii="Times New Roman" w:hAnsi="宋体" w:eastAsia="宋体" w:cs="Times New Roman"/>
                <w:color w:val="FF0000"/>
                <w:szCs w:val="21"/>
              </w:rPr>
            </w:pPr>
            <w:r>
              <w:rPr>
                <w:rFonts w:hint="eastAsia" w:ascii="Times New Roman" w:hAnsi="宋体" w:eastAsia="宋体" w:cs="Times New Roman"/>
                <w:color w:val="FF0000"/>
                <w:szCs w:val="21"/>
              </w:rPr>
              <w:t>本项目属于C1789其他产业用纺织制成品制造，不属于其规定的重点行业，不涉及 重金属污染物减排</w:t>
            </w:r>
            <w:r>
              <w:rPr>
                <w:rFonts w:hint="eastAsia" w:ascii="Times New Roman" w:hAnsi="宋体" w:eastAsia="宋体" w:cs="Times New Roman"/>
                <w:color w:val="FF0000"/>
                <w:szCs w:val="21"/>
                <w:lang w:eastAsia="zh-CN"/>
              </w:rPr>
              <w:t>，</w:t>
            </w:r>
            <w:r>
              <w:rPr>
                <w:rFonts w:hint="eastAsia" w:ascii="Times New Roman" w:hAnsi="宋体" w:eastAsia="宋体" w:cs="Times New Roman"/>
                <w:color w:val="FF0000"/>
                <w:szCs w:val="21"/>
                <w:lang w:val="en-US" w:eastAsia="zh-CN"/>
              </w:rPr>
              <w:t>且本项目无需申请总量，因此，本项目</w:t>
            </w:r>
            <w:r>
              <w:rPr>
                <w:rFonts w:hint="eastAsia" w:ascii="Times New Roman" w:hAnsi="宋体" w:eastAsia="宋体" w:cs="Times New Roman"/>
                <w:color w:val="FF0000"/>
                <w:szCs w:val="21"/>
              </w:rPr>
              <w:t>符合《关于进一步加强重金属污染防控的意见》（环固体【2022】17号）的相关要求。</w:t>
            </w:r>
          </w:p>
          <w:p>
            <w:pPr>
              <w:adjustRightInd w:val="0"/>
              <w:snapToGrid w:val="0"/>
              <w:spacing w:line="360" w:lineRule="auto"/>
              <w:ind w:firstLine="422" w:firstLineChars="200"/>
              <w:rPr>
                <w:rFonts w:hint="eastAsia" w:ascii="Times New Roman" w:hAnsi="宋体" w:eastAsia="宋体" w:cs="Times New Roman"/>
                <w:b/>
                <w:bCs/>
                <w:color w:val="FF0000"/>
                <w:szCs w:val="21"/>
              </w:rPr>
            </w:pPr>
            <w:r>
              <w:rPr>
                <w:rFonts w:hint="eastAsia" w:ascii="Times New Roman" w:hAnsi="宋体" w:eastAsia="宋体" w:cs="Times New Roman"/>
                <w:b/>
                <w:bCs/>
                <w:color w:val="FF0000"/>
                <w:szCs w:val="21"/>
                <w:lang w:eastAsia="zh-CN"/>
              </w:rPr>
              <w:t>（</w:t>
            </w:r>
            <w:r>
              <w:rPr>
                <w:rFonts w:hint="eastAsia" w:ascii="Times New Roman" w:hAnsi="宋体" w:eastAsia="宋体" w:cs="Times New Roman"/>
                <w:b/>
                <w:bCs/>
                <w:color w:val="FF0000"/>
                <w:szCs w:val="21"/>
                <w:lang w:val="en-US" w:eastAsia="zh-CN"/>
              </w:rPr>
              <w:t>9</w:t>
            </w:r>
            <w:r>
              <w:rPr>
                <w:rFonts w:hint="eastAsia" w:ascii="Times New Roman" w:hAnsi="宋体" w:eastAsia="宋体" w:cs="Times New Roman"/>
                <w:b/>
                <w:bCs/>
                <w:color w:val="FF0000"/>
                <w:szCs w:val="21"/>
                <w:lang w:eastAsia="zh-CN"/>
              </w:rPr>
              <w:t>）</w:t>
            </w:r>
            <w:r>
              <w:rPr>
                <w:rFonts w:hint="eastAsia" w:ascii="Times New Roman" w:hAnsi="宋体" w:eastAsia="宋体" w:cs="Times New Roman"/>
                <w:b/>
                <w:bCs/>
                <w:color w:val="FF0000"/>
                <w:szCs w:val="21"/>
              </w:rPr>
              <w:t>《关于进一步加强涉重金属行业污染防控工作的通知》（苏环办[2018]319号）</w:t>
            </w:r>
          </w:p>
          <w:p>
            <w:pPr>
              <w:adjustRightInd w:val="0"/>
              <w:snapToGrid w:val="0"/>
              <w:spacing w:line="360" w:lineRule="auto"/>
              <w:ind w:firstLine="420" w:firstLineChars="200"/>
              <w:rPr>
                <w:rFonts w:hint="eastAsia" w:ascii="Times New Roman" w:hAnsi="宋体" w:eastAsia="宋体" w:cs="Times New Roman"/>
                <w:color w:val="FF0000"/>
                <w:szCs w:val="21"/>
              </w:rPr>
            </w:pPr>
            <w:r>
              <w:rPr>
                <w:rFonts w:hint="eastAsia" w:ascii="Times New Roman" w:hAnsi="宋体" w:eastAsia="宋体" w:cs="Times New Roman"/>
                <w:color w:val="FF0000"/>
                <w:szCs w:val="21"/>
              </w:rPr>
              <w:t>文件要求：“工作重点。聚焦重点行业、重点地区和重点重金属污染物。落实“土十条”考核规定。严格汞污染控制，禁止新建采用用汞工艺的电石法聚氯乙烯生产项目，逐企组织落实电石法聚氯乙烯行业企业制定并实施用量强度减半方案。严格项目管理，新、改扩建涉重金属重点行业建设项目必须遵循重点重金属污染物排放“减量置换”或“等量替换”原则。严格环境执法，严查涉重金属行业“散乱污”现象，杜绝发生涉重金属环境污染事件。严格减排项目申报，如实上(填)报新、改、扩建减排项目，发现弄虚作假、瞒报、虚报的，将视同未完成减排目标。”</w:t>
            </w:r>
          </w:p>
          <w:p>
            <w:pPr>
              <w:adjustRightInd w:val="0"/>
              <w:snapToGrid w:val="0"/>
              <w:spacing w:line="360" w:lineRule="auto"/>
              <w:ind w:firstLine="420" w:firstLineChars="200"/>
              <w:rPr>
                <w:rFonts w:hint="eastAsia" w:hAnsi="宋体"/>
                <w:b/>
                <w:bCs/>
                <w:szCs w:val="21"/>
                <w:lang w:eastAsia="zh-CN"/>
              </w:rPr>
            </w:pPr>
            <w:r>
              <w:rPr>
                <w:rFonts w:hint="eastAsia" w:ascii="Times New Roman" w:hAnsi="宋体" w:eastAsia="宋体" w:cs="Times New Roman"/>
                <w:color w:val="FF0000"/>
                <w:szCs w:val="21"/>
              </w:rPr>
              <w:t>相符性分析：建设项目为C1789其他产业用纺织制成品制造</w:t>
            </w:r>
            <w:r>
              <w:rPr>
                <w:rFonts w:hint="eastAsia" w:ascii="Times New Roman" w:hAnsi="宋体" w:eastAsia="宋体" w:cs="Times New Roman"/>
                <w:color w:val="FF0000"/>
                <w:szCs w:val="21"/>
                <w:lang w:val="en-US" w:eastAsia="zh-CN"/>
              </w:rPr>
              <w:t>和</w:t>
            </w:r>
            <w:r>
              <w:rPr>
                <w:rFonts w:hint="eastAsia" w:cs="Times New Roman"/>
                <w:color w:val="FF0000"/>
                <w:szCs w:val="21"/>
                <w:lang w:eastAsia="zh-CN"/>
              </w:rPr>
              <w:t>D4430热力生产和供应</w:t>
            </w:r>
            <w:r>
              <w:rPr>
                <w:rFonts w:hint="eastAsia" w:ascii="Times New Roman" w:hAnsi="宋体" w:eastAsia="宋体" w:cs="Times New Roman"/>
                <w:color w:val="FF0000"/>
                <w:szCs w:val="21"/>
              </w:rPr>
              <w:t>，涉及重点重金属污染物</w:t>
            </w:r>
            <w:r>
              <w:rPr>
                <w:rFonts w:hint="eastAsia" w:ascii="Times New Roman" w:hAnsi="宋体" w:eastAsia="宋体" w:cs="Times New Roman"/>
                <w:color w:val="FF0000"/>
                <w:szCs w:val="21"/>
                <w:lang w:val="en-US" w:eastAsia="zh-CN"/>
              </w:rPr>
              <w:t>汞</w:t>
            </w:r>
            <w:r>
              <w:rPr>
                <w:rFonts w:hint="eastAsia" w:ascii="Times New Roman" w:hAnsi="宋体" w:eastAsia="宋体" w:cs="Times New Roman"/>
                <w:color w:val="FF0000"/>
                <w:szCs w:val="21"/>
              </w:rPr>
              <w:t>的排放，根据地方管理要求，本项目不属于涉重金属重点行业项目，不执行上述文件要求。根据南通市生态环境局《关于印发&lt;关于进一步优化建设项目排污总量指标管理提升环评审批效能的意见(试行)&gt;的通知》（通环办〔2023〕132号）和《关于印发&lt;关于进一步规范建设项目主要污染物排放总量指标审核、管理及排污权交易的工作方案&gt;的通知》（通环办〔2021〕23号）中重点重金属的有关规定，同时根据环保主管部门意见，建设项目重点重金属</w:t>
            </w:r>
            <w:r>
              <w:rPr>
                <w:rFonts w:hint="eastAsia" w:ascii="Times New Roman" w:hAnsi="宋体" w:eastAsia="宋体" w:cs="Times New Roman"/>
                <w:color w:val="FF0000"/>
                <w:szCs w:val="21"/>
                <w:lang w:val="en-US" w:eastAsia="zh-CN"/>
              </w:rPr>
              <w:t>汞</w:t>
            </w:r>
            <w:r>
              <w:rPr>
                <w:rFonts w:hint="eastAsia" w:ascii="Times New Roman" w:hAnsi="宋体" w:eastAsia="宋体" w:cs="Times New Roman"/>
                <w:color w:val="FF0000"/>
                <w:szCs w:val="21"/>
              </w:rPr>
              <w:t>产生环节为</w:t>
            </w:r>
            <w:r>
              <w:rPr>
                <w:rFonts w:hint="eastAsia" w:ascii="Times New Roman" w:hAnsi="宋体" w:eastAsia="宋体" w:cs="Times New Roman"/>
                <w:color w:val="FF0000"/>
                <w:szCs w:val="21"/>
                <w:lang w:val="en-US" w:eastAsia="zh-CN"/>
              </w:rPr>
              <w:t>生物质燃料燃烧</w:t>
            </w:r>
            <w:r>
              <w:rPr>
                <w:rFonts w:hint="eastAsia" w:ascii="Times New Roman" w:hAnsi="宋体" w:eastAsia="宋体" w:cs="Times New Roman"/>
                <w:color w:val="FF0000"/>
                <w:szCs w:val="21"/>
              </w:rPr>
              <w:t>，不属于重点行业，</w:t>
            </w:r>
            <w:r>
              <w:rPr>
                <w:rFonts w:hint="eastAsia" w:ascii="Times New Roman" w:hAnsi="宋体" w:eastAsia="宋体" w:cs="Times New Roman"/>
                <w:color w:val="FF0000"/>
                <w:szCs w:val="21"/>
                <w:lang w:val="en-US" w:eastAsia="zh-CN"/>
              </w:rPr>
              <w:t>汞</w:t>
            </w:r>
            <w:r>
              <w:rPr>
                <w:rFonts w:hint="eastAsia" w:ascii="Times New Roman" w:hAnsi="宋体" w:eastAsia="宋体" w:cs="Times New Roman"/>
                <w:color w:val="FF0000"/>
                <w:szCs w:val="21"/>
              </w:rPr>
              <w:t>无需平衡。</w:t>
            </w:r>
          </w:p>
          <w:p>
            <w:pPr>
              <w:adjustRightInd w:val="0"/>
              <w:snapToGrid w:val="0"/>
              <w:spacing w:line="360" w:lineRule="auto"/>
              <w:ind w:firstLine="422" w:firstLineChars="200"/>
              <w:rPr>
                <w:rFonts w:hint="default" w:hAnsi="宋体" w:eastAsia="宋体"/>
                <w:b/>
                <w:bCs/>
                <w:color w:val="FF0000"/>
                <w:szCs w:val="21"/>
                <w:lang w:val="en-US" w:eastAsia="zh-CN"/>
              </w:rPr>
            </w:pPr>
            <w:r>
              <w:rPr>
                <w:rFonts w:hint="eastAsia" w:hAnsi="宋体"/>
                <w:b/>
                <w:bCs/>
                <w:color w:val="FF0000"/>
                <w:szCs w:val="21"/>
                <w:lang w:eastAsia="zh-CN"/>
              </w:rPr>
              <w:t>（</w:t>
            </w:r>
            <w:r>
              <w:rPr>
                <w:rFonts w:hint="eastAsia" w:hAnsi="宋体"/>
                <w:b/>
                <w:bCs/>
                <w:color w:val="FF0000"/>
                <w:szCs w:val="21"/>
                <w:lang w:val="en-US" w:eastAsia="zh-CN"/>
              </w:rPr>
              <w:t>10</w:t>
            </w:r>
            <w:r>
              <w:rPr>
                <w:rFonts w:hint="eastAsia" w:hAnsi="宋体"/>
                <w:b/>
                <w:bCs/>
                <w:color w:val="FF0000"/>
                <w:szCs w:val="21"/>
                <w:lang w:eastAsia="zh-CN"/>
              </w:rPr>
              <w:t>）</w:t>
            </w:r>
            <w:r>
              <w:rPr>
                <w:rFonts w:hint="eastAsia" w:hAnsi="宋体"/>
                <w:b/>
                <w:bCs/>
                <w:color w:val="FF0000"/>
                <w:szCs w:val="21"/>
                <w:lang w:val="en-US" w:eastAsia="zh-CN"/>
              </w:rPr>
              <w:t>与</w:t>
            </w:r>
            <w:r>
              <w:rPr>
                <w:rFonts w:hint="eastAsia" w:hAnsi="宋体"/>
                <w:b/>
                <w:bCs/>
                <w:color w:val="FF0000"/>
                <w:szCs w:val="21"/>
              </w:rPr>
              <w:t>《省生态环境厅印发关于进步加强重金属污染防控工作的实施方案的通知》（苏环办[2022]155号）</w:t>
            </w:r>
            <w:r>
              <w:rPr>
                <w:rFonts w:hint="eastAsia" w:hAnsi="宋体"/>
                <w:b/>
                <w:bCs/>
                <w:color w:val="FF0000"/>
                <w:szCs w:val="21"/>
                <w:lang w:val="en-US" w:eastAsia="zh-CN"/>
              </w:rPr>
              <w:t>相符性分析</w:t>
            </w:r>
          </w:p>
          <w:p>
            <w:pPr>
              <w:adjustRightInd w:val="0"/>
              <w:snapToGrid w:val="0"/>
              <w:spacing w:line="360" w:lineRule="auto"/>
              <w:ind w:firstLine="420" w:firstLineChars="200"/>
              <w:rPr>
                <w:rFonts w:hint="eastAsia" w:ascii="Times New Roman" w:hAnsi="宋体" w:eastAsia="宋体" w:cs="Times New Roman"/>
                <w:color w:val="FF0000"/>
                <w:szCs w:val="21"/>
                <w:lang w:eastAsia="zh-CN"/>
              </w:rPr>
            </w:pPr>
            <w:r>
              <w:rPr>
                <w:rFonts w:hint="eastAsia" w:ascii="Times New Roman" w:hAnsi="宋体" w:eastAsia="宋体" w:cs="Times New Roman"/>
                <w:color w:val="FF0000"/>
                <w:szCs w:val="21"/>
              </w:rPr>
              <w:t>本项目为C1789其他产业用纺织制成品制造</w:t>
            </w:r>
            <w:r>
              <w:rPr>
                <w:rFonts w:hint="eastAsia" w:ascii="Times New Roman" w:hAnsi="宋体" w:eastAsia="宋体" w:cs="Times New Roman"/>
                <w:color w:val="FF0000"/>
                <w:szCs w:val="21"/>
                <w:lang w:val="en-US" w:eastAsia="zh-CN"/>
              </w:rPr>
              <w:t>和</w:t>
            </w:r>
            <w:r>
              <w:rPr>
                <w:rFonts w:hint="eastAsia" w:cs="Times New Roman"/>
                <w:color w:val="FF0000"/>
                <w:szCs w:val="21"/>
                <w:lang w:eastAsia="zh-CN"/>
              </w:rPr>
              <w:t>D4430热力生产和供应</w:t>
            </w:r>
            <w:r>
              <w:rPr>
                <w:rFonts w:hint="eastAsia" w:ascii="Times New Roman" w:hAnsi="宋体" w:eastAsia="宋体" w:cs="Times New Roman"/>
                <w:color w:val="FF0000"/>
                <w:szCs w:val="21"/>
                <w:lang w:eastAsia="zh-CN"/>
              </w:rPr>
              <w:t>，</w:t>
            </w:r>
            <w:r>
              <w:rPr>
                <w:rFonts w:hint="eastAsia" w:ascii="Times New Roman" w:hAnsi="宋体" w:eastAsia="宋体" w:cs="Times New Roman"/>
                <w:color w:val="FF0000"/>
                <w:szCs w:val="21"/>
              </w:rPr>
              <w:t>选址于江苏省南通市</w:t>
            </w:r>
            <w:r>
              <w:rPr>
                <w:rFonts w:hint="eastAsia" w:ascii="Times New Roman" w:hAnsi="宋体" w:eastAsia="宋体" w:cs="Times New Roman"/>
                <w:color w:val="FF0000"/>
                <w:szCs w:val="21"/>
                <w:lang w:val="en-US" w:eastAsia="zh-CN"/>
              </w:rPr>
              <w:t>如皋市九华镇马桥村18组</w:t>
            </w:r>
            <w:r>
              <w:rPr>
                <w:rFonts w:hint="eastAsia" w:ascii="Times New Roman" w:hAnsi="宋体" w:eastAsia="宋体" w:cs="Times New Roman"/>
                <w:color w:val="FF0000"/>
                <w:szCs w:val="21"/>
              </w:rPr>
              <w:t>，项目建设严格按照南通市相关产业政策、生态环境分区管控及规划环评要求建设</w:t>
            </w:r>
            <w:r>
              <w:rPr>
                <w:rFonts w:hint="eastAsia" w:ascii="Times New Roman" w:hAnsi="宋体" w:eastAsia="宋体" w:cs="Times New Roman"/>
                <w:color w:val="FF0000"/>
                <w:szCs w:val="21"/>
                <w:lang w:eastAsia="zh-CN"/>
              </w:rPr>
              <w:t>；</w:t>
            </w:r>
          </w:p>
          <w:p>
            <w:pPr>
              <w:adjustRightInd w:val="0"/>
              <w:snapToGrid w:val="0"/>
              <w:spacing w:line="360" w:lineRule="auto"/>
              <w:ind w:firstLine="420" w:firstLineChars="200"/>
              <w:rPr>
                <w:rFonts w:hint="eastAsia" w:ascii="Times New Roman" w:hAnsi="宋体" w:eastAsia="宋体" w:cs="Times New Roman"/>
                <w:color w:val="FF0000"/>
                <w:szCs w:val="21"/>
                <w:lang w:eastAsia="zh-CN"/>
              </w:rPr>
            </w:pPr>
            <w:r>
              <w:rPr>
                <w:rFonts w:hint="eastAsia" w:ascii="Times New Roman" w:hAnsi="宋体" w:eastAsia="宋体" w:cs="Times New Roman"/>
                <w:color w:val="FF0000"/>
                <w:szCs w:val="21"/>
              </w:rPr>
              <w:t>本项目生产过程涉及文件中汞重金属，</w:t>
            </w:r>
            <w:r>
              <w:rPr>
                <w:rFonts w:hint="eastAsia" w:ascii="Times New Roman" w:hAnsi="宋体" w:eastAsia="宋体" w:cs="Times New Roman"/>
                <w:color w:val="FF0000"/>
                <w:szCs w:val="21"/>
                <w:lang w:val="en-US" w:eastAsia="zh-CN"/>
              </w:rPr>
              <w:t>根据产排污计算，本项目排放的汞可以达到排放标准限值要求，且本项目无需申请总量，本次评价已将汞列入大气、土壤监测计划中</w:t>
            </w:r>
            <w:r>
              <w:rPr>
                <w:rFonts w:hint="eastAsia" w:ascii="Times New Roman" w:hAnsi="宋体" w:eastAsia="宋体" w:cs="Times New Roman"/>
                <w:color w:val="FF0000"/>
                <w:szCs w:val="21"/>
              </w:rPr>
              <w:t>，符合文件要求。</w:t>
            </w:r>
          </w:p>
          <w:p>
            <w:pPr>
              <w:adjustRightInd w:val="0"/>
              <w:snapToGrid w:val="0"/>
              <w:spacing w:line="360" w:lineRule="auto"/>
              <w:ind w:firstLine="420" w:firstLineChars="200"/>
              <w:rPr>
                <w:rFonts w:hint="eastAsia" w:hAnsi="宋体"/>
                <w:szCs w:val="21"/>
              </w:rPr>
            </w:pPr>
          </w:p>
          <w:p>
            <w:pPr>
              <w:adjustRightInd w:val="0"/>
              <w:snapToGrid w:val="0"/>
              <w:spacing w:line="360" w:lineRule="auto"/>
              <w:ind w:firstLine="420" w:firstLineChars="200"/>
              <w:rPr>
                <w:rFonts w:hint="eastAsia" w:hAnsi="宋体"/>
                <w:szCs w:val="21"/>
              </w:rPr>
            </w:pPr>
          </w:p>
          <w:p>
            <w:pPr>
              <w:adjustRightInd w:val="0"/>
              <w:snapToGrid w:val="0"/>
              <w:spacing w:line="360" w:lineRule="auto"/>
              <w:ind w:firstLine="420" w:firstLineChars="200"/>
              <w:rPr>
                <w:rFonts w:hint="eastAsia" w:hAnsi="宋体"/>
                <w:szCs w:val="21"/>
              </w:rPr>
            </w:pPr>
          </w:p>
          <w:p>
            <w:pPr>
              <w:adjustRightInd w:val="0"/>
              <w:snapToGrid w:val="0"/>
              <w:spacing w:line="360" w:lineRule="auto"/>
              <w:ind w:firstLine="420" w:firstLineChars="200"/>
              <w:rPr>
                <w:rFonts w:hint="eastAsia" w:hAnsi="宋体"/>
                <w:szCs w:val="21"/>
                <w:lang w:val="en-US" w:eastAsia="zh-CN"/>
              </w:rPr>
            </w:pPr>
          </w:p>
          <w:p>
            <w:pPr>
              <w:autoSpaceDE w:val="0"/>
              <w:autoSpaceDN w:val="0"/>
              <w:adjustRightInd w:val="0"/>
              <w:snapToGrid w:val="0"/>
              <w:spacing w:line="400" w:lineRule="exact"/>
              <w:jc w:val="left"/>
              <w:rPr>
                <w:rFonts w:hint="eastAsia" w:eastAsia="宋体"/>
                <w:color w:val="auto"/>
                <w:kern w:val="0"/>
                <w:szCs w:val="21"/>
                <w:lang w:eastAsia="zh-CN"/>
              </w:rPr>
            </w:pPr>
          </w:p>
        </w:tc>
      </w:tr>
    </w:tbl>
    <w:p>
      <w:pPr>
        <w:pStyle w:val="82"/>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二、建设项目工程分析</w:t>
      </w: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3"/>
        <w:gridCol w:w="86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77" w:hRule="atLeast"/>
          <w:jc w:val="center"/>
        </w:trPr>
        <w:tc>
          <w:tcPr>
            <w:tcW w:w="583" w:type="dxa"/>
            <w:vAlign w:val="center"/>
          </w:tcPr>
          <w:p>
            <w:pPr>
              <w:pStyle w:val="82"/>
              <w:adjustRightInd w:val="0"/>
              <w:snapToGrid w:val="0"/>
              <w:spacing w:before="0" w:beforeAutospacing="0" w:after="0" w:afterAutospacing="0"/>
              <w:jc w:val="center"/>
              <w:rPr>
                <w:rFonts w:ascii="Times New Roman" w:hAnsi="Times New Roman"/>
                <w:color w:val="auto"/>
                <w:sz w:val="21"/>
                <w:szCs w:val="21"/>
                <w:lang w:val="en-US"/>
              </w:rPr>
            </w:pPr>
            <w:r>
              <w:rPr>
                <w:rFonts w:ascii="Times New Roman" w:hAnsi="Times New Roman"/>
                <w:color w:val="auto"/>
                <w:sz w:val="21"/>
                <w:szCs w:val="21"/>
                <w:lang w:val="en-US"/>
              </w:rPr>
              <w:t>建设内容</w:t>
            </w:r>
          </w:p>
        </w:tc>
        <w:tc>
          <w:tcPr>
            <w:tcW w:w="8659" w:type="dxa"/>
          </w:tcPr>
          <w:p>
            <w:pPr>
              <w:autoSpaceDE w:val="0"/>
              <w:autoSpaceDN w:val="0"/>
              <w:adjustRightInd w:val="0"/>
              <w:snapToGrid w:val="0"/>
              <w:spacing w:line="400" w:lineRule="exact"/>
              <w:ind w:firstLine="422" w:firstLineChars="200"/>
              <w:jc w:val="left"/>
              <w:rPr>
                <w:b/>
                <w:bCs/>
                <w:color w:val="auto"/>
                <w:szCs w:val="21"/>
              </w:rPr>
            </w:pPr>
            <w:r>
              <w:rPr>
                <w:b/>
                <w:bCs/>
                <w:color w:val="auto"/>
                <w:szCs w:val="21"/>
              </w:rPr>
              <w:t>1、项目由来</w:t>
            </w:r>
          </w:p>
          <w:p>
            <w:pPr>
              <w:autoSpaceDE w:val="0"/>
              <w:autoSpaceDN w:val="0"/>
              <w:adjustRightInd w:val="0"/>
              <w:snapToGrid w:val="0"/>
              <w:spacing w:line="400" w:lineRule="exact"/>
              <w:ind w:firstLine="420" w:firstLineChars="200"/>
              <w:rPr>
                <w:rFonts w:hint="default" w:ascii="Times New Roman" w:hAnsi="Times New Roman" w:eastAsia="宋体" w:cs="Times New Roman"/>
                <w:bCs/>
                <w:color w:val="FF0000"/>
                <w:szCs w:val="21"/>
                <w:lang w:val="en-US" w:eastAsia="zh-CN"/>
              </w:rPr>
            </w:pPr>
            <w:r>
              <w:rPr>
                <w:rFonts w:hint="eastAsia" w:ascii="Times New Roman" w:hAnsi="Times New Roman" w:eastAsia="宋体" w:cs="Times New Roman"/>
                <w:bCs/>
                <w:color w:val="FF0000"/>
                <w:szCs w:val="21"/>
                <w:lang w:val="en-US" w:eastAsia="zh-CN"/>
              </w:rPr>
              <w:t>南通众隆纺织科技有限公司成立于2022年，</w:t>
            </w:r>
            <w:r>
              <w:rPr>
                <w:rFonts w:hint="eastAsia" w:cs="Times New Roman"/>
                <w:bCs/>
                <w:color w:val="FF0000"/>
                <w:szCs w:val="21"/>
                <w:lang w:val="en-US" w:eastAsia="zh-CN"/>
              </w:rPr>
              <w:t>位于</w:t>
            </w:r>
            <w:r>
              <w:rPr>
                <w:rFonts w:hint="eastAsia"/>
                <w:color w:val="FF0000"/>
                <w:szCs w:val="21"/>
              </w:rPr>
              <w:t>江苏省南通市</w:t>
            </w:r>
            <w:r>
              <w:rPr>
                <w:rFonts w:hint="eastAsia"/>
                <w:color w:val="FF0000"/>
                <w:szCs w:val="21"/>
                <w:lang w:val="en-US" w:eastAsia="zh-CN"/>
              </w:rPr>
              <w:t>如皋市九华镇马桥村18组，</w:t>
            </w:r>
            <w:r>
              <w:rPr>
                <w:rFonts w:hint="eastAsia" w:ascii="Times New Roman" w:hAnsi="Times New Roman" w:eastAsia="宋体" w:cs="Times New Roman"/>
                <w:bCs/>
                <w:color w:val="FF0000"/>
                <w:szCs w:val="21"/>
                <w:lang w:val="en-US" w:eastAsia="zh-CN"/>
              </w:rPr>
              <w:t>是一家从事面料纺织后整理加工、销售的企业</w:t>
            </w:r>
            <w:r>
              <w:rPr>
                <w:rFonts w:hint="eastAsia" w:cs="Times New Roman"/>
                <w:bCs/>
                <w:color w:val="FF0000"/>
                <w:szCs w:val="21"/>
                <w:lang w:val="en-US" w:eastAsia="zh-CN"/>
              </w:rPr>
              <w:t>，</w:t>
            </w:r>
            <w:r>
              <w:rPr>
                <w:rFonts w:hint="eastAsia" w:eastAsia="宋体"/>
                <w:color w:val="FF0000"/>
                <w:szCs w:val="21"/>
                <w:lang w:val="en-US" w:eastAsia="zh-CN"/>
              </w:rPr>
              <w:t>公司</w:t>
            </w:r>
            <w:r>
              <w:rPr>
                <w:rFonts w:hint="eastAsia" w:eastAsia="宋体"/>
                <w:color w:val="FF0000"/>
                <w:szCs w:val="21"/>
              </w:rPr>
              <w:t>自成立以来仅从事</w:t>
            </w:r>
            <w:r>
              <w:rPr>
                <w:rFonts w:hint="eastAsia" w:eastAsia="宋体"/>
                <w:color w:val="FF0000"/>
                <w:szCs w:val="21"/>
                <w:lang w:val="en-US" w:eastAsia="zh-CN"/>
              </w:rPr>
              <w:t>纺织面料</w:t>
            </w:r>
            <w:r>
              <w:rPr>
                <w:rFonts w:hint="eastAsia" w:eastAsia="宋体"/>
                <w:color w:val="FF0000"/>
                <w:szCs w:val="21"/>
              </w:rPr>
              <w:t>销售，未建设生产线进行实际生产活动。</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为满足市场需要、实现公司战略目标，南通众隆纺织有限公司拟投资8000万元人民币，租用南通华胜数码纺织科技有限公司位于如皋市九华镇马桥村18组现有厂房，购置定型机、摇粒烘干机、360万大卡/h导热油炉、6t/h生物质锅炉（链条炉排锅炉）等设备37台</w:t>
            </w:r>
            <w:r>
              <w:rPr>
                <w:rFonts w:hint="eastAsia"/>
                <w:color w:val="auto"/>
                <w:szCs w:val="21"/>
              </w:rPr>
              <w:t>，</w:t>
            </w:r>
            <w:r>
              <w:rPr>
                <w:rFonts w:hint="eastAsia" w:ascii="Times New Roman" w:hAnsi="Times New Roman" w:eastAsia="宋体" w:cs="Times New Roman"/>
                <w:bCs/>
                <w:color w:val="auto"/>
                <w:szCs w:val="21"/>
                <w:lang w:val="en-US" w:eastAsia="zh-CN"/>
              </w:rPr>
              <w:t>新建</w:t>
            </w:r>
            <w:r>
              <w:rPr>
                <w:rFonts w:hint="eastAsia"/>
                <w:color w:val="auto"/>
                <w:szCs w:val="21"/>
                <w:lang w:val="en-US" w:eastAsia="zh-CN"/>
              </w:rPr>
              <w:t>年加工1000万米文体用布（桌球布）项目</w:t>
            </w:r>
            <w:r>
              <w:rPr>
                <w:rFonts w:hint="eastAsia" w:ascii="Times New Roman" w:hAnsi="Times New Roman" w:eastAsia="宋体" w:cs="Times New Roman"/>
                <w:bCs/>
                <w:color w:val="auto"/>
                <w:szCs w:val="21"/>
                <w:lang w:val="en-US" w:eastAsia="zh-CN"/>
              </w:rPr>
              <w:t>。</w:t>
            </w:r>
          </w:p>
          <w:p>
            <w:pPr>
              <w:autoSpaceDE w:val="0"/>
              <w:autoSpaceDN w:val="0"/>
              <w:adjustRightInd w:val="0"/>
              <w:snapToGrid w:val="0"/>
              <w:spacing w:line="400" w:lineRule="exact"/>
              <w:ind w:firstLine="420" w:firstLineChars="200"/>
              <w:rPr>
                <w:bCs/>
                <w:color w:val="auto"/>
                <w:szCs w:val="21"/>
              </w:rPr>
            </w:pPr>
            <w:r>
              <w:rPr>
                <w:rFonts w:hint="eastAsia" w:ascii="Times New Roman" w:hAnsi="Times New Roman" w:eastAsia="宋体" w:cs="Times New Roman"/>
                <w:bCs/>
                <w:color w:val="FF0000"/>
                <w:szCs w:val="21"/>
                <w:lang w:val="en-US" w:eastAsia="zh-CN"/>
              </w:rPr>
              <w:t>本项目由于定型、烫光、预缩和蒸呢工艺需要</w:t>
            </w:r>
            <w:r>
              <w:rPr>
                <w:rFonts w:hint="eastAsia" w:cs="Times New Roman"/>
                <w:bCs/>
                <w:color w:val="FF0000"/>
                <w:szCs w:val="21"/>
                <w:lang w:val="en-US" w:eastAsia="zh-CN"/>
              </w:rPr>
              <w:t>控温</w:t>
            </w:r>
            <w:r>
              <w:rPr>
                <w:rFonts w:hint="eastAsia" w:ascii="Times New Roman" w:hAnsi="Times New Roman" w:eastAsia="宋体" w:cs="Times New Roman"/>
                <w:bCs/>
                <w:color w:val="FF0000"/>
                <w:szCs w:val="21"/>
                <w:lang w:val="en-US" w:eastAsia="zh-CN"/>
              </w:rPr>
              <w:t>，</w:t>
            </w:r>
            <w:r>
              <w:rPr>
                <w:rFonts w:hint="eastAsia" w:ascii="Times New Roman" w:hAnsi="Times New Roman" w:eastAsia="宋体" w:cs="Times New Roman"/>
                <w:bCs/>
                <w:color w:val="FF0000"/>
                <w:szCs w:val="21"/>
              </w:rPr>
              <w:t>该区域目</w:t>
            </w:r>
            <w:r>
              <w:rPr>
                <w:rFonts w:hint="eastAsia" w:ascii="Times New Roman" w:hAnsi="Times New Roman" w:eastAsia="宋体" w:cs="Times New Roman"/>
                <w:bCs/>
                <w:color w:val="FF0000"/>
                <w:szCs w:val="21"/>
                <w:lang w:eastAsia="zh-CN"/>
              </w:rPr>
              <w:t>前尚</w:t>
            </w:r>
            <w:r>
              <w:rPr>
                <w:rFonts w:hint="eastAsia" w:ascii="Times New Roman" w:hAnsi="Times New Roman" w:eastAsia="宋体" w:cs="Times New Roman"/>
                <w:bCs/>
                <w:color w:val="FF0000"/>
                <w:szCs w:val="21"/>
              </w:rPr>
              <w:t>未实施集中供热，亦未铺设天然气管道，不在集中供热和天然气管道铺设范围之内，</w:t>
            </w:r>
            <w:r>
              <w:rPr>
                <w:rFonts w:hint="eastAsia" w:eastAsia="宋体" w:cs="Times New Roman"/>
                <w:bCs/>
                <w:color w:val="FF0000"/>
                <w:szCs w:val="21"/>
                <w:lang w:val="en-US" w:eastAsia="zh-CN"/>
              </w:rPr>
              <w:t>因此本项目新建</w:t>
            </w:r>
            <w:r>
              <w:rPr>
                <w:rFonts w:hint="eastAsia" w:ascii="Times New Roman" w:hAnsi="Times New Roman" w:eastAsia="宋体" w:cs="Times New Roman"/>
                <w:bCs/>
                <w:color w:val="FF0000"/>
                <w:szCs w:val="21"/>
              </w:rPr>
              <w:t>1台6吨/小时</w:t>
            </w:r>
            <w:r>
              <w:rPr>
                <w:rFonts w:hint="eastAsia" w:ascii="Times New Roman" w:hAnsi="Times New Roman" w:eastAsia="宋体" w:cs="Times New Roman"/>
                <w:bCs/>
                <w:color w:val="FF0000"/>
                <w:szCs w:val="21"/>
                <w:lang w:eastAsia="zh-CN"/>
              </w:rPr>
              <w:t>的</w:t>
            </w:r>
            <w:r>
              <w:rPr>
                <w:rFonts w:hint="eastAsia" w:ascii="Times New Roman" w:hAnsi="Times New Roman" w:eastAsia="宋体" w:cs="Times New Roman"/>
                <w:bCs/>
                <w:color w:val="FF0000"/>
                <w:szCs w:val="21"/>
                <w:lang w:val="en-US" w:eastAsia="zh-CN"/>
              </w:rPr>
              <w:t>燃生物质蒸汽</w:t>
            </w:r>
            <w:r>
              <w:rPr>
                <w:rFonts w:hint="eastAsia" w:ascii="Times New Roman" w:hAnsi="Times New Roman" w:eastAsia="宋体" w:cs="Times New Roman"/>
                <w:bCs/>
                <w:color w:val="FF0000"/>
                <w:szCs w:val="21"/>
              </w:rPr>
              <w:t>锅炉和1台6吨/小时</w:t>
            </w:r>
            <w:r>
              <w:rPr>
                <w:rFonts w:hint="eastAsia" w:ascii="Times New Roman" w:hAnsi="Times New Roman" w:eastAsia="宋体" w:cs="Times New Roman"/>
                <w:bCs/>
                <w:color w:val="FF0000"/>
                <w:szCs w:val="21"/>
                <w:lang w:val="en-US" w:eastAsia="zh-CN"/>
              </w:rPr>
              <w:t>燃生物质</w:t>
            </w:r>
            <w:r>
              <w:rPr>
                <w:rFonts w:hint="eastAsia" w:ascii="Times New Roman" w:hAnsi="Times New Roman" w:eastAsia="宋体" w:cs="Times New Roman"/>
                <w:bCs/>
                <w:color w:val="FF0000"/>
                <w:szCs w:val="21"/>
              </w:rPr>
              <w:t>导热油炉</w:t>
            </w:r>
            <w:r>
              <w:rPr>
                <w:rFonts w:hint="eastAsia" w:cs="Times New Roman"/>
                <w:bCs/>
                <w:color w:val="FF0000"/>
                <w:szCs w:val="21"/>
                <w:lang w:val="en-US" w:eastAsia="zh-CN"/>
              </w:rPr>
              <w:t>为本项目供热</w:t>
            </w:r>
            <w:r>
              <w:rPr>
                <w:rFonts w:hint="eastAsia" w:ascii="Times New Roman" w:hAnsi="Times New Roman" w:eastAsia="宋体" w:cs="Times New Roman"/>
                <w:bCs/>
                <w:color w:val="FF0000"/>
                <w:szCs w:val="21"/>
                <w:lang w:eastAsia="zh-CN"/>
              </w:rPr>
              <w:t>。</w:t>
            </w:r>
            <w:r>
              <w:rPr>
                <w:rFonts w:hint="eastAsia"/>
                <w:bCs/>
                <w:color w:val="FF0000"/>
                <w:szCs w:val="21"/>
                <w:lang w:val="en-US" w:eastAsia="zh-CN"/>
              </w:rPr>
              <w:t>经过对比测算使用生物质锅炉燃料成本仅为天然气的50%-60%，单吨蒸汽节省140元以上，且</w:t>
            </w:r>
            <w:r>
              <w:rPr>
                <w:rFonts w:hint="eastAsia"/>
                <w:bCs/>
                <w:color w:val="FF0000"/>
                <w:szCs w:val="21"/>
              </w:rPr>
              <w:t>生物质燃料碳排放属于"碳中和"，燃烧排放产生的二氧化碳近似等于植物生产吸收量，而天然气属于化石能源，在"双碳"背景下，生物质燃料具备一定优势。</w:t>
            </w:r>
          </w:p>
          <w:p>
            <w:pPr>
              <w:autoSpaceDE w:val="0"/>
              <w:autoSpaceDN w:val="0"/>
              <w:adjustRightInd w:val="0"/>
              <w:snapToGrid w:val="0"/>
              <w:spacing w:line="400" w:lineRule="exact"/>
              <w:ind w:firstLine="420" w:firstLineChars="200"/>
              <w:rPr>
                <w:bCs/>
                <w:color w:val="auto"/>
                <w:szCs w:val="21"/>
              </w:rPr>
            </w:pPr>
            <w:r>
              <w:rPr>
                <w:rFonts w:hint="default"/>
                <w:bCs/>
                <w:color w:val="FF0000"/>
                <w:szCs w:val="21"/>
                <w:lang w:val="en-US" w:eastAsia="zh-CN"/>
              </w:rPr>
              <w:t>‌生物质链条炉排锅炉的先进性体现在其高效燃烧、环保性能与智能化运维的综合优势上‌，已成为中小工业供热系统绿色转型的核心设备。采用‌层燃+悬浮燃烧‌模式，轻质燃料在炉膛上部悬浮燃烧，重质部分在炉排上稳定燃烧，显著提升燃尽率。物质燃料本身‌含硫</w:t>
            </w:r>
            <w:r>
              <w:rPr>
                <w:rFonts w:hint="default" w:ascii="Times New Roman" w:hAnsi="Times New Roman" w:cs="Times New Roman"/>
                <w:bCs/>
                <w:color w:val="FF0000"/>
                <w:szCs w:val="21"/>
                <w:lang w:val="en-US" w:eastAsia="zh-CN"/>
              </w:rPr>
              <w:t>量极低（≤0.1%），通过‌低氮燃烧+烟气再循环‌技术，NOx排放可控制在‌30~50mg/m</w:t>
            </w:r>
            <w:r>
              <w:rPr>
                <w:rFonts w:hint="eastAsia"/>
                <w:bCs/>
                <w:color w:val="FF0000"/>
                <w:szCs w:val="21"/>
                <w:vertAlign w:val="superscript"/>
                <w:lang w:val="en-US" w:eastAsia="zh-CN"/>
              </w:rPr>
              <w:t>3</w:t>
            </w:r>
            <w:r>
              <w:rPr>
                <w:rFonts w:hint="default" w:ascii="Times New Roman" w:hAnsi="Times New Roman" w:cs="Times New Roman"/>
                <w:bCs/>
                <w:color w:val="FF0000"/>
                <w:szCs w:val="21"/>
                <w:lang w:val="en-US" w:eastAsia="zh-CN"/>
              </w:rPr>
              <w:t>‌，远低于国家标准。</w:t>
            </w:r>
            <w:r>
              <w:rPr>
                <w:rFonts w:hint="default"/>
                <w:bCs/>
                <w:color w:val="FF0000"/>
                <w:szCs w:val="21"/>
                <w:lang w:val="en-US" w:eastAsia="zh-CN"/>
              </w:rPr>
              <w:t>尾部配置‌多级除尘系统‌（旋风+布袋），颗粒物排放可稳定低于‌20mg/m</w:t>
            </w:r>
            <w:r>
              <w:rPr>
                <w:rFonts w:hint="eastAsia"/>
                <w:bCs/>
                <w:color w:val="FF0000"/>
                <w:szCs w:val="21"/>
                <w:vertAlign w:val="superscript"/>
                <w:lang w:val="en-US" w:eastAsia="zh-CN"/>
              </w:rPr>
              <w:t>3</w:t>
            </w:r>
            <w:r>
              <w:rPr>
                <w:rFonts w:hint="default"/>
                <w:bCs/>
                <w:color w:val="FF0000"/>
                <w:szCs w:val="21"/>
                <w:lang w:val="en-US" w:eastAsia="zh-CN"/>
              </w:rPr>
              <w:t>‌，满足超低排放要求。</w:t>
            </w:r>
          </w:p>
          <w:p>
            <w:pPr>
              <w:autoSpaceDE w:val="0"/>
              <w:autoSpaceDN w:val="0"/>
              <w:adjustRightInd w:val="0"/>
              <w:snapToGrid w:val="0"/>
              <w:spacing w:line="400" w:lineRule="exact"/>
              <w:ind w:firstLine="420" w:firstLineChars="200"/>
              <w:rPr>
                <w:rFonts w:hint="default" w:ascii="Times New Roman" w:hAnsi="Times New Roman" w:cs="Times New Roman"/>
                <w:bCs/>
                <w:color w:val="FF0000"/>
                <w:szCs w:val="21"/>
              </w:rPr>
            </w:pPr>
            <w:r>
              <w:rPr>
                <w:rFonts w:hint="default" w:ascii="Times New Roman" w:hAnsi="Times New Roman" w:cs="Times New Roman"/>
                <w:bCs/>
                <w:color w:val="FF0000"/>
                <w:szCs w:val="21"/>
              </w:rPr>
              <w:t>根据《高污染燃料目录》(国环规大气[2017]2号〉表1禁燃区内禁止燃用的燃料组合类别、第Ⅲ类“非专用锅炉或未配置高效除尘设施的专用锅炉燃用的生物质成型燃料</w:t>
            </w:r>
            <w:r>
              <w:rPr>
                <w:rFonts w:hint="default" w:ascii="Times New Roman" w:hAnsi="Times New Roman" w:cs="Times New Roman"/>
                <w:bCs/>
                <w:color w:val="FF0000"/>
                <w:szCs w:val="21"/>
                <w:lang w:eastAsia="zh-CN"/>
              </w:rPr>
              <w:t>”</w:t>
            </w:r>
            <w:r>
              <w:rPr>
                <w:rFonts w:hint="default" w:ascii="Times New Roman" w:hAnsi="Times New Roman" w:cs="Times New Roman"/>
                <w:bCs/>
                <w:color w:val="FF0000"/>
                <w:szCs w:val="21"/>
              </w:rPr>
              <w:t>。本项目原料为林业生物质</w:t>
            </w:r>
            <w:r>
              <w:rPr>
                <w:rFonts w:hint="eastAsia" w:cs="Times New Roman"/>
                <w:bCs/>
                <w:color w:val="FF0000"/>
                <w:szCs w:val="21"/>
                <w:lang w:val="en-US" w:eastAsia="zh-CN"/>
              </w:rPr>
              <w:t>成型</w:t>
            </w:r>
            <w:r>
              <w:rPr>
                <w:rFonts w:hint="default" w:ascii="Times New Roman" w:hAnsi="Times New Roman" w:cs="Times New Roman"/>
                <w:bCs/>
                <w:color w:val="FF0000"/>
                <w:szCs w:val="21"/>
              </w:rPr>
              <w:t>燃料，使用专用生物质锅炉，且配有高效“旋风除尘+布袋除尘</w:t>
            </w:r>
            <w:r>
              <w:rPr>
                <w:rFonts w:hint="default" w:ascii="Times New Roman" w:hAnsi="Times New Roman" w:cs="Times New Roman"/>
                <w:bCs/>
                <w:color w:val="FF0000"/>
                <w:szCs w:val="21"/>
                <w:lang w:val="en-US" w:eastAsia="zh-CN"/>
              </w:rPr>
              <w:t>+水幕除尘</w:t>
            </w:r>
            <w:r>
              <w:rPr>
                <w:rFonts w:hint="default" w:ascii="Times New Roman" w:hAnsi="Times New Roman" w:cs="Times New Roman"/>
                <w:bCs/>
                <w:color w:val="FF0000"/>
                <w:szCs w:val="21"/>
              </w:rPr>
              <w:t>"装置处理生物质锅炉烟尘，因此，不属于禁止燃用的高污染燃料。</w:t>
            </w:r>
          </w:p>
          <w:p>
            <w:pPr>
              <w:autoSpaceDE w:val="0"/>
              <w:autoSpaceDN w:val="0"/>
              <w:adjustRightInd w:val="0"/>
              <w:snapToGrid w:val="0"/>
              <w:spacing w:line="400" w:lineRule="exact"/>
              <w:ind w:firstLine="420" w:firstLineChars="200"/>
              <w:rPr>
                <w:bCs/>
                <w:color w:val="auto"/>
                <w:szCs w:val="21"/>
              </w:rPr>
            </w:pPr>
            <w:r>
              <w:rPr>
                <w:bCs/>
                <w:color w:val="auto"/>
                <w:szCs w:val="21"/>
              </w:rPr>
              <w:t>根据《建设项目环境影响评价分类管理名录》（2021年版），</w:t>
            </w:r>
            <w:r>
              <w:rPr>
                <w:rFonts w:hint="eastAsia"/>
                <w:bCs/>
                <w:color w:val="FF0000"/>
                <w:szCs w:val="21"/>
              </w:rPr>
              <w:t>本项目对</w:t>
            </w:r>
            <w:r>
              <w:rPr>
                <w:rFonts w:hint="eastAsia"/>
                <w:bCs/>
                <w:color w:val="FF0000"/>
                <w:szCs w:val="21"/>
                <w:lang w:val="en-US" w:eastAsia="zh-CN"/>
              </w:rPr>
              <w:t>羊毛布料</w:t>
            </w:r>
            <w:r>
              <w:rPr>
                <w:rFonts w:hint="eastAsia"/>
                <w:bCs/>
                <w:color w:val="FF0000"/>
                <w:szCs w:val="21"/>
              </w:rPr>
              <w:t>后整理加工，对照江苏省环保厅《关于纺织品后整理企业审批问题的复函》（苏环函【2018】194号），本项目属于“无废水排放的单纯纺织品后整理项目，可归类纺织品制造”。</w:t>
            </w:r>
            <w:r>
              <w:rPr>
                <w:bCs/>
                <w:color w:val="auto"/>
                <w:szCs w:val="21"/>
              </w:rPr>
              <w:t>本项目属于</w:t>
            </w:r>
            <w:r>
              <w:rPr>
                <w:rFonts w:hint="eastAsia"/>
                <w:bCs/>
                <w:color w:val="auto"/>
                <w:szCs w:val="21"/>
                <w:lang w:eastAsia="zh-CN"/>
              </w:rPr>
              <w:t>“</w:t>
            </w:r>
            <w:r>
              <w:rPr>
                <w:rFonts w:hint="eastAsia"/>
                <w:bCs/>
                <w:color w:val="auto"/>
                <w:szCs w:val="21"/>
                <w:lang w:val="en-US" w:eastAsia="zh-CN"/>
              </w:rPr>
              <w:t>十四、纺织业17产业用纺织成品制造178</w:t>
            </w:r>
            <w:r>
              <w:rPr>
                <w:rFonts w:hint="eastAsia"/>
                <w:bCs/>
                <w:color w:val="auto"/>
                <w:szCs w:val="21"/>
                <w:lang w:eastAsia="zh-CN"/>
              </w:rPr>
              <w:t>”</w:t>
            </w:r>
            <w:r>
              <w:rPr>
                <w:rFonts w:hint="eastAsia"/>
                <w:bCs/>
                <w:color w:val="auto"/>
                <w:szCs w:val="21"/>
                <w:lang w:val="en-US" w:eastAsia="zh-CN"/>
              </w:rPr>
              <w:t>本项目后整理工序不涉及有机溶剂，无需进行环境影响评价，考虑本项目需设置生物质锅炉，对照</w:t>
            </w:r>
            <w:r>
              <w:rPr>
                <w:rFonts w:hint="eastAsia"/>
                <w:bCs/>
                <w:color w:val="auto"/>
                <w:szCs w:val="21"/>
              </w:rPr>
              <w:t>“</w:t>
            </w:r>
            <w:r>
              <w:rPr>
                <w:rFonts w:hint="eastAsia" w:eastAsia="宋体"/>
                <w:color w:val="auto"/>
                <w:szCs w:val="21"/>
              </w:rPr>
              <w:t>四十</w:t>
            </w:r>
            <w:r>
              <w:rPr>
                <w:rFonts w:hint="eastAsia" w:eastAsia="宋体"/>
                <w:color w:val="auto"/>
                <w:szCs w:val="21"/>
                <w:lang w:val="en-US" w:eastAsia="zh-CN"/>
              </w:rPr>
              <w:t>一</w:t>
            </w:r>
            <w:r>
              <w:rPr>
                <w:rFonts w:hint="eastAsia" w:eastAsia="宋体"/>
                <w:color w:val="auto"/>
                <w:szCs w:val="21"/>
              </w:rPr>
              <w:t>、</w:t>
            </w:r>
            <w:r>
              <w:rPr>
                <w:rFonts w:hint="eastAsia" w:eastAsia="宋体"/>
                <w:color w:val="auto"/>
                <w:szCs w:val="21"/>
                <w:lang w:val="en-US" w:eastAsia="zh-CN"/>
              </w:rPr>
              <w:t>电力、热力生产和供应业91热力生产和供应工程（包括建设单位自建自用的供热工程）、使用其他高污染燃料的</w:t>
            </w:r>
            <w:r>
              <w:rPr>
                <w:rFonts w:hint="eastAsia"/>
                <w:color w:val="auto"/>
                <w:szCs w:val="21"/>
                <w:lang w:val="en-US" w:eastAsia="zh-CN"/>
              </w:rPr>
              <w:t>（</w:t>
            </w:r>
            <w:r>
              <w:rPr>
                <w:rFonts w:hint="eastAsia" w:eastAsia="宋体"/>
                <w:color w:val="auto"/>
                <w:szCs w:val="21"/>
                <w:lang w:val="en-US" w:eastAsia="zh-CN"/>
              </w:rPr>
              <w:t>高污染燃料指国环规大气</w:t>
            </w:r>
            <w:r>
              <w:rPr>
                <w:rFonts w:hint="eastAsia" w:ascii="Times New Roman" w:hAnsi="Times New Roman" w:eastAsia="宋体" w:cs="Times New Roman"/>
                <w:color w:val="auto"/>
                <w:szCs w:val="21"/>
                <w:lang w:val="en-US" w:eastAsia="zh-CN"/>
              </w:rPr>
              <w:t>〔201</w:t>
            </w:r>
            <w:r>
              <w:rPr>
                <w:rFonts w:hint="eastAsia" w:eastAsia="宋体"/>
                <w:color w:val="auto"/>
                <w:szCs w:val="21"/>
                <w:lang w:val="en-US" w:eastAsia="zh-CN"/>
              </w:rPr>
              <w:t>7〕2号《高污染燃料目录》中规定的燃料）</w:t>
            </w:r>
            <w:r>
              <w:rPr>
                <w:rFonts w:hint="eastAsia"/>
                <w:bCs/>
                <w:color w:val="auto"/>
                <w:szCs w:val="21"/>
              </w:rPr>
              <w:t>”</w:t>
            </w:r>
            <w:r>
              <w:rPr>
                <w:bCs/>
                <w:color w:val="auto"/>
                <w:szCs w:val="21"/>
              </w:rPr>
              <w:t>，应编制环境影响报告表。</w:t>
            </w:r>
          </w:p>
          <w:p>
            <w:pPr>
              <w:autoSpaceDE w:val="0"/>
              <w:autoSpaceDN w:val="0"/>
              <w:adjustRightInd w:val="0"/>
              <w:snapToGrid w:val="0"/>
              <w:spacing w:line="400" w:lineRule="exact"/>
              <w:ind w:firstLine="420" w:firstLineChars="200"/>
              <w:rPr>
                <w:bCs/>
                <w:color w:val="auto"/>
                <w:szCs w:val="21"/>
              </w:rPr>
            </w:pPr>
            <w:r>
              <w:rPr>
                <w:rFonts w:hint="eastAsia" w:ascii="Times New Roman" w:hAnsi="Times New Roman" w:eastAsia="宋体" w:cs="Times New Roman"/>
                <w:bCs/>
                <w:color w:val="auto"/>
                <w:szCs w:val="21"/>
                <w:lang w:val="en-US" w:eastAsia="zh-CN"/>
              </w:rPr>
              <w:t>南通众隆纺织科技有限公司</w:t>
            </w:r>
            <w:r>
              <w:rPr>
                <w:bCs/>
                <w:color w:val="auto"/>
                <w:szCs w:val="21"/>
              </w:rPr>
              <w:t>委托我公司开展该项目环境影响评价工作</w:t>
            </w:r>
            <w:r>
              <w:rPr>
                <w:rFonts w:hint="eastAsia"/>
                <w:bCs/>
                <w:color w:val="auto"/>
                <w:szCs w:val="21"/>
              </w:rPr>
              <w:t>，</w:t>
            </w:r>
            <w:r>
              <w:rPr>
                <w:bCs/>
                <w:color w:val="auto"/>
                <w:szCs w:val="21"/>
              </w:rPr>
              <w:t>我公司接受委托后，进行了实地踏勘和资料收集，在工程分析的基础上，编制了本环境影响报告表。</w:t>
            </w:r>
          </w:p>
          <w:p>
            <w:pPr>
              <w:autoSpaceDE w:val="0"/>
              <w:autoSpaceDN w:val="0"/>
              <w:adjustRightInd w:val="0"/>
              <w:snapToGrid w:val="0"/>
              <w:spacing w:line="400" w:lineRule="exact"/>
              <w:ind w:firstLine="422" w:firstLineChars="200"/>
              <w:jc w:val="left"/>
              <w:rPr>
                <w:rFonts w:hint="default" w:eastAsia="宋体"/>
                <w:b/>
                <w:bCs/>
                <w:color w:val="auto"/>
                <w:szCs w:val="21"/>
                <w:lang w:val="en-US" w:eastAsia="zh-CN"/>
              </w:rPr>
            </w:pPr>
            <w:r>
              <w:rPr>
                <w:b/>
                <w:bCs/>
                <w:color w:val="auto"/>
                <w:szCs w:val="21"/>
              </w:rPr>
              <w:t>2、</w:t>
            </w:r>
            <w:r>
              <w:rPr>
                <w:rFonts w:hint="eastAsia"/>
                <w:b/>
                <w:bCs/>
                <w:color w:val="auto"/>
                <w:szCs w:val="21"/>
                <w:lang w:val="en-US" w:eastAsia="zh-CN"/>
              </w:rPr>
              <w:t>工程概况</w:t>
            </w:r>
          </w:p>
          <w:p>
            <w:pPr>
              <w:autoSpaceDE w:val="0"/>
              <w:autoSpaceDN w:val="0"/>
              <w:adjustRightInd w:val="0"/>
              <w:snapToGrid w:val="0"/>
              <w:spacing w:line="400" w:lineRule="exact"/>
              <w:ind w:firstLine="422" w:firstLineChars="200"/>
              <w:jc w:val="left"/>
              <w:rPr>
                <w:b/>
                <w:bCs/>
                <w:color w:val="auto"/>
                <w:szCs w:val="21"/>
              </w:rPr>
            </w:pPr>
            <w:r>
              <w:rPr>
                <w:rFonts w:hint="eastAsia"/>
                <w:b/>
                <w:bCs/>
                <w:color w:val="auto"/>
                <w:szCs w:val="21"/>
                <w:lang w:val="en-US" w:eastAsia="zh-CN"/>
              </w:rPr>
              <w:t xml:space="preserve">2.1 </w:t>
            </w:r>
            <w:r>
              <w:rPr>
                <w:rFonts w:hint="eastAsia"/>
                <w:b/>
                <w:bCs/>
                <w:color w:val="auto"/>
                <w:szCs w:val="21"/>
              </w:rPr>
              <w:t>产品方案</w:t>
            </w:r>
          </w:p>
          <w:p>
            <w:pPr>
              <w:autoSpaceDE w:val="0"/>
              <w:autoSpaceDN w:val="0"/>
              <w:adjustRightInd w:val="0"/>
              <w:snapToGrid w:val="0"/>
              <w:spacing w:line="400" w:lineRule="exact"/>
              <w:ind w:firstLine="420" w:firstLineChars="200"/>
              <w:rPr>
                <w:rFonts w:hint="default" w:eastAsia="宋体"/>
                <w:bCs/>
                <w:color w:val="auto"/>
                <w:szCs w:val="21"/>
                <w:lang w:val="en-US" w:eastAsia="zh-CN"/>
              </w:rPr>
            </w:pPr>
            <w:r>
              <w:rPr>
                <w:rFonts w:hint="eastAsia"/>
                <w:bCs/>
                <w:color w:val="auto"/>
                <w:szCs w:val="21"/>
                <w:lang w:val="en-US" w:eastAsia="zh-CN"/>
              </w:rPr>
              <w:t>本项目产品方案见表2-1。</w:t>
            </w:r>
          </w:p>
          <w:p>
            <w:pPr>
              <w:autoSpaceDE w:val="0"/>
              <w:autoSpaceDN w:val="0"/>
              <w:adjustRightInd w:val="0"/>
              <w:snapToGrid w:val="0"/>
              <w:spacing w:line="400" w:lineRule="exact"/>
              <w:jc w:val="center"/>
              <w:rPr>
                <w:b/>
                <w:bCs/>
                <w:color w:val="FF0000"/>
                <w:szCs w:val="21"/>
              </w:rPr>
            </w:pPr>
            <w:r>
              <w:rPr>
                <w:b/>
                <w:bCs/>
                <w:color w:val="FF0000"/>
                <w:szCs w:val="21"/>
              </w:rPr>
              <w:t>表2-1  本项目产品方案</w:t>
            </w:r>
          </w:p>
          <w:tbl>
            <w:tblPr>
              <w:tblStyle w:val="38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592"/>
              <w:gridCol w:w="1068"/>
              <w:gridCol w:w="972"/>
              <w:gridCol w:w="852"/>
              <w:gridCol w:w="852"/>
              <w:gridCol w:w="1025"/>
              <w:gridCol w:w="1050"/>
              <w:gridCol w:w="1063"/>
              <w:gridCol w:w="96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592" w:type="dxa"/>
                  <w:vMerge w:val="restart"/>
                  <w:vAlign w:val="center"/>
                </w:tcPr>
                <w:p>
                  <w:pPr>
                    <w:spacing w:after="0" w:line="240" w:lineRule="auto"/>
                    <w:jc w:val="center"/>
                    <w:rPr>
                      <w:rFonts w:ascii="Times New Roman" w:hAnsi="Times New Roman"/>
                      <w:b/>
                      <w:bCs/>
                      <w:color w:val="FF0000"/>
                      <w:spacing w:val="6"/>
                      <w:sz w:val="20"/>
                      <w:szCs w:val="20"/>
                    </w:rPr>
                  </w:pPr>
                  <w:r>
                    <w:rPr>
                      <w:rFonts w:hint="eastAsia" w:ascii="Times New Roman" w:hAnsi="Times New Roman"/>
                      <w:b/>
                      <w:bCs/>
                      <w:color w:val="FF0000"/>
                      <w:spacing w:val="6"/>
                      <w:sz w:val="20"/>
                      <w:szCs w:val="20"/>
                    </w:rPr>
                    <w:t>序号</w:t>
                  </w:r>
                </w:p>
              </w:tc>
              <w:tc>
                <w:tcPr>
                  <w:tcW w:w="1068" w:type="dxa"/>
                  <w:vMerge w:val="restart"/>
                  <w:vAlign w:val="center"/>
                </w:tcPr>
                <w:p>
                  <w:pPr>
                    <w:spacing w:after="0" w:line="240" w:lineRule="auto"/>
                    <w:jc w:val="center"/>
                    <w:rPr>
                      <w:rFonts w:ascii="Times New Roman" w:hAnsi="Times New Roman"/>
                      <w:b/>
                      <w:bCs/>
                      <w:color w:val="FF0000"/>
                      <w:spacing w:val="6"/>
                      <w:sz w:val="20"/>
                      <w:szCs w:val="20"/>
                    </w:rPr>
                  </w:pPr>
                  <w:r>
                    <w:rPr>
                      <w:rFonts w:hint="eastAsia" w:ascii="Times New Roman" w:hAnsi="Times New Roman"/>
                      <w:b/>
                      <w:bCs/>
                      <w:color w:val="FF0000"/>
                      <w:spacing w:val="6"/>
                      <w:sz w:val="20"/>
                      <w:szCs w:val="20"/>
                    </w:rPr>
                    <w:t>工程名称</w:t>
                  </w:r>
                </w:p>
              </w:tc>
              <w:tc>
                <w:tcPr>
                  <w:tcW w:w="972" w:type="dxa"/>
                  <w:vMerge w:val="restart"/>
                  <w:vAlign w:val="center"/>
                </w:tcPr>
                <w:p>
                  <w:pPr>
                    <w:spacing w:after="0" w:line="240" w:lineRule="auto"/>
                    <w:jc w:val="center"/>
                    <w:rPr>
                      <w:rFonts w:ascii="Times New Roman" w:hAnsi="Times New Roman"/>
                      <w:b/>
                      <w:bCs/>
                      <w:color w:val="FF0000"/>
                      <w:sz w:val="20"/>
                      <w:szCs w:val="20"/>
                    </w:rPr>
                  </w:pPr>
                  <w:r>
                    <w:rPr>
                      <w:rFonts w:ascii="Times New Roman" w:hAnsi="Times New Roman"/>
                      <w:b/>
                      <w:bCs/>
                      <w:color w:val="FF0000"/>
                      <w:spacing w:val="6"/>
                      <w:sz w:val="20"/>
                      <w:szCs w:val="20"/>
                    </w:rPr>
                    <w:t>产品名称</w:t>
                  </w:r>
                </w:p>
              </w:tc>
              <w:tc>
                <w:tcPr>
                  <w:tcW w:w="852" w:type="dxa"/>
                  <w:vMerge w:val="restart"/>
                  <w:vAlign w:val="center"/>
                </w:tcPr>
                <w:p>
                  <w:pPr>
                    <w:spacing w:after="0" w:line="240" w:lineRule="auto"/>
                    <w:jc w:val="center"/>
                    <w:rPr>
                      <w:rFonts w:hint="eastAsia" w:ascii="Times New Roman" w:hAnsi="Times New Roman" w:eastAsia="宋体"/>
                      <w:b/>
                      <w:bCs/>
                      <w:color w:val="FF0000"/>
                      <w:spacing w:val="6"/>
                      <w:sz w:val="20"/>
                      <w:szCs w:val="20"/>
                      <w:lang w:val="en-US" w:eastAsia="zh-CN"/>
                    </w:rPr>
                  </w:pPr>
                  <w:r>
                    <w:rPr>
                      <w:rFonts w:hint="eastAsia"/>
                      <w:b/>
                      <w:bCs/>
                      <w:color w:val="FF0000"/>
                      <w:spacing w:val="6"/>
                      <w:sz w:val="20"/>
                      <w:szCs w:val="20"/>
                      <w:lang w:val="en-US" w:eastAsia="zh-CN"/>
                    </w:rPr>
                    <w:t>羊毛率（%）</w:t>
                  </w:r>
                </w:p>
              </w:tc>
              <w:tc>
                <w:tcPr>
                  <w:tcW w:w="852" w:type="dxa"/>
                  <w:vMerge w:val="restart"/>
                  <w:vAlign w:val="center"/>
                </w:tcPr>
                <w:p>
                  <w:pPr>
                    <w:spacing w:after="0" w:line="240" w:lineRule="auto"/>
                    <w:jc w:val="center"/>
                    <w:rPr>
                      <w:rFonts w:hint="default"/>
                      <w:b/>
                      <w:bCs/>
                      <w:color w:val="FF0000"/>
                      <w:spacing w:val="6"/>
                      <w:sz w:val="20"/>
                      <w:szCs w:val="20"/>
                      <w:lang w:val="en-US" w:eastAsia="zh-CN"/>
                    </w:rPr>
                  </w:pPr>
                  <w:r>
                    <w:rPr>
                      <w:rFonts w:hint="eastAsia"/>
                      <w:b/>
                      <w:bCs/>
                      <w:color w:val="FF0000"/>
                      <w:spacing w:val="6"/>
                      <w:sz w:val="20"/>
                      <w:szCs w:val="20"/>
                      <w:lang w:val="en-US" w:eastAsia="zh-CN"/>
                    </w:rPr>
                    <w:t>摩擦系数</w:t>
                  </w:r>
                </w:p>
              </w:tc>
              <w:tc>
                <w:tcPr>
                  <w:tcW w:w="2075" w:type="dxa"/>
                  <w:gridSpan w:val="2"/>
                  <w:tcBorders>
                    <w:bottom w:val="single" w:color="000000" w:sz="4" w:space="0"/>
                  </w:tcBorders>
                  <w:vAlign w:val="center"/>
                </w:tcPr>
                <w:p>
                  <w:pPr>
                    <w:spacing w:after="0" w:line="240" w:lineRule="auto"/>
                    <w:jc w:val="center"/>
                    <w:rPr>
                      <w:rFonts w:ascii="Times New Roman" w:hAnsi="Times New Roman"/>
                      <w:b/>
                      <w:bCs/>
                      <w:color w:val="FF0000"/>
                      <w:sz w:val="20"/>
                      <w:szCs w:val="20"/>
                    </w:rPr>
                  </w:pPr>
                  <w:r>
                    <w:rPr>
                      <w:rFonts w:hint="eastAsia" w:ascii="Times New Roman" w:hAnsi="Times New Roman"/>
                      <w:b/>
                      <w:bCs/>
                      <w:color w:val="FF0000"/>
                      <w:sz w:val="20"/>
                      <w:szCs w:val="20"/>
                    </w:rPr>
                    <w:t>规格</w:t>
                  </w:r>
                </w:p>
              </w:tc>
              <w:tc>
                <w:tcPr>
                  <w:tcW w:w="2032" w:type="dxa"/>
                  <w:gridSpan w:val="2"/>
                  <w:vAlign w:val="center"/>
                </w:tcPr>
                <w:p>
                  <w:pPr>
                    <w:spacing w:after="0" w:line="240" w:lineRule="auto"/>
                    <w:jc w:val="center"/>
                    <w:rPr>
                      <w:rFonts w:ascii="Times New Roman" w:hAnsi="Times New Roman"/>
                      <w:b/>
                      <w:bCs/>
                      <w:color w:val="FF0000"/>
                      <w:sz w:val="20"/>
                      <w:szCs w:val="20"/>
                    </w:rPr>
                  </w:pPr>
                  <w:r>
                    <w:rPr>
                      <w:rFonts w:hint="eastAsia" w:ascii="Times New Roman" w:hAnsi="Times New Roman"/>
                      <w:b/>
                      <w:bCs/>
                      <w:color w:val="FF0000"/>
                      <w:spacing w:val="4"/>
                      <w:sz w:val="20"/>
                      <w:szCs w:val="20"/>
                    </w:rPr>
                    <w:t>产能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97" w:hRule="atLeast"/>
                <w:jc w:val="center"/>
              </w:trPr>
              <w:tc>
                <w:tcPr>
                  <w:tcW w:w="592" w:type="dxa"/>
                  <w:vMerge w:val="continue"/>
                  <w:tcBorders>
                    <w:bottom w:val="single" w:color="000000" w:sz="12" w:space="0"/>
                  </w:tcBorders>
                  <w:vAlign w:val="center"/>
                </w:tcPr>
                <w:p>
                  <w:pPr>
                    <w:spacing w:after="0" w:line="240" w:lineRule="auto"/>
                    <w:jc w:val="center"/>
                    <w:rPr>
                      <w:color w:val="FF0000"/>
                      <w:sz w:val="20"/>
                      <w:szCs w:val="22"/>
                    </w:rPr>
                  </w:pPr>
                </w:p>
              </w:tc>
              <w:tc>
                <w:tcPr>
                  <w:tcW w:w="1068" w:type="dxa"/>
                  <w:vMerge w:val="continue"/>
                  <w:tcBorders>
                    <w:bottom w:val="single" w:color="000000" w:sz="12" w:space="0"/>
                  </w:tcBorders>
                  <w:vAlign w:val="center"/>
                </w:tcPr>
                <w:p>
                  <w:pPr>
                    <w:spacing w:after="0" w:line="240" w:lineRule="auto"/>
                    <w:jc w:val="center"/>
                    <w:rPr>
                      <w:color w:val="FF0000"/>
                      <w:sz w:val="20"/>
                      <w:szCs w:val="22"/>
                    </w:rPr>
                  </w:pPr>
                </w:p>
              </w:tc>
              <w:tc>
                <w:tcPr>
                  <w:tcW w:w="972" w:type="dxa"/>
                  <w:vMerge w:val="continue"/>
                  <w:tcBorders>
                    <w:bottom w:val="single" w:color="000000" w:sz="12" w:space="0"/>
                  </w:tcBorders>
                  <w:vAlign w:val="center"/>
                </w:tcPr>
                <w:p>
                  <w:pPr>
                    <w:spacing w:after="0" w:line="240" w:lineRule="auto"/>
                    <w:jc w:val="center"/>
                    <w:rPr>
                      <w:color w:val="FF0000"/>
                      <w:sz w:val="20"/>
                      <w:szCs w:val="22"/>
                    </w:rPr>
                  </w:pPr>
                </w:p>
              </w:tc>
              <w:tc>
                <w:tcPr>
                  <w:tcW w:w="852" w:type="dxa"/>
                  <w:vMerge w:val="continue"/>
                  <w:tcBorders>
                    <w:bottom w:val="single" w:color="000000" w:sz="12" w:space="0"/>
                  </w:tcBorders>
                  <w:vAlign w:val="center"/>
                </w:tcPr>
                <w:p>
                  <w:pPr>
                    <w:spacing w:after="0" w:line="240" w:lineRule="auto"/>
                    <w:jc w:val="center"/>
                    <w:rPr>
                      <w:color w:val="FF0000"/>
                      <w:sz w:val="20"/>
                      <w:szCs w:val="22"/>
                    </w:rPr>
                  </w:pPr>
                </w:p>
              </w:tc>
              <w:tc>
                <w:tcPr>
                  <w:tcW w:w="852" w:type="dxa"/>
                  <w:vMerge w:val="continue"/>
                  <w:tcBorders>
                    <w:bottom w:val="single" w:color="000000" w:sz="12" w:space="0"/>
                  </w:tcBorders>
                  <w:vAlign w:val="center"/>
                </w:tcPr>
                <w:p>
                  <w:pPr>
                    <w:spacing w:after="0" w:line="240" w:lineRule="auto"/>
                    <w:jc w:val="center"/>
                    <w:rPr>
                      <w:color w:val="FF0000"/>
                      <w:sz w:val="20"/>
                      <w:szCs w:val="22"/>
                    </w:rPr>
                  </w:pPr>
                </w:p>
              </w:tc>
              <w:tc>
                <w:tcPr>
                  <w:tcW w:w="1025" w:type="dxa"/>
                  <w:tcBorders>
                    <w:top w:val="single" w:color="000000" w:sz="4" w:space="0"/>
                    <w:bottom w:val="single" w:color="000000" w:sz="12" w:space="0"/>
                  </w:tcBorders>
                  <w:vAlign w:val="center"/>
                </w:tcPr>
                <w:p>
                  <w:pPr>
                    <w:spacing w:after="0" w:line="240" w:lineRule="auto"/>
                    <w:jc w:val="center"/>
                    <w:rPr>
                      <w:rFonts w:ascii="Times New Roman" w:hAnsi="Times New Roman"/>
                      <w:b/>
                      <w:bCs/>
                      <w:color w:val="FF0000"/>
                      <w:sz w:val="20"/>
                      <w:szCs w:val="20"/>
                    </w:rPr>
                  </w:pPr>
                  <w:r>
                    <w:rPr>
                      <w:rFonts w:ascii="Times New Roman" w:hAnsi="Times New Roman"/>
                      <w:b/>
                      <w:bCs/>
                      <w:color w:val="FF0000"/>
                      <w:spacing w:val="-2"/>
                      <w:position w:val="5"/>
                      <w:sz w:val="20"/>
                      <w:szCs w:val="20"/>
                    </w:rPr>
                    <w:t>幅宽</w:t>
                  </w:r>
                </w:p>
                <w:p>
                  <w:pPr>
                    <w:spacing w:after="0" w:line="240" w:lineRule="auto"/>
                    <w:jc w:val="center"/>
                    <w:rPr>
                      <w:rFonts w:ascii="Times New Roman" w:hAnsi="Times New Roman"/>
                      <w:b/>
                      <w:bCs/>
                      <w:color w:val="FF0000"/>
                      <w:spacing w:val="57"/>
                      <w:sz w:val="20"/>
                      <w:szCs w:val="20"/>
                    </w:rPr>
                  </w:pPr>
                  <w:r>
                    <w:rPr>
                      <w:rFonts w:ascii="Times New Roman" w:hAnsi="Times New Roman"/>
                      <w:b/>
                      <w:bCs/>
                      <w:color w:val="FF0000"/>
                      <w:spacing w:val="57"/>
                      <w:sz w:val="20"/>
                      <w:szCs w:val="20"/>
                    </w:rPr>
                    <w:t>(</w:t>
                  </w:r>
                  <w:r>
                    <w:rPr>
                      <w:rFonts w:hint="eastAsia" w:ascii="Times New Roman" w:hAnsi="Times New Roman"/>
                      <w:b/>
                      <w:bCs/>
                      <w:color w:val="FF0000"/>
                      <w:sz w:val="20"/>
                      <w:szCs w:val="20"/>
                      <w:lang w:val="en-US" w:eastAsia="zh-CN"/>
                    </w:rPr>
                    <w:t>m</w:t>
                  </w:r>
                  <w:r>
                    <w:rPr>
                      <w:rFonts w:ascii="Times New Roman" w:hAnsi="Times New Roman"/>
                      <w:b/>
                      <w:bCs/>
                      <w:color w:val="FF0000"/>
                      <w:spacing w:val="56"/>
                      <w:sz w:val="20"/>
                      <w:szCs w:val="20"/>
                    </w:rPr>
                    <w:t>)</w:t>
                  </w:r>
                </w:p>
              </w:tc>
              <w:tc>
                <w:tcPr>
                  <w:tcW w:w="1050" w:type="dxa"/>
                  <w:tcBorders>
                    <w:top w:val="single" w:color="000000" w:sz="4" w:space="0"/>
                    <w:bottom w:val="single" w:color="000000" w:sz="12" w:space="0"/>
                  </w:tcBorders>
                  <w:vAlign w:val="center"/>
                </w:tcPr>
                <w:p>
                  <w:pPr>
                    <w:spacing w:after="0" w:line="240" w:lineRule="auto"/>
                    <w:jc w:val="center"/>
                    <w:rPr>
                      <w:rFonts w:ascii="Times New Roman" w:hAnsi="Times New Roman"/>
                      <w:b/>
                      <w:bCs/>
                      <w:color w:val="FF0000"/>
                      <w:spacing w:val="57"/>
                      <w:sz w:val="20"/>
                      <w:szCs w:val="20"/>
                    </w:rPr>
                  </w:pPr>
                  <w:r>
                    <w:rPr>
                      <w:rFonts w:ascii="Times New Roman" w:hAnsi="Times New Roman"/>
                      <w:b/>
                      <w:bCs/>
                      <w:color w:val="FF0000"/>
                      <w:spacing w:val="8"/>
                      <w:sz w:val="20"/>
                      <w:szCs w:val="20"/>
                    </w:rPr>
                    <w:t>平</w:t>
                  </w:r>
                  <w:r>
                    <w:rPr>
                      <w:rFonts w:ascii="Times New Roman" w:hAnsi="Times New Roman"/>
                      <w:b/>
                      <w:bCs/>
                      <w:color w:val="FF0000"/>
                      <w:spacing w:val="6"/>
                      <w:sz w:val="20"/>
                      <w:szCs w:val="20"/>
                    </w:rPr>
                    <w:t>均布重</w:t>
                  </w:r>
                  <w:r>
                    <w:rPr>
                      <w:rFonts w:ascii="Times New Roman" w:hAnsi="Times New Roman"/>
                      <w:b/>
                      <w:bCs/>
                      <w:color w:val="FF0000"/>
                      <w:sz w:val="20"/>
                      <w:szCs w:val="20"/>
                    </w:rPr>
                    <w:t xml:space="preserve"> </w:t>
                  </w:r>
                  <w:r>
                    <w:rPr>
                      <w:rFonts w:ascii="Times New Roman" w:hAnsi="Times New Roman"/>
                      <w:b/>
                      <w:bCs/>
                      <w:color w:val="FF0000"/>
                      <w:spacing w:val="25"/>
                      <w:sz w:val="20"/>
                      <w:szCs w:val="20"/>
                    </w:rPr>
                    <w:t>(</w:t>
                  </w:r>
                  <w:r>
                    <w:rPr>
                      <w:rFonts w:hint="eastAsia" w:ascii="Times New Roman" w:hAnsi="Times New Roman"/>
                      <w:b/>
                      <w:bCs/>
                      <w:color w:val="FF0000"/>
                      <w:sz w:val="20"/>
                      <w:szCs w:val="20"/>
                      <w:lang w:val="en-US" w:eastAsia="zh-CN"/>
                    </w:rPr>
                    <w:t>g</w:t>
                  </w:r>
                  <w:r>
                    <w:rPr>
                      <w:rFonts w:ascii="Times New Roman" w:hAnsi="Times New Roman"/>
                      <w:b/>
                      <w:bCs/>
                      <w:color w:val="FF0000"/>
                      <w:spacing w:val="21"/>
                      <w:sz w:val="20"/>
                      <w:szCs w:val="20"/>
                    </w:rPr>
                    <w:t>/</w:t>
                  </w:r>
                  <w:r>
                    <w:rPr>
                      <w:rFonts w:ascii="Times New Roman" w:hAnsi="Times New Roman"/>
                      <w:b/>
                      <w:bCs/>
                      <w:color w:val="FF0000"/>
                      <w:sz w:val="20"/>
                      <w:szCs w:val="20"/>
                    </w:rPr>
                    <w:t>m</w:t>
                  </w:r>
                  <w:r>
                    <w:rPr>
                      <w:rFonts w:hint="eastAsia" w:ascii="Times New Roman" w:hAnsi="Times New Roman"/>
                      <w:b/>
                      <w:bCs/>
                      <w:color w:val="FF0000"/>
                      <w:sz w:val="20"/>
                      <w:szCs w:val="20"/>
                      <w:vertAlign w:val="superscript"/>
                      <w:lang w:val="en-US" w:eastAsia="zh-CN"/>
                    </w:rPr>
                    <w:t>2</w:t>
                  </w:r>
                  <w:r>
                    <w:rPr>
                      <w:rFonts w:ascii="Times New Roman" w:hAnsi="Times New Roman"/>
                      <w:b/>
                      <w:bCs/>
                      <w:color w:val="FF0000"/>
                      <w:spacing w:val="21"/>
                      <w:sz w:val="20"/>
                      <w:szCs w:val="20"/>
                    </w:rPr>
                    <w:t>)</w:t>
                  </w:r>
                </w:p>
              </w:tc>
              <w:tc>
                <w:tcPr>
                  <w:tcW w:w="1063" w:type="dxa"/>
                  <w:tcBorders>
                    <w:bottom w:val="single" w:color="000000" w:sz="12" w:space="0"/>
                  </w:tcBorders>
                  <w:vAlign w:val="center"/>
                </w:tcPr>
                <w:p>
                  <w:pPr>
                    <w:spacing w:after="0" w:line="240" w:lineRule="auto"/>
                    <w:jc w:val="center"/>
                    <w:rPr>
                      <w:rFonts w:ascii="Times New Roman" w:hAnsi="Times New Roman"/>
                      <w:b/>
                      <w:bCs/>
                      <w:color w:val="FF0000"/>
                      <w:spacing w:val="57"/>
                      <w:sz w:val="20"/>
                      <w:szCs w:val="20"/>
                    </w:rPr>
                  </w:pPr>
                  <w:r>
                    <w:rPr>
                      <w:rFonts w:hint="eastAsia" w:ascii="Times New Roman" w:hAnsi="Times New Roman"/>
                      <w:b/>
                      <w:bCs/>
                      <w:color w:val="FF0000"/>
                      <w:spacing w:val="57"/>
                      <w:sz w:val="20"/>
                      <w:szCs w:val="20"/>
                      <w:lang w:val="en-US" w:eastAsia="zh-CN"/>
                    </w:rPr>
                    <w:t>万</w:t>
                  </w:r>
                  <w:r>
                    <w:rPr>
                      <w:rFonts w:hint="eastAsia" w:ascii="Times New Roman" w:hAnsi="Times New Roman"/>
                      <w:b/>
                      <w:bCs/>
                      <w:color w:val="FF0000"/>
                      <w:spacing w:val="57"/>
                      <w:sz w:val="20"/>
                      <w:szCs w:val="20"/>
                    </w:rPr>
                    <w:t>米</w:t>
                  </w:r>
                </w:p>
              </w:tc>
              <w:tc>
                <w:tcPr>
                  <w:tcW w:w="969" w:type="dxa"/>
                  <w:tcBorders>
                    <w:bottom w:val="single" w:color="000000" w:sz="12" w:space="0"/>
                  </w:tcBorders>
                  <w:vAlign w:val="center"/>
                </w:tcPr>
                <w:p>
                  <w:pPr>
                    <w:spacing w:after="0" w:line="240" w:lineRule="auto"/>
                    <w:jc w:val="center"/>
                    <w:rPr>
                      <w:rFonts w:ascii="Times New Roman" w:hAnsi="Times New Roman"/>
                      <w:b/>
                      <w:bCs/>
                      <w:color w:val="FF0000"/>
                      <w:spacing w:val="57"/>
                      <w:sz w:val="20"/>
                      <w:szCs w:val="20"/>
                    </w:rPr>
                  </w:pPr>
                  <w:r>
                    <w:rPr>
                      <w:rFonts w:hint="eastAsia" w:ascii="Times New Roman" w:hAnsi="Times New Roman"/>
                      <w:b/>
                      <w:bCs/>
                      <w:color w:val="FF0000"/>
                      <w:spacing w:val="57"/>
                      <w:sz w:val="20"/>
                      <w:szCs w:val="20"/>
                    </w:rPr>
                    <w:t>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592" w:type="dxa"/>
                  <w:tcBorders>
                    <w:top w:val="single" w:color="000000" w:sz="12" w:space="0"/>
                    <w:tl2br w:val="nil"/>
                    <w:tr2bl w:val="nil"/>
                  </w:tcBorders>
                  <w:vAlign w:val="center"/>
                </w:tcPr>
                <w:p>
                  <w:pPr>
                    <w:spacing w:after="0" w:line="240" w:lineRule="auto"/>
                    <w:jc w:val="center"/>
                    <w:rPr>
                      <w:rFonts w:ascii="Times New Roman" w:hAnsi="Times New Roman"/>
                      <w:color w:val="FF0000"/>
                      <w:spacing w:val="5"/>
                      <w:sz w:val="20"/>
                      <w:szCs w:val="20"/>
                    </w:rPr>
                  </w:pPr>
                  <w:r>
                    <w:rPr>
                      <w:rFonts w:hint="eastAsia" w:ascii="Times New Roman" w:hAnsi="Times New Roman"/>
                      <w:color w:val="FF0000"/>
                      <w:spacing w:val="5"/>
                      <w:sz w:val="20"/>
                      <w:szCs w:val="20"/>
                    </w:rPr>
                    <w:t>1</w:t>
                  </w:r>
                </w:p>
              </w:tc>
              <w:tc>
                <w:tcPr>
                  <w:tcW w:w="1068" w:type="dxa"/>
                  <w:tcBorders>
                    <w:top w:val="single" w:color="000000" w:sz="12" w:space="0"/>
                    <w:tl2br w:val="nil"/>
                    <w:tr2bl w:val="nil"/>
                  </w:tcBorders>
                  <w:vAlign w:val="center"/>
                </w:tcPr>
                <w:p>
                  <w:pPr>
                    <w:spacing w:after="0" w:line="240" w:lineRule="auto"/>
                    <w:jc w:val="center"/>
                    <w:rPr>
                      <w:rFonts w:hint="eastAsia" w:ascii="Times New Roman" w:hAnsi="Times New Roman"/>
                      <w:color w:val="FF0000"/>
                      <w:spacing w:val="5"/>
                      <w:sz w:val="20"/>
                      <w:szCs w:val="20"/>
                      <w:lang w:val="en-US" w:eastAsia="zh-CN"/>
                    </w:rPr>
                  </w:pPr>
                  <w:r>
                    <w:rPr>
                      <w:rFonts w:hint="eastAsia" w:ascii="Times New Roman" w:hAnsi="Times New Roman"/>
                      <w:color w:val="FF0000"/>
                      <w:spacing w:val="5"/>
                      <w:sz w:val="20"/>
                      <w:szCs w:val="20"/>
                      <w:lang w:val="en-US" w:eastAsia="zh-CN"/>
                    </w:rPr>
                    <w:t>后整理</w:t>
                  </w:r>
                </w:p>
                <w:p>
                  <w:pPr>
                    <w:spacing w:after="0" w:line="240" w:lineRule="auto"/>
                    <w:jc w:val="center"/>
                    <w:rPr>
                      <w:rFonts w:hint="default" w:ascii="Times New Roman" w:hAnsi="Times New Roman" w:eastAsia="宋体"/>
                      <w:color w:val="FF0000"/>
                      <w:spacing w:val="4"/>
                      <w:sz w:val="20"/>
                      <w:szCs w:val="20"/>
                      <w:lang w:val="en-US" w:eastAsia="zh-CN"/>
                    </w:rPr>
                  </w:pPr>
                  <w:r>
                    <w:rPr>
                      <w:rFonts w:hint="eastAsia"/>
                      <w:color w:val="FF0000"/>
                      <w:spacing w:val="5"/>
                      <w:sz w:val="20"/>
                      <w:szCs w:val="20"/>
                      <w:lang w:val="en-US" w:eastAsia="zh-CN"/>
                    </w:rPr>
                    <w:t>生产线</w:t>
                  </w:r>
                </w:p>
              </w:tc>
              <w:tc>
                <w:tcPr>
                  <w:tcW w:w="972" w:type="dxa"/>
                  <w:tcBorders>
                    <w:top w:val="single" w:color="000000" w:sz="12" w:space="0"/>
                    <w:tl2br w:val="nil"/>
                    <w:tr2bl w:val="nil"/>
                  </w:tcBorders>
                  <w:vAlign w:val="center"/>
                </w:tcPr>
                <w:p>
                  <w:pPr>
                    <w:spacing w:after="0" w:line="240" w:lineRule="auto"/>
                    <w:jc w:val="center"/>
                    <w:rPr>
                      <w:rFonts w:hint="default" w:ascii="Times New Roman" w:hAnsi="Times New Roman" w:eastAsia="宋体"/>
                      <w:color w:val="FF0000"/>
                      <w:sz w:val="20"/>
                      <w:szCs w:val="20"/>
                      <w:lang w:val="en-US" w:eastAsia="zh-CN"/>
                    </w:rPr>
                  </w:pPr>
                  <w:r>
                    <w:rPr>
                      <w:rFonts w:hint="eastAsia"/>
                      <w:color w:val="FF0000"/>
                      <w:spacing w:val="5"/>
                      <w:sz w:val="20"/>
                      <w:szCs w:val="20"/>
                      <w:lang w:val="en-US" w:eastAsia="zh-CN"/>
                    </w:rPr>
                    <w:t>桌球布</w:t>
                  </w:r>
                </w:p>
              </w:tc>
              <w:tc>
                <w:tcPr>
                  <w:tcW w:w="852" w:type="dxa"/>
                  <w:tcBorders>
                    <w:top w:val="single" w:color="000000" w:sz="12" w:space="0"/>
                    <w:tl2br w:val="nil"/>
                    <w:tr2bl w:val="nil"/>
                  </w:tcBorders>
                  <w:vAlign w:val="center"/>
                </w:tcPr>
                <w:p>
                  <w:pPr>
                    <w:spacing w:after="0" w:line="240" w:lineRule="auto"/>
                    <w:jc w:val="center"/>
                    <w:rPr>
                      <w:rFonts w:hint="default" w:ascii="Times New Roman" w:hAnsi="Times New Roman" w:eastAsia="宋体" w:cs="Times New Roman"/>
                      <w:color w:val="FF0000"/>
                      <w:sz w:val="20"/>
                      <w:szCs w:val="20"/>
                      <w:lang w:val="en-US" w:eastAsia="zh-CN"/>
                    </w:rPr>
                  </w:pPr>
                  <w:r>
                    <w:rPr>
                      <w:rFonts w:hint="default" w:ascii="Times New Roman" w:hAnsi="Times New Roman" w:eastAsia="宋体" w:cs="Times New Roman"/>
                      <w:color w:val="FF0000"/>
                      <w:sz w:val="20"/>
                      <w:szCs w:val="20"/>
                      <w:lang w:val="en-US" w:eastAsia="zh-CN"/>
                    </w:rPr>
                    <w:t>≥70</w:t>
                  </w:r>
                </w:p>
              </w:tc>
              <w:tc>
                <w:tcPr>
                  <w:tcW w:w="852" w:type="dxa"/>
                  <w:tcBorders>
                    <w:top w:val="single" w:color="000000" w:sz="12" w:space="0"/>
                    <w:tl2br w:val="nil"/>
                    <w:tr2bl w:val="nil"/>
                  </w:tcBorders>
                  <w:vAlign w:val="center"/>
                </w:tcPr>
                <w:p>
                  <w:pPr>
                    <w:spacing w:after="0" w:line="240" w:lineRule="auto"/>
                    <w:jc w:val="center"/>
                    <w:rPr>
                      <w:rFonts w:hint="default" w:ascii="Times New Roman" w:hAnsi="Times New Roman" w:eastAsia="宋体" w:cs="Times New Roman"/>
                      <w:color w:val="FF0000"/>
                      <w:sz w:val="20"/>
                      <w:szCs w:val="20"/>
                      <w:lang w:val="en-US" w:eastAsia="zh-CN"/>
                    </w:rPr>
                  </w:pPr>
                  <w:r>
                    <w:rPr>
                      <w:rFonts w:hint="eastAsia" w:ascii="Times New Roman" w:hAnsi="Times New Roman" w:eastAsia="宋体" w:cs="Times New Roman"/>
                      <w:color w:val="FF0000"/>
                      <w:sz w:val="20"/>
                      <w:szCs w:val="20"/>
                      <w:lang w:val="en-US" w:eastAsia="zh-CN"/>
                    </w:rPr>
                    <w:t>0.35~0.55</w:t>
                  </w:r>
                </w:p>
              </w:tc>
              <w:tc>
                <w:tcPr>
                  <w:tcW w:w="1025" w:type="dxa"/>
                  <w:tcBorders>
                    <w:top w:val="single" w:color="000000" w:sz="12" w:space="0"/>
                    <w:tl2br w:val="nil"/>
                    <w:tr2bl w:val="nil"/>
                  </w:tcBorders>
                  <w:vAlign w:val="center"/>
                </w:tcPr>
                <w:p>
                  <w:pPr>
                    <w:spacing w:after="0" w:line="240" w:lineRule="auto"/>
                    <w:jc w:val="center"/>
                    <w:rPr>
                      <w:rFonts w:hint="default" w:ascii="Times New Roman" w:hAnsi="Times New Roman" w:eastAsia="宋体"/>
                      <w:color w:val="FF0000"/>
                      <w:sz w:val="20"/>
                      <w:szCs w:val="20"/>
                      <w:lang w:val="en-US" w:eastAsia="zh-CN"/>
                    </w:rPr>
                  </w:pPr>
                  <w:r>
                    <w:rPr>
                      <w:rFonts w:hint="eastAsia"/>
                      <w:color w:val="FF0000"/>
                      <w:spacing w:val="4"/>
                      <w:sz w:val="20"/>
                      <w:szCs w:val="20"/>
                      <w:lang w:val="en-US" w:eastAsia="zh-CN"/>
                    </w:rPr>
                    <w:t>1.4</w:t>
                  </w:r>
                </w:p>
              </w:tc>
              <w:tc>
                <w:tcPr>
                  <w:tcW w:w="1050" w:type="dxa"/>
                  <w:tcBorders>
                    <w:top w:val="single" w:color="000000" w:sz="12" w:space="0"/>
                    <w:tl2br w:val="nil"/>
                    <w:tr2bl w:val="nil"/>
                  </w:tcBorders>
                  <w:vAlign w:val="center"/>
                </w:tcPr>
                <w:p>
                  <w:pPr>
                    <w:spacing w:after="0" w:line="240" w:lineRule="auto"/>
                    <w:jc w:val="center"/>
                    <w:rPr>
                      <w:rFonts w:hint="default" w:ascii="Times New Roman" w:hAnsi="Times New Roman" w:eastAsia="宋体"/>
                      <w:color w:val="FF0000"/>
                      <w:sz w:val="20"/>
                      <w:szCs w:val="20"/>
                      <w:lang w:val="en-US" w:eastAsia="zh-CN"/>
                    </w:rPr>
                  </w:pPr>
                  <w:r>
                    <w:rPr>
                      <w:rFonts w:hint="eastAsia"/>
                      <w:color w:val="FF0000"/>
                      <w:sz w:val="20"/>
                      <w:szCs w:val="20"/>
                      <w:lang w:val="en-US" w:eastAsia="zh-CN"/>
                    </w:rPr>
                    <w:t>22</w:t>
                  </w:r>
                  <w:r>
                    <w:rPr>
                      <w:rFonts w:hint="eastAsia" w:ascii="Times New Roman" w:hAnsi="Times New Roman"/>
                      <w:color w:val="FF0000"/>
                      <w:sz w:val="20"/>
                      <w:szCs w:val="20"/>
                      <w:lang w:val="en-US" w:eastAsia="zh-CN"/>
                    </w:rPr>
                    <w:t>0</w:t>
                  </w:r>
                </w:p>
              </w:tc>
              <w:tc>
                <w:tcPr>
                  <w:tcW w:w="1063" w:type="dxa"/>
                  <w:tcBorders>
                    <w:top w:val="single" w:color="000000" w:sz="12" w:space="0"/>
                    <w:tl2br w:val="nil"/>
                    <w:tr2bl w:val="nil"/>
                  </w:tcBorders>
                  <w:vAlign w:val="center"/>
                </w:tcPr>
                <w:p>
                  <w:pPr>
                    <w:spacing w:after="0" w:line="240" w:lineRule="auto"/>
                    <w:jc w:val="center"/>
                    <w:rPr>
                      <w:rFonts w:hint="default" w:ascii="Times New Roman" w:hAnsi="Times New Roman" w:eastAsia="宋体"/>
                      <w:color w:val="FF0000"/>
                      <w:sz w:val="20"/>
                      <w:szCs w:val="20"/>
                      <w:lang w:val="en-US" w:eastAsia="zh-CN"/>
                    </w:rPr>
                  </w:pPr>
                  <w:r>
                    <w:rPr>
                      <w:rFonts w:hint="eastAsia" w:ascii="Times New Roman" w:hAnsi="Times New Roman"/>
                      <w:color w:val="FF0000"/>
                      <w:spacing w:val="6"/>
                      <w:sz w:val="20"/>
                      <w:szCs w:val="20"/>
                      <w:lang w:val="en-US" w:eastAsia="zh-CN"/>
                    </w:rPr>
                    <w:t>1000</w:t>
                  </w:r>
                </w:p>
              </w:tc>
              <w:tc>
                <w:tcPr>
                  <w:tcW w:w="969" w:type="dxa"/>
                  <w:tcBorders>
                    <w:top w:val="single" w:color="000000" w:sz="12" w:space="0"/>
                    <w:tl2br w:val="nil"/>
                    <w:tr2bl w:val="nil"/>
                  </w:tcBorders>
                  <w:vAlign w:val="center"/>
                </w:tcPr>
                <w:p>
                  <w:pPr>
                    <w:spacing w:after="0" w:line="240" w:lineRule="auto"/>
                    <w:jc w:val="center"/>
                    <w:rPr>
                      <w:rFonts w:hint="default" w:ascii="Times New Roman" w:hAnsi="Times New Roman"/>
                      <w:color w:val="FF0000"/>
                      <w:sz w:val="20"/>
                      <w:szCs w:val="20"/>
                      <w:lang w:val="en-US"/>
                    </w:rPr>
                  </w:pPr>
                  <w:r>
                    <w:rPr>
                      <w:rFonts w:hint="eastAsia"/>
                      <w:color w:val="FF0000"/>
                      <w:spacing w:val="3"/>
                      <w:sz w:val="20"/>
                      <w:szCs w:val="20"/>
                      <w:lang w:val="en-US" w:eastAsia="zh-CN"/>
                    </w:rPr>
                    <w:t>3080</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b/>
                <w:bCs/>
                <w:color w:val="auto"/>
                <w:szCs w:val="21"/>
              </w:rPr>
            </w:pPr>
            <w:r>
              <w:rPr>
                <w:rFonts w:hint="eastAsia"/>
                <w:b/>
                <w:bCs/>
                <w:color w:val="FF0000"/>
                <w:sz w:val="18"/>
                <w:szCs w:val="18"/>
                <w:lang w:val="en-US" w:eastAsia="zh-CN"/>
              </w:rPr>
              <w:t>注；</w:t>
            </w:r>
            <w:r>
              <w:rPr>
                <w:b/>
                <w:bCs/>
                <w:color w:val="FF0000"/>
                <w:sz w:val="18"/>
                <w:szCs w:val="18"/>
              </w:rPr>
              <w:t>本项目产品</w:t>
            </w:r>
            <w:r>
              <w:rPr>
                <w:rFonts w:hint="eastAsia"/>
                <w:b/>
                <w:bCs/>
                <w:color w:val="FF0000"/>
                <w:sz w:val="18"/>
                <w:szCs w:val="18"/>
                <w:lang w:val="en-US" w:eastAsia="zh-CN"/>
              </w:rPr>
              <w:t>无统一质量标准，根据客户需求制定。</w:t>
            </w:r>
          </w:p>
          <w:p>
            <w:pPr>
              <w:autoSpaceDE w:val="0"/>
              <w:autoSpaceDN w:val="0"/>
              <w:adjustRightInd w:val="0"/>
              <w:snapToGrid w:val="0"/>
              <w:spacing w:line="400" w:lineRule="exact"/>
              <w:ind w:firstLine="422" w:firstLineChars="200"/>
              <w:rPr>
                <w:b/>
                <w:bCs/>
                <w:color w:val="auto"/>
                <w:szCs w:val="21"/>
              </w:rPr>
            </w:pPr>
            <w:r>
              <w:rPr>
                <w:rFonts w:hint="eastAsia"/>
                <w:b/>
                <w:bCs/>
                <w:color w:val="auto"/>
                <w:szCs w:val="21"/>
              </w:rPr>
              <w:t xml:space="preserve">2.2 </w:t>
            </w:r>
            <w:r>
              <w:rPr>
                <w:rFonts w:hint="eastAsia"/>
                <w:b/>
                <w:bCs/>
                <w:color w:val="auto"/>
                <w:sz w:val="24"/>
              </w:rPr>
              <w:t>主体工程、公辅工程、贮运工程、环保工程</w:t>
            </w:r>
          </w:p>
          <w:p>
            <w:pPr>
              <w:autoSpaceDE w:val="0"/>
              <w:autoSpaceDN w:val="0"/>
              <w:adjustRightInd w:val="0"/>
              <w:snapToGrid w:val="0"/>
              <w:spacing w:line="400" w:lineRule="exact"/>
              <w:ind w:firstLine="420" w:firstLineChars="200"/>
              <w:rPr>
                <w:rFonts w:hint="default"/>
                <w:bCs/>
                <w:color w:val="auto"/>
                <w:szCs w:val="21"/>
                <w:lang w:val="en-US"/>
              </w:rPr>
            </w:pPr>
            <w:r>
              <w:rPr>
                <w:rFonts w:hint="eastAsia"/>
                <w:bCs/>
                <w:color w:val="auto"/>
                <w:szCs w:val="21"/>
              </w:rPr>
              <w:t>本项</w:t>
            </w:r>
            <w:r>
              <w:rPr>
                <w:rFonts w:hint="eastAsia" w:ascii="Times New Roman" w:hAnsi="Times New Roman" w:eastAsia="宋体" w:cs="Times New Roman"/>
                <w:bCs/>
                <w:color w:val="auto"/>
                <w:szCs w:val="21"/>
              </w:rPr>
              <w:t>目</w:t>
            </w:r>
            <w:r>
              <w:rPr>
                <w:rFonts w:hint="eastAsia" w:ascii="Times New Roman" w:hAnsi="Times New Roman" w:eastAsia="宋体" w:cs="Times New Roman"/>
                <w:bCs/>
                <w:color w:val="auto"/>
                <w:szCs w:val="21"/>
                <w:lang w:val="en-US" w:eastAsia="zh-CN"/>
              </w:rPr>
              <w:t>租用南通华胜数码纺织科技有限公司位于如皋市九华镇马桥村18组现有北侧</w:t>
            </w:r>
            <w:r>
              <w:rPr>
                <w:rFonts w:hint="eastAsia" w:cs="Times New Roman"/>
                <w:bCs/>
                <w:color w:val="auto"/>
                <w:szCs w:val="21"/>
                <w:lang w:val="en-US" w:eastAsia="zh-CN"/>
              </w:rPr>
              <w:t>闲置</w:t>
            </w:r>
            <w:r>
              <w:rPr>
                <w:rFonts w:hint="eastAsia" w:ascii="Times New Roman" w:hAnsi="Times New Roman" w:eastAsia="宋体" w:cs="Times New Roman"/>
                <w:bCs/>
                <w:color w:val="auto"/>
                <w:szCs w:val="21"/>
                <w:lang w:val="en-US" w:eastAsia="zh-CN"/>
              </w:rPr>
              <w:t>厂房</w:t>
            </w:r>
            <w:r>
              <w:rPr>
                <w:rFonts w:hint="eastAsia" w:cs="Times New Roman"/>
                <w:bCs/>
                <w:color w:val="auto"/>
                <w:szCs w:val="21"/>
                <w:lang w:val="en-US" w:eastAsia="zh-CN"/>
              </w:rPr>
              <w:t>作生产车间</w:t>
            </w:r>
            <w:r>
              <w:rPr>
                <w:rFonts w:hint="eastAsia" w:ascii="Times New Roman" w:hAnsi="Times New Roman" w:eastAsia="宋体" w:cs="Times New Roman"/>
                <w:bCs/>
                <w:color w:val="auto"/>
                <w:szCs w:val="21"/>
                <w:lang w:val="en-US" w:eastAsia="zh-CN"/>
              </w:rPr>
              <w:t>，</w:t>
            </w:r>
            <w:r>
              <w:rPr>
                <w:rFonts w:hint="eastAsia" w:cs="Times New Roman"/>
                <w:bCs/>
                <w:color w:val="auto"/>
                <w:szCs w:val="21"/>
                <w:lang w:val="en-US" w:eastAsia="zh-CN"/>
              </w:rPr>
              <w:t>东北侧闲置厂房作</w:t>
            </w:r>
            <w:r>
              <w:rPr>
                <w:rFonts w:hint="eastAsia" w:ascii="Times New Roman" w:hAnsi="Times New Roman" w:eastAsia="宋体" w:cs="Times New Roman"/>
                <w:bCs/>
                <w:color w:val="auto"/>
                <w:szCs w:val="21"/>
                <w:lang w:val="en-US" w:eastAsia="zh-CN"/>
              </w:rPr>
              <w:t>锅炉房</w:t>
            </w:r>
            <w:r>
              <w:rPr>
                <w:rFonts w:hint="eastAsia"/>
                <w:lang w:eastAsia="zh-CN"/>
              </w:rPr>
              <w:t>（</w:t>
            </w:r>
            <w:r>
              <w:rPr>
                <w:rFonts w:hint="eastAsia"/>
                <w:lang w:val="en-US" w:eastAsia="zh-CN"/>
              </w:rPr>
              <w:t>包含生物质导热油炉和生物质蒸汽锅炉）</w:t>
            </w:r>
            <w:r>
              <w:rPr>
                <w:rFonts w:hint="eastAsia" w:cs="Times New Roman"/>
                <w:bCs/>
                <w:color w:val="auto"/>
                <w:szCs w:val="21"/>
                <w:lang w:val="en-US" w:eastAsia="zh-CN"/>
              </w:rPr>
              <w:t>。</w:t>
            </w:r>
          </w:p>
          <w:p>
            <w:pPr>
              <w:autoSpaceDE w:val="0"/>
              <w:autoSpaceDN w:val="0"/>
              <w:adjustRightInd w:val="0"/>
              <w:snapToGrid w:val="0"/>
              <w:spacing w:line="400" w:lineRule="exact"/>
              <w:ind w:firstLine="420" w:firstLineChars="200"/>
              <w:rPr>
                <w:rFonts w:hint="eastAsia"/>
                <w:bCs/>
                <w:color w:val="auto"/>
                <w:szCs w:val="21"/>
              </w:rPr>
            </w:pPr>
            <w:r>
              <w:rPr>
                <w:rFonts w:hint="eastAsia"/>
                <w:bCs/>
                <w:color w:val="auto"/>
                <w:szCs w:val="21"/>
                <w:lang w:val="en-US" w:eastAsia="zh-CN"/>
              </w:rPr>
              <w:t>本项目</w:t>
            </w:r>
            <w:r>
              <w:rPr>
                <w:rFonts w:hint="eastAsia"/>
                <w:bCs/>
                <w:color w:val="auto"/>
                <w:szCs w:val="21"/>
              </w:rPr>
              <w:t>主要构筑物见表2-</w:t>
            </w:r>
            <w:r>
              <w:rPr>
                <w:rFonts w:hint="eastAsia"/>
                <w:bCs/>
                <w:color w:val="auto"/>
                <w:szCs w:val="21"/>
                <w:lang w:val="en-US" w:eastAsia="zh-CN"/>
              </w:rPr>
              <w:t>2</w:t>
            </w:r>
            <w:r>
              <w:rPr>
                <w:rFonts w:hint="eastAsia"/>
                <w:bCs/>
                <w:color w:val="auto"/>
                <w:szCs w:val="21"/>
              </w:rPr>
              <w:t>。</w:t>
            </w:r>
          </w:p>
          <w:p>
            <w:pPr>
              <w:autoSpaceDE w:val="0"/>
              <w:autoSpaceDN w:val="0"/>
              <w:adjustRightInd w:val="0"/>
              <w:snapToGrid w:val="0"/>
              <w:spacing w:line="400" w:lineRule="exact"/>
              <w:jc w:val="center"/>
              <w:rPr>
                <w:b/>
                <w:bCs/>
                <w:color w:val="auto"/>
                <w:szCs w:val="21"/>
              </w:rPr>
            </w:pPr>
            <w:r>
              <w:rPr>
                <w:b/>
                <w:bCs/>
                <w:color w:val="auto"/>
                <w:szCs w:val="21"/>
              </w:rPr>
              <w:t>表2</w:t>
            </w:r>
            <w:r>
              <w:rPr>
                <w:rFonts w:hint="eastAsia"/>
                <w:b/>
                <w:bCs/>
                <w:color w:val="auto"/>
                <w:szCs w:val="21"/>
              </w:rPr>
              <w:t>-</w:t>
            </w:r>
            <w:r>
              <w:rPr>
                <w:rFonts w:hint="eastAsia"/>
                <w:b/>
                <w:bCs/>
                <w:color w:val="auto"/>
                <w:szCs w:val="21"/>
                <w:lang w:val="en-US" w:eastAsia="zh-CN"/>
              </w:rPr>
              <w:t>2</w:t>
            </w:r>
            <w:r>
              <w:rPr>
                <w:b/>
                <w:bCs/>
                <w:color w:val="auto"/>
                <w:szCs w:val="21"/>
              </w:rPr>
              <w:t xml:space="preserve">  本项目主要构筑物</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133"/>
              <w:gridCol w:w="675"/>
              <w:gridCol w:w="809"/>
              <w:gridCol w:w="941"/>
              <w:gridCol w:w="1077"/>
              <w:gridCol w:w="711"/>
              <w:gridCol w:w="249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bottom w:val="single" w:color="auto" w:sz="12" w:space="0"/>
                  </w:tcBorders>
                  <w:vAlign w:val="center"/>
                </w:tcPr>
                <w:p>
                  <w:pPr>
                    <w:adjustRightInd w:val="0"/>
                    <w:snapToGrid w:val="0"/>
                    <w:jc w:val="center"/>
                    <w:rPr>
                      <w:b/>
                      <w:color w:val="auto"/>
                      <w:sz w:val="20"/>
                      <w:szCs w:val="20"/>
                    </w:rPr>
                  </w:pPr>
                  <w:r>
                    <w:rPr>
                      <w:b/>
                      <w:color w:val="auto"/>
                      <w:sz w:val="20"/>
                      <w:szCs w:val="20"/>
                    </w:rPr>
                    <w:t>序号</w:t>
                  </w:r>
                </w:p>
              </w:tc>
              <w:tc>
                <w:tcPr>
                  <w:tcW w:w="670" w:type="pct"/>
                  <w:tcBorders>
                    <w:bottom w:val="single" w:color="auto" w:sz="12" w:space="0"/>
                  </w:tcBorders>
                  <w:vAlign w:val="center"/>
                </w:tcPr>
                <w:p>
                  <w:pPr>
                    <w:adjustRightInd w:val="0"/>
                    <w:snapToGrid w:val="0"/>
                    <w:jc w:val="center"/>
                    <w:rPr>
                      <w:b/>
                      <w:color w:val="auto"/>
                      <w:sz w:val="20"/>
                      <w:szCs w:val="20"/>
                    </w:rPr>
                  </w:pPr>
                  <w:r>
                    <w:rPr>
                      <w:b/>
                      <w:color w:val="auto"/>
                      <w:sz w:val="20"/>
                      <w:szCs w:val="20"/>
                    </w:rPr>
                    <w:t>构筑物名称</w:t>
                  </w:r>
                </w:p>
              </w:tc>
              <w:tc>
                <w:tcPr>
                  <w:tcW w:w="399" w:type="pct"/>
                  <w:tcBorders>
                    <w:bottom w:val="single" w:color="auto" w:sz="12" w:space="0"/>
                  </w:tcBorders>
                  <w:vAlign w:val="center"/>
                </w:tcPr>
                <w:p>
                  <w:pPr>
                    <w:adjustRightInd w:val="0"/>
                    <w:snapToGrid w:val="0"/>
                    <w:jc w:val="center"/>
                    <w:rPr>
                      <w:b/>
                      <w:color w:val="auto"/>
                      <w:sz w:val="20"/>
                      <w:szCs w:val="20"/>
                    </w:rPr>
                  </w:pPr>
                  <w:r>
                    <w:rPr>
                      <w:b/>
                      <w:color w:val="auto"/>
                      <w:sz w:val="20"/>
                      <w:szCs w:val="20"/>
                    </w:rPr>
                    <w:t>层数</w:t>
                  </w:r>
                </w:p>
              </w:tc>
              <w:tc>
                <w:tcPr>
                  <w:tcW w:w="479" w:type="pct"/>
                  <w:tcBorders>
                    <w:bottom w:val="single" w:color="auto" w:sz="12" w:space="0"/>
                  </w:tcBorders>
                  <w:vAlign w:val="center"/>
                </w:tcPr>
                <w:p>
                  <w:pPr>
                    <w:adjustRightInd w:val="0"/>
                    <w:snapToGrid w:val="0"/>
                    <w:jc w:val="center"/>
                    <w:rPr>
                      <w:b/>
                      <w:color w:val="auto"/>
                      <w:sz w:val="20"/>
                      <w:szCs w:val="20"/>
                    </w:rPr>
                  </w:pPr>
                  <w:r>
                    <w:rPr>
                      <w:b/>
                      <w:color w:val="auto"/>
                      <w:sz w:val="20"/>
                      <w:szCs w:val="20"/>
                    </w:rPr>
                    <w:t>高度（m）</w:t>
                  </w:r>
                </w:p>
              </w:tc>
              <w:tc>
                <w:tcPr>
                  <w:tcW w:w="557" w:type="pct"/>
                  <w:tcBorders>
                    <w:bottom w:val="single" w:color="auto" w:sz="12" w:space="0"/>
                  </w:tcBorders>
                  <w:vAlign w:val="center"/>
                </w:tcPr>
                <w:p>
                  <w:pPr>
                    <w:adjustRightInd w:val="0"/>
                    <w:snapToGrid w:val="0"/>
                    <w:jc w:val="center"/>
                    <w:rPr>
                      <w:b/>
                      <w:color w:val="auto"/>
                      <w:sz w:val="20"/>
                      <w:szCs w:val="20"/>
                    </w:rPr>
                  </w:pPr>
                  <w:r>
                    <w:rPr>
                      <w:b/>
                      <w:color w:val="auto"/>
                      <w:sz w:val="20"/>
                      <w:szCs w:val="20"/>
                    </w:rPr>
                    <w:t>占地面积（m</w:t>
                  </w:r>
                  <w:r>
                    <w:rPr>
                      <w:b/>
                      <w:color w:val="auto"/>
                      <w:sz w:val="20"/>
                      <w:szCs w:val="20"/>
                      <w:vertAlign w:val="superscript"/>
                    </w:rPr>
                    <w:t>2</w:t>
                  </w:r>
                  <w:r>
                    <w:rPr>
                      <w:b/>
                      <w:color w:val="auto"/>
                      <w:sz w:val="20"/>
                      <w:szCs w:val="20"/>
                    </w:rPr>
                    <w:t>）</w:t>
                  </w:r>
                </w:p>
              </w:tc>
              <w:tc>
                <w:tcPr>
                  <w:tcW w:w="637" w:type="pct"/>
                  <w:tcBorders>
                    <w:bottom w:val="single" w:color="auto" w:sz="12" w:space="0"/>
                  </w:tcBorders>
                  <w:vAlign w:val="center"/>
                </w:tcPr>
                <w:p>
                  <w:pPr>
                    <w:adjustRightInd w:val="0"/>
                    <w:snapToGrid w:val="0"/>
                    <w:jc w:val="center"/>
                    <w:rPr>
                      <w:b/>
                      <w:color w:val="auto"/>
                      <w:sz w:val="20"/>
                      <w:szCs w:val="20"/>
                    </w:rPr>
                  </w:pPr>
                  <w:r>
                    <w:rPr>
                      <w:b/>
                      <w:color w:val="auto"/>
                      <w:sz w:val="20"/>
                      <w:szCs w:val="20"/>
                    </w:rPr>
                    <w:t>建筑面积（m</w:t>
                  </w:r>
                  <w:r>
                    <w:rPr>
                      <w:b/>
                      <w:color w:val="auto"/>
                      <w:sz w:val="20"/>
                      <w:szCs w:val="20"/>
                      <w:vertAlign w:val="superscript"/>
                    </w:rPr>
                    <w:t>2</w:t>
                  </w:r>
                  <w:r>
                    <w:rPr>
                      <w:b/>
                      <w:color w:val="auto"/>
                      <w:sz w:val="20"/>
                      <w:szCs w:val="20"/>
                    </w:rPr>
                    <w:t>）</w:t>
                  </w:r>
                </w:p>
              </w:tc>
              <w:tc>
                <w:tcPr>
                  <w:tcW w:w="421" w:type="pct"/>
                  <w:tcBorders>
                    <w:bottom w:val="single" w:color="auto" w:sz="12" w:space="0"/>
                  </w:tcBorders>
                  <w:vAlign w:val="center"/>
                </w:tcPr>
                <w:p>
                  <w:pPr>
                    <w:adjustRightInd w:val="0"/>
                    <w:snapToGrid w:val="0"/>
                    <w:jc w:val="center"/>
                    <w:rPr>
                      <w:b/>
                      <w:color w:val="auto"/>
                      <w:sz w:val="20"/>
                      <w:szCs w:val="20"/>
                    </w:rPr>
                  </w:pPr>
                  <w:r>
                    <w:rPr>
                      <w:rFonts w:hint="eastAsia"/>
                      <w:b/>
                      <w:color w:val="auto"/>
                      <w:sz w:val="20"/>
                      <w:szCs w:val="20"/>
                    </w:rPr>
                    <w:t>火灾</w:t>
                  </w:r>
                  <w:r>
                    <w:rPr>
                      <w:b/>
                      <w:color w:val="auto"/>
                      <w:sz w:val="20"/>
                      <w:szCs w:val="20"/>
                    </w:rPr>
                    <w:t>类别</w:t>
                  </w:r>
                </w:p>
              </w:tc>
              <w:tc>
                <w:tcPr>
                  <w:tcW w:w="1475" w:type="pct"/>
                  <w:tcBorders>
                    <w:bottom w:val="single" w:color="auto" w:sz="12" w:space="0"/>
                  </w:tcBorders>
                  <w:vAlign w:val="center"/>
                </w:tcPr>
                <w:p>
                  <w:pPr>
                    <w:adjustRightInd w:val="0"/>
                    <w:snapToGrid w:val="0"/>
                    <w:jc w:val="center"/>
                    <w:rPr>
                      <w:b/>
                      <w:color w:val="auto"/>
                      <w:sz w:val="20"/>
                      <w:szCs w:val="20"/>
                    </w:rPr>
                  </w:pPr>
                  <w:r>
                    <w:rPr>
                      <w:b/>
                      <w:color w:val="auto"/>
                      <w:sz w:val="20"/>
                      <w:szCs w:val="20"/>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tcBorders>
                    <w:top w:val="single" w:color="auto" w:sz="12" w:space="0"/>
                  </w:tcBorders>
                  <w:vAlign w:val="center"/>
                </w:tcPr>
                <w:p>
                  <w:pPr>
                    <w:adjustRightInd w:val="0"/>
                    <w:snapToGrid w:val="0"/>
                    <w:jc w:val="center"/>
                    <w:rPr>
                      <w:color w:val="auto"/>
                      <w:sz w:val="20"/>
                      <w:szCs w:val="20"/>
                    </w:rPr>
                  </w:pPr>
                  <w:bookmarkStart w:id="6" w:name="_Hlk213854589"/>
                  <w:r>
                    <w:rPr>
                      <w:color w:val="auto"/>
                      <w:sz w:val="20"/>
                      <w:szCs w:val="20"/>
                    </w:rPr>
                    <w:t>1</w:t>
                  </w:r>
                </w:p>
              </w:tc>
              <w:tc>
                <w:tcPr>
                  <w:tcW w:w="670" w:type="pct"/>
                  <w:tcBorders>
                    <w:top w:val="single" w:color="auto" w:sz="12" w:space="0"/>
                  </w:tcBorders>
                  <w:vAlign w:val="center"/>
                </w:tcPr>
                <w:p>
                  <w:pPr>
                    <w:adjustRightInd w:val="0"/>
                    <w:snapToGrid w:val="0"/>
                    <w:jc w:val="center"/>
                    <w:rPr>
                      <w:rFonts w:hint="default" w:eastAsia="宋体"/>
                      <w:color w:val="auto"/>
                      <w:sz w:val="20"/>
                      <w:szCs w:val="20"/>
                      <w:highlight w:val="yellow"/>
                      <w:lang w:val="en-US" w:eastAsia="zh-CN"/>
                    </w:rPr>
                  </w:pPr>
                  <w:r>
                    <w:rPr>
                      <w:rFonts w:hint="eastAsia"/>
                      <w:color w:val="auto"/>
                      <w:sz w:val="20"/>
                      <w:szCs w:val="20"/>
                      <w:highlight w:val="none"/>
                      <w:lang w:val="en-US" w:eastAsia="zh-CN"/>
                    </w:rPr>
                    <w:t>生产车间</w:t>
                  </w:r>
                </w:p>
              </w:tc>
              <w:tc>
                <w:tcPr>
                  <w:tcW w:w="399" w:type="pct"/>
                  <w:tcBorders>
                    <w:top w:val="single" w:color="auto" w:sz="12" w:space="0"/>
                  </w:tcBorders>
                  <w:vAlign w:val="center"/>
                </w:tcPr>
                <w:p>
                  <w:pPr>
                    <w:adjustRightInd w:val="0"/>
                    <w:snapToGrid w:val="0"/>
                    <w:jc w:val="center"/>
                    <w:rPr>
                      <w:rFonts w:hint="eastAsia" w:eastAsia="宋体"/>
                      <w:color w:val="auto"/>
                      <w:sz w:val="20"/>
                      <w:szCs w:val="20"/>
                      <w:lang w:eastAsia="zh-CN"/>
                    </w:rPr>
                  </w:pPr>
                  <w:r>
                    <w:rPr>
                      <w:rFonts w:hint="eastAsia"/>
                      <w:color w:val="auto"/>
                      <w:sz w:val="20"/>
                      <w:szCs w:val="20"/>
                      <w:lang w:val="en-US" w:eastAsia="zh-CN"/>
                    </w:rPr>
                    <w:t>1</w:t>
                  </w:r>
                </w:p>
              </w:tc>
              <w:tc>
                <w:tcPr>
                  <w:tcW w:w="479" w:type="pct"/>
                  <w:tcBorders>
                    <w:top w:val="single" w:color="auto" w:sz="12" w:space="0"/>
                  </w:tcBorders>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8.5</w:t>
                  </w:r>
                </w:p>
              </w:tc>
              <w:tc>
                <w:tcPr>
                  <w:tcW w:w="557" w:type="pct"/>
                  <w:tcBorders>
                    <w:top w:val="single" w:color="auto" w:sz="12" w:space="0"/>
                  </w:tcBorders>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1200</w:t>
                  </w:r>
                </w:p>
              </w:tc>
              <w:tc>
                <w:tcPr>
                  <w:tcW w:w="637" w:type="pct"/>
                  <w:tcBorders>
                    <w:top w:val="single" w:color="auto" w:sz="12" w:space="0"/>
                  </w:tcBorders>
                  <w:vAlign w:val="center"/>
                </w:tcPr>
                <w:p>
                  <w:pPr>
                    <w:adjustRightInd w:val="0"/>
                    <w:snapToGrid w:val="0"/>
                    <w:jc w:val="center"/>
                    <w:rPr>
                      <w:rFonts w:hint="default" w:eastAsia="宋体"/>
                      <w:color w:val="auto"/>
                      <w:sz w:val="20"/>
                      <w:szCs w:val="20"/>
                      <w:lang w:val="en-US" w:eastAsia="zh-CN"/>
                    </w:rPr>
                  </w:pPr>
                  <w:r>
                    <w:rPr>
                      <w:rFonts w:hint="eastAsia"/>
                      <w:lang w:val="en-US" w:eastAsia="zh-CN"/>
                    </w:rPr>
                    <w:t>1200</w:t>
                  </w:r>
                </w:p>
              </w:tc>
              <w:tc>
                <w:tcPr>
                  <w:tcW w:w="421" w:type="pct"/>
                  <w:tcBorders>
                    <w:top w:val="single" w:color="auto" w:sz="12" w:space="0"/>
                  </w:tcBorders>
                  <w:vAlign w:val="center"/>
                </w:tcPr>
                <w:p>
                  <w:pPr>
                    <w:adjustRightInd w:val="0"/>
                    <w:snapToGrid w:val="0"/>
                    <w:jc w:val="center"/>
                    <w:rPr>
                      <w:b/>
                      <w:color w:val="auto"/>
                      <w:sz w:val="20"/>
                      <w:szCs w:val="20"/>
                    </w:rPr>
                  </w:pPr>
                  <w:r>
                    <w:rPr>
                      <w:color w:val="auto"/>
                      <w:sz w:val="20"/>
                      <w:szCs w:val="20"/>
                    </w:rPr>
                    <w:t>丙</w:t>
                  </w:r>
                </w:p>
              </w:tc>
              <w:tc>
                <w:tcPr>
                  <w:tcW w:w="1475" w:type="pct"/>
                  <w:vMerge w:val="restart"/>
                  <w:tcBorders>
                    <w:top w:val="single" w:color="auto" w:sz="12" w:space="0"/>
                  </w:tcBorders>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租赁华胜闲置厂房</w:t>
                  </w:r>
                </w:p>
              </w:tc>
            </w:tr>
            <w:bookmarkEnd w:id="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58" w:type="pct"/>
                  <w:vAlign w:val="center"/>
                </w:tcPr>
                <w:p>
                  <w:pPr>
                    <w:adjustRightInd w:val="0"/>
                    <w:snapToGrid w:val="0"/>
                    <w:jc w:val="center"/>
                    <w:rPr>
                      <w:color w:val="auto"/>
                      <w:sz w:val="20"/>
                      <w:szCs w:val="20"/>
                    </w:rPr>
                  </w:pPr>
                  <w:r>
                    <w:rPr>
                      <w:rFonts w:hint="eastAsia"/>
                      <w:color w:val="auto"/>
                      <w:sz w:val="20"/>
                      <w:szCs w:val="20"/>
                    </w:rPr>
                    <w:t>2</w:t>
                  </w:r>
                </w:p>
              </w:tc>
              <w:tc>
                <w:tcPr>
                  <w:tcW w:w="670" w:type="pct"/>
                  <w:vAlign w:val="center"/>
                </w:tcPr>
                <w:p>
                  <w:pPr>
                    <w:adjustRightInd w:val="0"/>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锅炉房</w:t>
                  </w:r>
                </w:p>
              </w:tc>
              <w:tc>
                <w:tcPr>
                  <w:tcW w:w="399" w:type="pct"/>
                  <w:vAlign w:val="center"/>
                </w:tcPr>
                <w:p>
                  <w:pPr>
                    <w:adjustRightInd w:val="0"/>
                    <w:snapToGrid w:val="0"/>
                    <w:jc w:val="center"/>
                    <w:rPr>
                      <w:rFonts w:hint="eastAsia" w:eastAsia="宋体"/>
                      <w:color w:val="auto"/>
                      <w:sz w:val="20"/>
                      <w:szCs w:val="20"/>
                      <w:lang w:eastAsia="zh-CN"/>
                    </w:rPr>
                  </w:pPr>
                  <w:r>
                    <w:rPr>
                      <w:rFonts w:hint="eastAsia"/>
                      <w:color w:val="auto"/>
                      <w:sz w:val="20"/>
                      <w:szCs w:val="20"/>
                      <w:lang w:val="en-US" w:eastAsia="zh-CN"/>
                    </w:rPr>
                    <w:t>1</w:t>
                  </w:r>
                </w:p>
              </w:tc>
              <w:tc>
                <w:tcPr>
                  <w:tcW w:w="479" w:type="pct"/>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8.5</w:t>
                  </w:r>
                </w:p>
              </w:tc>
              <w:tc>
                <w:tcPr>
                  <w:tcW w:w="557" w:type="pct"/>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800</w:t>
                  </w:r>
                </w:p>
              </w:tc>
              <w:tc>
                <w:tcPr>
                  <w:tcW w:w="637" w:type="pct"/>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800</w:t>
                  </w:r>
                </w:p>
              </w:tc>
              <w:tc>
                <w:tcPr>
                  <w:tcW w:w="421" w:type="pct"/>
                  <w:vAlign w:val="center"/>
                </w:tcPr>
                <w:p>
                  <w:pPr>
                    <w:adjustRightInd w:val="0"/>
                    <w:snapToGrid w:val="0"/>
                    <w:jc w:val="center"/>
                    <w:rPr>
                      <w:b/>
                      <w:color w:val="auto"/>
                      <w:sz w:val="20"/>
                      <w:szCs w:val="20"/>
                    </w:rPr>
                  </w:pPr>
                  <w:r>
                    <w:rPr>
                      <w:color w:val="auto"/>
                      <w:sz w:val="20"/>
                      <w:szCs w:val="20"/>
                    </w:rPr>
                    <w:t>丙</w:t>
                  </w:r>
                </w:p>
              </w:tc>
              <w:tc>
                <w:tcPr>
                  <w:tcW w:w="1475" w:type="pct"/>
                  <w:vMerge w:val="continue"/>
                  <w:vAlign w:val="center"/>
                </w:tcPr>
                <w:p>
                  <w:pPr>
                    <w:adjustRightInd w:val="0"/>
                    <w:snapToGrid w:val="0"/>
                    <w:jc w:val="center"/>
                    <w:rPr>
                      <w:rFonts w:hint="default"/>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rPr>
                    <w:t>3</w:t>
                  </w:r>
                </w:p>
              </w:tc>
              <w:tc>
                <w:tcPr>
                  <w:tcW w:w="670" w:type="pct"/>
                  <w:vAlign w:val="center"/>
                </w:tcPr>
                <w:p>
                  <w:pPr>
                    <w:adjustRightInd w:val="0"/>
                    <w:snapToGrid w:val="0"/>
                    <w:jc w:val="center"/>
                    <w:rPr>
                      <w:color w:val="auto"/>
                      <w:sz w:val="20"/>
                      <w:szCs w:val="20"/>
                    </w:rPr>
                  </w:pPr>
                  <w:r>
                    <w:rPr>
                      <w:rFonts w:hint="eastAsia"/>
                      <w:color w:val="auto"/>
                      <w:sz w:val="20"/>
                      <w:szCs w:val="20"/>
                    </w:rPr>
                    <w:t>应急池</w:t>
                  </w:r>
                </w:p>
              </w:tc>
              <w:tc>
                <w:tcPr>
                  <w:tcW w:w="399" w:type="pct"/>
                  <w:vAlign w:val="center"/>
                </w:tcPr>
                <w:p>
                  <w:pPr>
                    <w:adjustRightInd w:val="0"/>
                    <w:snapToGrid w:val="0"/>
                    <w:jc w:val="center"/>
                    <w:rPr>
                      <w:color w:val="auto"/>
                      <w:sz w:val="20"/>
                      <w:szCs w:val="20"/>
                    </w:rPr>
                  </w:pPr>
                  <w:r>
                    <w:rPr>
                      <w:rFonts w:hint="eastAsia"/>
                      <w:color w:val="auto"/>
                      <w:sz w:val="20"/>
                      <w:szCs w:val="20"/>
                    </w:rPr>
                    <w:t>-</w:t>
                  </w:r>
                </w:p>
              </w:tc>
              <w:tc>
                <w:tcPr>
                  <w:tcW w:w="479" w:type="pct"/>
                  <w:vAlign w:val="center"/>
                </w:tcPr>
                <w:p>
                  <w:pPr>
                    <w:adjustRightInd w:val="0"/>
                    <w:snapToGrid w:val="0"/>
                    <w:jc w:val="center"/>
                    <w:rPr>
                      <w:color w:val="auto"/>
                      <w:sz w:val="20"/>
                      <w:szCs w:val="20"/>
                    </w:rPr>
                  </w:pPr>
                  <w:r>
                    <w:rPr>
                      <w:rFonts w:hint="eastAsia"/>
                      <w:color w:val="auto"/>
                      <w:sz w:val="20"/>
                      <w:szCs w:val="20"/>
                    </w:rPr>
                    <w:t>-</w:t>
                  </w:r>
                </w:p>
              </w:tc>
              <w:tc>
                <w:tcPr>
                  <w:tcW w:w="1194" w:type="pct"/>
                  <w:gridSpan w:val="2"/>
                  <w:vAlign w:val="center"/>
                </w:tcPr>
                <w:p>
                  <w:pPr>
                    <w:adjustRightInd w:val="0"/>
                    <w:snapToGrid w:val="0"/>
                    <w:jc w:val="center"/>
                    <w:rPr>
                      <w:color w:val="auto"/>
                      <w:sz w:val="20"/>
                      <w:szCs w:val="20"/>
                      <w:highlight w:val="none"/>
                    </w:rPr>
                  </w:pPr>
                  <w:r>
                    <w:rPr>
                      <w:rFonts w:hint="eastAsia"/>
                      <w:bCs/>
                      <w:color w:val="auto"/>
                      <w:sz w:val="20"/>
                      <w:szCs w:val="20"/>
                      <w:highlight w:val="none"/>
                      <w:lang w:val="en-US" w:eastAsia="zh-CN"/>
                    </w:rPr>
                    <w:t>170</w:t>
                  </w:r>
                  <w:r>
                    <w:rPr>
                      <w:bCs/>
                      <w:color w:val="auto"/>
                      <w:sz w:val="20"/>
                      <w:szCs w:val="20"/>
                      <w:highlight w:val="none"/>
                    </w:rPr>
                    <w:t>m</w:t>
                  </w:r>
                  <w:r>
                    <w:rPr>
                      <w:bCs/>
                      <w:color w:val="auto"/>
                      <w:sz w:val="20"/>
                      <w:szCs w:val="20"/>
                      <w:highlight w:val="none"/>
                      <w:vertAlign w:val="superscript"/>
                    </w:rPr>
                    <w:t>3</w:t>
                  </w:r>
                </w:p>
              </w:tc>
              <w:tc>
                <w:tcPr>
                  <w:tcW w:w="421" w:type="pct"/>
                  <w:vAlign w:val="center"/>
                </w:tcPr>
                <w:p>
                  <w:pPr>
                    <w:adjustRightInd w:val="0"/>
                    <w:snapToGrid w:val="0"/>
                    <w:jc w:val="center"/>
                    <w:rPr>
                      <w:color w:val="auto"/>
                      <w:sz w:val="20"/>
                      <w:szCs w:val="20"/>
                    </w:rPr>
                  </w:pPr>
                  <w:r>
                    <w:rPr>
                      <w:rFonts w:hint="eastAsia"/>
                      <w:color w:val="auto"/>
                      <w:sz w:val="20"/>
                      <w:szCs w:val="20"/>
                    </w:rPr>
                    <w:t>-</w:t>
                  </w:r>
                </w:p>
              </w:tc>
              <w:tc>
                <w:tcPr>
                  <w:tcW w:w="1475" w:type="pct"/>
                  <w:vAlign w:val="center"/>
                </w:tcPr>
                <w:p>
                  <w:pPr>
                    <w:adjustRightInd w:val="0"/>
                    <w:snapToGrid w:val="0"/>
                    <w:jc w:val="center"/>
                    <w:rPr>
                      <w:rFonts w:hint="eastAsia" w:eastAsia="宋体"/>
                      <w:color w:val="auto"/>
                      <w:sz w:val="20"/>
                      <w:szCs w:val="20"/>
                      <w:lang w:eastAsia="zh-CN"/>
                    </w:rPr>
                  </w:pPr>
                  <w:r>
                    <w:rPr>
                      <w:rFonts w:hint="eastAsia"/>
                      <w:color w:val="auto"/>
                      <w:sz w:val="20"/>
                      <w:szCs w:val="20"/>
                    </w:rPr>
                    <w:t>依托</w:t>
                  </w:r>
                  <w:r>
                    <w:rPr>
                      <w:rFonts w:hint="eastAsia"/>
                      <w:color w:val="auto"/>
                      <w:sz w:val="20"/>
                      <w:szCs w:val="20"/>
                      <w:lang w:val="en-US" w:eastAsia="zh-CN"/>
                    </w:rPr>
                    <w:t>华胜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58" w:type="pct"/>
                  <w:vAlign w:val="center"/>
                </w:tcPr>
                <w:p>
                  <w:pPr>
                    <w:adjustRightInd w:val="0"/>
                    <w:snapToGrid w:val="0"/>
                    <w:jc w:val="center"/>
                    <w:rPr>
                      <w:rFonts w:hint="eastAsia" w:eastAsia="宋体"/>
                      <w:color w:val="auto"/>
                      <w:sz w:val="20"/>
                      <w:szCs w:val="20"/>
                      <w:lang w:val="en-US" w:eastAsia="zh-CN"/>
                    </w:rPr>
                  </w:pPr>
                  <w:r>
                    <w:rPr>
                      <w:rFonts w:hint="eastAsia"/>
                      <w:color w:val="auto"/>
                      <w:sz w:val="20"/>
                      <w:szCs w:val="20"/>
                    </w:rPr>
                    <w:t>4</w:t>
                  </w:r>
                </w:p>
              </w:tc>
              <w:tc>
                <w:tcPr>
                  <w:tcW w:w="670" w:type="pct"/>
                  <w:vAlign w:val="center"/>
                </w:tcPr>
                <w:p>
                  <w:pPr>
                    <w:adjustRightInd w:val="0"/>
                    <w:snapToGrid w:val="0"/>
                    <w:jc w:val="center"/>
                    <w:rPr>
                      <w:color w:val="auto"/>
                      <w:sz w:val="20"/>
                      <w:szCs w:val="20"/>
                    </w:rPr>
                  </w:pPr>
                  <w:r>
                    <w:rPr>
                      <w:rFonts w:hint="eastAsia"/>
                      <w:color w:val="auto"/>
                      <w:sz w:val="20"/>
                      <w:szCs w:val="20"/>
                    </w:rPr>
                    <w:t>初期雨水池</w:t>
                  </w:r>
                </w:p>
              </w:tc>
              <w:tc>
                <w:tcPr>
                  <w:tcW w:w="399" w:type="pct"/>
                  <w:vAlign w:val="center"/>
                </w:tcPr>
                <w:p>
                  <w:pPr>
                    <w:adjustRightInd w:val="0"/>
                    <w:snapToGrid w:val="0"/>
                    <w:jc w:val="center"/>
                    <w:rPr>
                      <w:color w:val="auto"/>
                      <w:sz w:val="20"/>
                      <w:szCs w:val="20"/>
                    </w:rPr>
                  </w:pPr>
                  <w:r>
                    <w:rPr>
                      <w:rFonts w:hint="eastAsia"/>
                      <w:color w:val="auto"/>
                      <w:sz w:val="20"/>
                      <w:szCs w:val="20"/>
                    </w:rPr>
                    <w:t>-</w:t>
                  </w:r>
                </w:p>
              </w:tc>
              <w:tc>
                <w:tcPr>
                  <w:tcW w:w="479" w:type="pct"/>
                  <w:vAlign w:val="center"/>
                </w:tcPr>
                <w:p>
                  <w:pPr>
                    <w:adjustRightInd w:val="0"/>
                    <w:snapToGrid w:val="0"/>
                    <w:jc w:val="center"/>
                    <w:rPr>
                      <w:color w:val="auto"/>
                      <w:sz w:val="20"/>
                      <w:szCs w:val="20"/>
                    </w:rPr>
                  </w:pPr>
                  <w:r>
                    <w:rPr>
                      <w:rFonts w:hint="eastAsia"/>
                      <w:color w:val="auto"/>
                      <w:sz w:val="20"/>
                      <w:szCs w:val="20"/>
                    </w:rPr>
                    <w:t>-</w:t>
                  </w:r>
                </w:p>
              </w:tc>
              <w:tc>
                <w:tcPr>
                  <w:tcW w:w="1194" w:type="pct"/>
                  <w:gridSpan w:val="2"/>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240</w:t>
                  </w:r>
                  <w:r>
                    <w:rPr>
                      <w:bCs/>
                      <w:color w:val="auto"/>
                      <w:sz w:val="20"/>
                      <w:szCs w:val="20"/>
                      <w:highlight w:val="none"/>
                    </w:rPr>
                    <w:t>m</w:t>
                  </w:r>
                  <w:r>
                    <w:rPr>
                      <w:bCs/>
                      <w:color w:val="auto"/>
                      <w:sz w:val="20"/>
                      <w:szCs w:val="20"/>
                      <w:highlight w:val="none"/>
                      <w:vertAlign w:val="superscript"/>
                    </w:rPr>
                    <w:t>3</w:t>
                  </w:r>
                </w:p>
              </w:tc>
              <w:tc>
                <w:tcPr>
                  <w:tcW w:w="421" w:type="pct"/>
                  <w:vAlign w:val="center"/>
                </w:tcPr>
                <w:p>
                  <w:pPr>
                    <w:adjustRightInd w:val="0"/>
                    <w:snapToGrid w:val="0"/>
                    <w:jc w:val="center"/>
                    <w:rPr>
                      <w:color w:val="auto"/>
                      <w:sz w:val="20"/>
                      <w:szCs w:val="20"/>
                    </w:rPr>
                  </w:pPr>
                  <w:r>
                    <w:rPr>
                      <w:rFonts w:hint="eastAsia"/>
                      <w:color w:val="auto"/>
                      <w:sz w:val="20"/>
                      <w:szCs w:val="20"/>
                    </w:rPr>
                    <w:t>-</w:t>
                  </w:r>
                </w:p>
              </w:tc>
              <w:tc>
                <w:tcPr>
                  <w:tcW w:w="1475" w:type="pct"/>
                  <w:vAlign w:val="center"/>
                </w:tcPr>
                <w:p>
                  <w:pPr>
                    <w:adjustRightInd w:val="0"/>
                    <w:snapToGrid w:val="0"/>
                    <w:jc w:val="center"/>
                    <w:rPr>
                      <w:color w:val="auto"/>
                      <w:sz w:val="20"/>
                      <w:szCs w:val="20"/>
                    </w:rPr>
                  </w:pPr>
                  <w:r>
                    <w:rPr>
                      <w:rFonts w:hint="eastAsia"/>
                      <w:color w:val="auto"/>
                      <w:sz w:val="20"/>
                      <w:szCs w:val="20"/>
                    </w:rPr>
                    <w:t>依托</w:t>
                  </w:r>
                  <w:r>
                    <w:rPr>
                      <w:rFonts w:hint="eastAsia"/>
                      <w:color w:val="auto"/>
                      <w:sz w:val="20"/>
                      <w:szCs w:val="20"/>
                      <w:lang w:val="en-US" w:eastAsia="zh-CN"/>
                    </w:rPr>
                    <w:t>华胜</w:t>
                  </w:r>
                </w:p>
              </w:tc>
            </w:tr>
          </w:tbl>
          <w:p>
            <w:pPr>
              <w:autoSpaceDE w:val="0"/>
              <w:autoSpaceDN w:val="0"/>
              <w:adjustRightInd w:val="0"/>
              <w:snapToGrid w:val="0"/>
              <w:spacing w:line="400" w:lineRule="exact"/>
              <w:ind w:firstLine="420" w:firstLineChars="200"/>
              <w:rPr>
                <w:rFonts w:hint="eastAsia"/>
                <w:bCs/>
                <w:color w:val="FF0000"/>
                <w:szCs w:val="21"/>
                <w:lang w:val="en-US" w:eastAsia="zh-CN"/>
              </w:rPr>
            </w:pPr>
            <w:r>
              <w:rPr>
                <w:rFonts w:hint="eastAsia"/>
                <w:bCs/>
                <w:color w:val="FF0000"/>
                <w:szCs w:val="21"/>
                <w:lang w:val="en-US" w:eastAsia="zh-CN"/>
              </w:rPr>
              <w:t>本项目在锅炉房内设置一座生物质堆场，占地面积200m</w:t>
            </w:r>
            <w:r>
              <w:rPr>
                <w:rFonts w:hint="eastAsia"/>
                <w:bCs/>
                <w:color w:val="FF0000"/>
                <w:szCs w:val="21"/>
                <w:vertAlign w:val="superscript"/>
                <w:lang w:val="en-US" w:eastAsia="zh-CN"/>
              </w:rPr>
              <w:t>2</w:t>
            </w:r>
            <w:r>
              <w:rPr>
                <w:rFonts w:hint="eastAsia"/>
                <w:bCs/>
                <w:color w:val="FF0000"/>
                <w:szCs w:val="21"/>
                <w:lang w:val="en-US" w:eastAsia="zh-CN"/>
              </w:rPr>
              <w:t>，堆存高度不超过2.5m（当生物质燃料堆高超过2.5米时，堆体内部产生的生物降解热难以有效扩散，实测显示每增加0.5米堆高，核心温度上升速率提高38%。国家能源局《生物质燃料堆放技术导则》明确将2.5米作为防止自燃的阈值高度），则生物质堆场最大有效容积约500m</w:t>
            </w:r>
            <w:r>
              <w:rPr>
                <w:rFonts w:hint="eastAsia"/>
                <w:bCs/>
                <w:color w:val="FF0000"/>
                <w:szCs w:val="21"/>
                <w:vertAlign w:val="superscript"/>
                <w:lang w:val="en-US" w:eastAsia="zh-CN"/>
              </w:rPr>
              <w:t>3</w:t>
            </w:r>
            <w:r>
              <w:rPr>
                <w:rFonts w:hint="eastAsia"/>
                <w:bCs/>
                <w:color w:val="FF0000"/>
                <w:szCs w:val="21"/>
                <w:lang w:val="en-US" w:eastAsia="zh-CN"/>
              </w:rPr>
              <w:t>，堆积密度650kg/m</w:t>
            </w:r>
            <w:r>
              <w:rPr>
                <w:rFonts w:hint="eastAsia"/>
                <w:bCs/>
                <w:color w:val="FF0000"/>
                <w:szCs w:val="21"/>
                <w:vertAlign w:val="superscript"/>
                <w:lang w:val="en-US" w:eastAsia="zh-CN"/>
              </w:rPr>
              <w:t>3</w:t>
            </w:r>
            <w:r>
              <w:rPr>
                <w:rFonts w:hint="eastAsia"/>
                <w:bCs/>
                <w:color w:val="FF0000"/>
                <w:szCs w:val="21"/>
                <w:lang w:val="en-US" w:eastAsia="zh-CN"/>
              </w:rPr>
              <w:t>，最大总储量可达到325吨，可满足锅炉约7天生物质用量。考虑到运输、安全等要求，生物质堆场内设通风、消防系统，并预留有车辆进出通道，场内使用叉车完成存料、上料。</w:t>
            </w:r>
          </w:p>
          <w:p>
            <w:pPr>
              <w:autoSpaceDE w:val="0"/>
              <w:autoSpaceDN w:val="0"/>
              <w:adjustRightInd w:val="0"/>
              <w:snapToGrid w:val="0"/>
              <w:spacing w:line="400" w:lineRule="exact"/>
              <w:ind w:firstLine="420" w:firstLineChars="200"/>
              <w:rPr>
                <w:rFonts w:hint="eastAsia"/>
                <w:bCs/>
                <w:color w:val="auto"/>
                <w:szCs w:val="21"/>
              </w:rPr>
            </w:pPr>
            <w:r>
              <w:rPr>
                <w:rFonts w:hint="eastAsia"/>
                <w:bCs/>
                <w:color w:val="auto"/>
                <w:szCs w:val="21"/>
                <w:lang w:val="en-US" w:eastAsia="zh-CN"/>
              </w:rPr>
              <w:t>本项目</w:t>
            </w:r>
            <w:r>
              <w:rPr>
                <w:rFonts w:hint="eastAsia" w:ascii="Times New Roman" w:hAnsi="Times New Roman" w:eastAsia="宋体" w:cs="Times New Roman"/>
                <w:bCs/>
                <w:color w:val="auto"/>
                <w:szCs w:val="21"/>
              </w:rPr>
              <w:t>工程组成情况</w:t>
            </w:r>
            <w:r>
              <w:rPr>
                <w:rFonts w:hint="eastAsia"/>
                <w:bCs/>
                <w:color w:val="auto"/>
                <w:szCs w:val="21"/>
              </w:rPr>
              <w:t>见表2-</w:t>
            </w:r>
            <w:r>
              <w:rPr>
                <w:rFonts w:hint="eastAsia"/>
                <w:bCs/>
                <w:color w:val="auto"/>
                <w:szCs w:val="21"/>
                <w:lang w:val="en-US" w:eastAsia="zh-CN"/>
              </w:rPr>
              <w:t>3</w:t>
            </w:r>
            <w:r>
              <w:rPr>
                <w:rFonts w:hint="eastAsia"/>
                <w:bCs/>
                <w:color w:val="auto"/>
                <w:szCs w:val="21"/>
              </w:rPr>
              <w:t>。</w:t>
            </w:r>
          </w:p>
          <w:p>
            <w:pPr>
              <w:spacing w:line="400" w:lineRule="exact"/>
              <w:jc w:val="center"/>
              <w:rPr>
                <w:b/>
                <w:color w:val="auto"/>
                <w:szCs w:val="21"/>
              </w:rPr>
            </w:pPr>
            <w:r>
              <w:rPr>
                <w:b/>
                <w:color w:val="auto"/>
                <w:szCs w:val="21"/>
              </w:rPr>
              <w:t>表2</w:t>
            </w:r>
            <w:r>
              <w:rPr>
                <w:rFonts w:hint="eastAsia"/>
                <w:b/>
                <w:color w:val="auto"/>
                <w:szCs w:val="21"/>
                <w:lang w:val="en-US" w:eastAsia="zh-CN"/>
              </w:rPr>
              <w:t>-3</w:t>
            </w:r>
            <w:r>
              <w:rPr>
                <w:b/>
                <w:color w:val="auto"/>
                <w:szCs w:val="21"/>
              </w:rPr>
              <w:t xml:space="preserve"> </w:t>
            </w:r>
            <w:r>
              <w:rPr>
                <w:rFonts w:hint="eastAsia"/>
                <w:b/>
                <w:color w:val="auto"/>
                <w:szCs w:val="21"/>
                <w:lang w:val="en-US" w:eastAsia="zh-CN"/>
              </w:rPr>
              <w:t>本项目</w:t>
            </w:r>
            <w:r>
              <w:rPr>
                <w:b/>
                <w:color w:val="auto"/>
                <w:szCs w:val="21"/>
              </w:rPr>
              <w:t>工程</w:t>
            </w:r>
            <w:r>
              <w:rPr>
                <w:rFonts w:hint="eastAsia"/>
                <w:b/>
                <w:color w:val="auto"/>
                <w:szCs w:val="21"/>
              </w:rPr>
              <w:t>组成</w:t>
            </w:r>
            <w:r>
              <w:rPr>
                <w:b/>
                <w:color w:val="auto"/>
                <w:szCs w:val="21"/>
              </w:rPr>
              <w:t>情况</w:t>
            </w:r>
            <w:r>
              <w:rPr>
                <w:rFonts w:hint="eastAsia"/>
                <w:b/>
                <w:color w:val="auto"/>
                <w:szCs w:val="21"/>
              </w:rPr>
              <w:t>一览</w:t>
            </w:r>
            <w:r>
              <w:rPr>
                <w:b/>
                <w:color w:val="auto"/>
                <w:szCs w:val="21"/>
              </w:rPr>
              <w:t>表</w:t>
            </w:r>
          </w:p>
          <w:tbl>
            <w:tblPr>
              <w:tblStyle w:val="9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488"/>
              <w:gridCol w:w="591"/>
              <w:gridCol w:w="1364"/>
              <w:gridCol w:w="3037"/>
              <w:gridCol w:w="22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55" w:type="pct"/>
                  <w:gridSpan w:val="4"/>
                  <w:tcBorders>
                    <w:top w:val="single" w:color="auto" w:sz="12" w:space="0"/>
                    <w:bottom w:val="single" w:color="auto" w:sz="4" w:space="0"/>
                  </w:tcBorders>
                  <w:tcMar>
                    <w:left w:w="0" w:type="dxa"/>
                    <w:right w:w="0" w:type="dxa"/>
                  </w:tcMar>
                  <w:vAlign w:val="center"/>
                </w:tcPr>
                <w:p>
                  <w:pPr>
                    <w:adjustRightInd w:val="0"/>
                    <w:snapToGrid w:val="0"/>
                    <w:jc w:val="center"/>
                    <w:rPr>
                      <w:b/>
                      <w:color w:val="auto"/>
                      <w:sz w:val="20"/>
                      <w:szCs w:val="20"/>
                      <w:highlight w:val="none"/>
                    </w:rPr>
                  </w:pPr>
                  <w:r>
                    <w:rPr>
                      <w:b/>
                      <w:color w:val="auto"/>
                      <w:sz w:val="20"/>
                      <w:szCs w:val="20"/>
                      <w:highlight w:val="none"/>
                    </w:rPr>
                    <w:t>工程名称</w:t>
                  </w:r>
                </w:p>
              </w:tc>
              <w:tc>
                <w:tcPr>
                  <w:tcW w:w="1798" w:type="pct"/>
                  <w:tcBorders>
                    <w:top w:val="single" w:color="auto" w:sz="12" w:space="0"/>
                    <w:bottom w:val="single" w:color="auto" w:sz="4" w:space="0"/>
                  </w:tcBorders>
                  <w:tcMar>
                    <w:left w:w="0" w:type="dxa"/>
                    <w:right w:w="0" w:type="dxa"/>
                  </w:tcMar>
                  <w:vAlign w:val="center"/>
                </w:tcPr>
                <w:p>
                  <w:pPr>
                    <w:adjustRightInd w:val="0"/>
                    <w:snapToGrid w:val="0"/>
                    <w:jc w:val="center"/>
                    <w:rPr>
                      <w:b/>
                      <w:color w:val="auto"/>
                      <w:sz w:val="20"/>
                      <w:szCs w:val="20"/>
                      <w:highlight w:val="none"/>
                    </w:rPr>
                  </w:pPr>
                  <w:r>
                    <w:rPr>
                      <w:b/>
                      <w:color w:val="auto"/>
                      <w:sz w:val="20"/>
                      <w:szCs w:val="20"/>
                      <w:highlight w:val="none"/>
                    </w:rPr>
                    <w:t>设计能力及用途</w:t>
                  </w:r>
                </w:p>
              </w:tc>
              <w:tc>
                <w:tcPr>
                  <w:tcW w:w="1346" w:type="pct"/>
                  <w:tcBorders>
                    <w:top w:val="single" w:color="auto" w:sz="12" w:space="0"/>
                    <w:bottom w:val="single" w:color="auto" w:sz="12" w:space="0"/>
                  </w:tcBorders>
                  <w:tcMar>
                    <w:left w:w="0" w:type="dxa"/>
                    <w:right w:w="0" w:type="dxa"/>
                  </w:tcMar>
                  <w:vAlign w:val="center"/>
                </w:tcPr>
                <w:p>
                  <w:pPr>
                    <w:adjustRightInd w:val="0"/>
                    <w:snapToGrid w:val="0"/>
                    <w:jc w:val="center"/>
                    <w:rPr>
                      <w:b/>
                      <w:color w:val="auto"/>
                      <w:sz w:val="20"/>
                      <w:szCs w:val="20"/>
                      <w:highlight w:val="none"/>
                    </w:rPr>
                  </w:pPr>
                  <w:r>
                    <w:rPr>
                      <w:b/>
                      <w:color w:val="auto"/>
                      <w:sz w:val="20"/>
                      <w:szCs w:val="20"/>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tcBorders>
                    <w:top w:val="single" w:color="auto" w:sz="12" w:space="0"/>
                  </w:tcBorders>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主体工程</w:t>
                  </w:r>
                </w:p>
              </w:tc>
              <w:tc>
                <w:tcPr>
                  <w:tcW w:w="1446" w:type="pct"/>
                  <w:gridSpan w:val="3"/>
                  <w:tcBorders>
                    <w:top w:val="single" w:color="auto" w:sz="12" w:space="0"/>
                    <w:bottom w:val="single" w:color="auto" w:sz="4" w:space="0"/>
                  </w:tcBorders>
                  <w:tcMar>
                    <w:left w:w="0" w:type="dxa"/>
                    <w:right w:w="0" w:type="dxa"/>
                  </w:tcMar>
                  <w:vAlign w:val="center"/>
                </w:tcPr>
                <w:p>
                  <w:pPr>
                    <w:adjustRightInd w:val="0"/>
                    <w:snapToGrid w:val="0"/>
                    <w:jc w:val="center"/>
                    <w:rPr>
                      <w:rFonts w:hint="eastAsia" w:eastAsia="宋体"/>
                      <w:color w:val="auto"/>
                      <w:sz w:val="20"/>
                      <w:szCs w:val="20"/>
                      <w:highlight w:val="none"/>
                      <w:lang w:eastAsia="zh-CN"/>
                    </w:rPr>
                  </w:pPr>
                  <w:r>
                    <w:rPr>
                      <w:rFonts w:hint="eastAsia"/>
                      <w:color w:val="auto"/>
                      <w:sz w:val="20"/>
                      <w:szCs w:val="20"/>
                      <w:highlight w:val="none"/>
                      <w:lang w:val="en-US" w:eastAsia="zh-CN"/>
                    </w:rPr>
                    <w:t>生产车间</w:t>
                  </w:r>
                </w:p>
              </w:tc>
              <w:tc>
                <w:tcPr>
                  <w:tcW w:w="1798" w:type="pct"/>
                  <w:tcBorders>
                    <w:top w:val="single" w:color="auto" w:sz="12" w:space="0"/>
                    <w:bottom w:val="single" w:color="auto" w:sz="4" w:space="0"/>
                  </w:tcBorders>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1</w:t>
                  </w:r>
                  <w:r>
                    <w:rPr>
                      <w:bCs/>
                      <w:color w:val="auto"/>
                      <w:sz w:val="20"/>
                      <w:szCs w:val="20"/>
                      <w:highlight w:val="none"/>
                    </w:rPr>
                    <w:t>层，占地面积</w:t>
                  </w:r>
                  <w:r>
                    <w:rPr>
                      <w:rFonts w:hint="eastAsia"/>
                      <w:bCs/>
                      <w:color w:val="auto"/>
                      <w:sz w:val="20"/>
                      <w:szCs w:val="20"/>
                      <w:highlight w:val="none"/>
                      <w:lang w:val="en-US" w:eastAsia="zh-CN"/>
                    </w:rPr>
                    <w:t>1200</w:t>
                  </w:r>
                  <w:r>
                    <w:rPr>
                      <w:bCs/>
                      <w:color w:val="auto"/>
                      <w:sz w:val="20"/>
                      <w:szCs w:val="20"/>
                      <w:highlight w:val="none"/>
                    </w:rPr>
                    <w:t>m</w:t>
                  </w:r>
                  <w:r>
                    <w:rPr>
                      <w:bCs/>
                      <w:color w:val="auto"/>
                      <w:sz w:val="20"/>
                      <w:szCs w:val="20"/>
                      <w:highlight w:val="none"/>
                      <w:vertAlign w:val="superscript"/>
                    </w:rPr>
                    <w:t>2</w:t>
                  </w:r>
                </w:p>
              </w:tc>
              <w:tc>
                <w:tcPr>
                  <w:tcW w:w="1346" w:type="pct"/>
                  <w:tcBorders>
                    <w:top w:val="single" w:color="auto" w:sz="12" w:space="0"/>
                    <w:bottom w:val="single" w:color="auto" w:sz="4" w:space="0"/>
                  </w:tcBorders>
                  <w:tcMar>
                    <w:left w:w="0" w:type="dxa"/>
                    <w:right w:w="0" w:type="dxa"/>
                  </w:tcMar>
                  <w:vAlign w:val="center"/>
                </w:tcPr>
                <w:p>
                  <w:pPr>
                    <w:adjustRightInd w:val="0"/>
                    <w:snapToGrid w:val="0"/>
                    <w:jc w:val="center"/>
                    <w:rPr>
                      <w:b/>
                      <w:bCs w:val="0"/>
                      <w:color w:val="auto"/>
                      <w:sz w:val="20"/>
                      <w:szCs w:val="20"/>
                      <w:highlight w:val="none"/>
                    </w:rPr>
                  </w:pPr>
                  <w:r>
                    <w:rPr>
                      <w:rFonts w:hint="eastAsia"/>
                      <w:bCs/>
                      <w:color w:val="auto"/>
                      <w:sz w:val="20"/>
                      <w:szCs w:val="20"/>
                    </w:rPr>
                    <w:t>主要生产车间</w:t>
                  </w:r>
                  <w:r>
                    <w:rPr>
                      <w:rFonts w:hint="eastAsia"/>
                      <w:bCs/>
                      <w:color w:val="auto"/>
                      <w:sz w:val="20"/>
                      <w:szCs w:val="20"/>
                      <w:lang w:eastAsia="zh-CN"/>
                    </w:rPr>
                    <w:t>，</w:t>
                  </w:r>
                  <w:r>
                    <w:rPr>
                      <w:rFonts w:hint="eastAsia"/>
                      <w:color w:val="auto"/>
                      <w:sz w:val="20"/>
                      <w:szCs w:val="20"/>
                      <w:highlight w:val="none"/>
                      <w:lang w:val="en-US" w:eastAsia="zh-CN"/>
                    </w:rPr>
                    <w:t>包含原料仓库、成品仓库、一般固废仓库和危废仓库，具体分布见平面布置图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restart"/>
                  <w:tcBorders>
                    <w:top w:val="single" w:color="auto" w:sz="4" w:space="0"/>
                  </w:tcBorders>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储运工程</w:t>
                  </w:r>
                </w:p>
              </w:tc>
              <w:tc>
                <w:tcPr>
                  <w:tcW w:w="1446" w:type="pct"/>
                  <w:gridSpan w:val="3"/>
                  <w:tcBorders>
                    <w:top w:val="single" w:color="auto" w:sz="4" w:space="0"/>
                  </w:tcBorders>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原料仓库</w:t>
                  </w:r>
                </w:p>
              </w:tc>
              <w:tc>
                <w:tcPr>
                  <w:tcW w:w="1798" w:type="pct"/>
                  <w:tcBorders>
                    <w:top w:val="single" w:color="auto" w:sz="4" w:space="0"/>
                  </w:tcBorders>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200</w:t>
                  </w:r>
                  <w:r>
                    <w:rPr>
                      <w:bCs/>
                      <w:color w:val="auto"/>
                      <w:sz w:val="20"/>
                      <w:szCs w:val="20"/>
                      <w:highlight w:val="none"/>
                    </w:rPr>
                    <w:t>m</w:t>
                  </w:r>
                  <w:r>
                    <w:rPr>
                      <w:bCs/>
                      <w:color w:val="auto"/>
                      <w:sz w:val="20"/>
                      <w:szCs w:val="20"/>
                      <w:highlight w:val="none"/>
                      <w:vertAlign w:val="superscript"/>
                    </w:rPr>
                    <w:t>2</w:t>
                  </w:r>
                </w:p>
              </w:tc>
              <w:tc>
                <w:tcPr>
                  <w:tcW w:w="1346" w:type="pct"/>
                  <w:tcBorders>
                    <w:top w:val="single" w:color="auto" w:sz="4" w:space="0"/>
                  </w:tcBorders>
                  <w:tcMar>
                    <w:left w:w="0" w:type="dxa"/>
                    <w:right w:w="0" w:type="dxa"/>
                  </w:tcMar>
                  <w:vAlign w:val="center"/>
                </w:tcPr>
                <w:p>
                  <w:pPr>
                    <w:adjustRightInd w:val="0"/>
                    <w:snapToGrid w:val="0"/>
                    <w:jc w:val="center"/>
                    <w:rPr>
                      <w:rFonts w:hint="default" w:eastAsia="宋体"/>
                      <w:bCs/>
                      <w:color w:val="auto"/>
                      <w:sz w:val="20"/>
                      <w:szCs w:val="20"/>
                      <w:highlight w:val="none"/>
                      <w:lang w:val="en-US" w:eastAsia="zh-CN"/>
                    </w:rPr>
                  </w:pPr>
                  <w:r>
                    <w:rPr>
                      <w:rFonts w:hint="eastAsia"/>
                      <w:bCs/>
                      <w:color w:val="auto"/>
                      <w:sz w:val="20"/>
                      <w:szCs w:val="20"/>
                      <w:highlight w:val="none"/>
                      <w:lang w:val="en-US" w:eastAsia="zh-CN"/>
                    </w:rPr>
                    <w:t>位于生产车间东侧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成品仓库</w:t>
                  </w:r>
                </w:p>
              </w:tc>
              <w:tc>
                <w:tcPr>
                  <w:tcW w:w="1798" w:type="pct"/>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200</w:t>
                  </w:r>
                  <w:r>
                    <w:rPr>
                      <w:bCs/>
                      <w:color w:val="auto"/>
                      <w:sz w:val="20"/>
                      <w:szCs w:val="20"/>
                      <w:highlight w:val="none"/>
                    </w:rPr>
                    <w:t>m</w:t>
                  </w:r>
                  <w:r>
                    <w:rPr>
                      <w:bCs/>
                      <w:color w:val="auto"/>
                      <w:sz w:val="20"/>
                      <w:szCs w:val="20"/>
                      <w:highlight w:val="none"/>
                      <w:vertAlign w:val="superscript"/>
                    </w:rPr>
                    <w:t>2</w:t>
                  </w:r>
                </w:p>
              </w:tc>
              <w:tc>
                <w:tcPr>
                  <w:tcW w:w="1346" w:type="pct"/>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位于生产车间东侧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rFonts w:hint="default"/>
                      <w:color w:val="FF0000"/>
                      <w:sz w:val="20"/>
                      <w:szCs w:val="20"/>
                      <w:highlight w:val="none"/>
                      <w:lang w:val="en-US" w:eastAsia="zh-CN"/>
                    </w:rPr>
                  </w:pPr>
                  <w:r>
                    <w:rPr>
                      <w:rFonts w:hint="eastAsia"/>
                      <w:color w:val="FF0000"/>
                      <w:sz w:val="20"/>
                      <w:szCs w:val="20"/>
                      <w:highlight w:val="none"/>
                      <w:lang w:val="en-US" w:eastAsia="zh-CN"/>
                    </w:rPr>
                    <w:t>生物质堆场</w:t>
                  </w:r>
                </w:p>
              </w:tc>
              <w:tc>
                <w:tcPr>
                  <w:tcW w:w="1798" w:type="pct"/>
                  <w:tcMar>
                    <w:left w:w="0" w:type="dxa"/>
                    <w:right w:w="0" w:type="dxa"/>
                  </w:tcMar>
                  <w:vAlign w:val="center"/>
                </w:tcPr>
                <w:p>
                  <w:pPr>
                    <w:adjustRightInd w:val="0"/>
                    <w:snapToGrid w:val="0"/>
                    <w:jc w:val="center"/>
                    <w:rPr>
                      <w:rFonts w:hint="default"/>
                      <w:bCs/>
                      <w:color w:val="FF0000"/>
                      <w:sz w:val="20"/>
                      <w:szCs w:val="20"/>
                      <w:highlight w:val="none"/>
                      <w:lang w:val="en-US" w:eastAsia="zh-CN"/>
                    </w:rPr>
                  </w:pPr>
                  <w:r>
                    <w:rPr>
                      <w:rFonts w:hint="eastAsia"/>
                      <w:bCs/>
                      <w:color w:val="FF0000"/>
                      <w:sz w:val="20"/>
                      <w:szCs w:val="20"/>
                      <w:highlight w:val="none"/>
                      <w:lang w:val="en-US" w:eastAsia="zh-CN"/>
                    </w:rPr>
                    <w:t>200</w:t>
                  </w:r>
                  <w:r>
                    <w:rPr>
                      <w:bCs/>
                      <w:color w:val="FF0000"/>
                      <w:sz w:val="20"/>
                      <w:szCs w:val="20"/>
                      <w:highlight w:val="none"/>
                    </w:rPr>
                    <w:t>m</w:t>
                  </w:r>
                  <w:r>
                    <w:rPr>
                      <w:bCs/>
                      <w:color w:val="FF0000"/>
                      <w:sz w:val="20"/>
                      <w:szCs w:val="20"/>
                      <w:highlight w:val="none"/>
                      <w:vertAlign w:val="superscript"/>
                    </w:rPr>
                    <w:t>2</w:t>
                  </w:r>
                </w:p>
              </w:tc>
              <w:tc>
                <w:tcPr>
                  <w:tcW w:w="1346" w:type="pct"/>
                  <w:tcMar>
                    <w:left w:w="0" w:type="dxa"/>
                    <w:right w:w="0" w:type="dxa"/>
                  </w:tcMar>
                  <w:vAlign w:val="center"/>
                </w:tcPr>
                <w:p>
                  <w:pPr>
                    <w:adjustRightInd w:val="0"/>
                    <w:snapToGrid w:val="0"/>
                    <w:jc w:val="center"/>
                    <w:rPr>
                      <w:rFonts w:hint="default"/>
                      <w:bCs/>
                      <w:color w:val="FF0000"/>
                      <w:sz w:val="20"/>
                      <w:szCs w:val="20"/>
                      <w:highlight w:val="none"/>
                      <w:lang w:val="en-US" w:eastAsia="zh-CN"/>
                    </w:rPr>
                  </w:pPr>
                  <w:r>
                    <w:rPr>
                      <w:rFonts w:hint="eastAsia"/>
                      <w:bCs/>
                      <w:color w:val="FF0000"/>
                      <w:sz w:val="20"/>
                      <w:szCs w:val="20"/>
                      <w:highlight w:val="none"/>
                      <w:lang w:val="en-US" w:eastAsia="zh-CN"/>
                    </w:rPr>
                    <w:t>位于锅炉房内北侧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restart"/>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公用工程</w:t>
                  </w:r>
                </w:p>
              </w:tc>
              <w:tc>
                <w:tcPr>
                  <w:tcW w:w="1446" w:type="pct"/>
                  <w:gridSpan w:val="3"/>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给水</w:t>
                  </w:r>
                </w:p>
              </w:tc>
              <w:tc>
                <w:tcPr>
                  <w:tcW w:w="1798" w:type="pct"/>
                  <w:tcMar>
                    <w:left w:w="0" w:type="dxa"/>
                    <w:right w:w="0" w:type="dxa"/>
                  </w:tcMar>
                  <w:vAlign w:val="center"/>
                </w:tcPr>
                <w:p>
                  <w:pPr>
                    <w:adjustRightInd w:val="0"/>
                    <w:snapToGrid w:val="0"/>
                    <w:jc w:val="center"/>
                    <w:rPr>
                      <w:rFonts w:hint="default" w:eastAsia="宋体"/>
                      <w:color w:val="auto"/>
                      <w:sz w:val="20"/>
                      <w:szCs w:val="20"/>
                      <w:highlight w:val="none"/>
                      <w:vertAlign w:val="baseline"/>
                      <w:lang w:val="en-US" w:eastAsia="zh-CN"/>
                    </w:rPr>
                  </w:pPr>
                  <w:r>
                    <w:rPr>
                      <w:rFonts w:hint="eastAsia"/>
                      <w:bCs/>
                      <w:color w:val="auto"/>
                      <w:sz w:val="20"/>
                      <w:szCs w:val="20"/>
                      <w:highlight w:val="none"/>
                      <w:lang w:val="en-US" w:eastAsia="zh-CN"/>
                    </w:rPr>
                    <w:t>21079.1</w:t>
                  </w:r>
                  <w:r>
                    <w:rPr>
                      <w:bCs/>
                      <w:color w:val="auto"/>
                      <w:sz w:val="20"/>
                      <w:szCs w:val="20"/>
                      <w:highlight w:val="none"/>
                    </w:rPr>
                    <w:t>m</w:t>
                  </w:r>
                  <w:r>
                    <w:rPr>
                      <w:rFonts w:hint="eastAsia"/>
                      <w:bCs/>
                      <w:color w:val="auto"/>
                      <w:sz w:val="20"/>
                      <w:szCs w:val="20"/>
                      <w:highlight w:val="none"/>
                      <w:vertAlign w:val="superscript"/>
                      <w:lang w:val="en-US" w:eastAsia="zh-CN"/>
                    </w:rPr>
                    <w:t>3</w:t>
                  </w:r>
                  <w:r>
                    <w:rPr>
                      <w:rFonts w:hint="eastAsia"/>
                      <w:bCs/>
                      <w:color w:val="auto"/>
                      <w:sz w:val="20"/>
                      <w:szCs w:val="20"/>
                      <w:highlight w:val="none"/>
                      <w:vertAlign w:val="baseline"/>
                      <w:lang w:val="en-US" w:eastAsia="zh-CN"/>
                    </w:rPr>
                    <w:t>/a</w:t>
                  </w:r>
                </w:p>
              </w:tc>
              <w:tc>
                <w:tcPr>
                  <w:tcW w:w="1346" w:type="pct"/>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由</w:t>
                  </w:r>
                  <w:r>
                    <w:rPr>
                      <w:rFonts w:hint="eastAsia"/>
                      <w:color w:val="auto"/>
                      <w:sz w:val="20"/>
                      <w:szCs w:val="20"/>
                      <w:highlight w:val="none"/>
                      <w:lang w:val="en-US" w:eastAsia="zh-CN"/>
                    </w:rPr>
                    <w:t>区域自来水厂</w:t>
                  </w:r>
                  <w:r>
                    <w:rPr>
                      <w:color w:val="auto"/>
                      <w:sz w:val="20"/>
                      <w:szCs w:val="20"/>
                      <w:highlight w:val="none"/>
                    </w:rPr>
                    <w:t>供应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排水</w:t>
                  </w:r>
                </w:p>
              </w:tc>
              <w:tc>
                <w:tcPr>
                  <w:tcW w:w="1798" w:type="pct"/>
                  <w:tcMar>
                    <w:left w:w="0" w:type="dxa"/>
                    <w:right w:w="0" w:type="dxa"/>
                  </w:tcMar>
                  <w:vAlign w:val="center"/>
                </w:tcPr>
                <w:p>
                  <w:pPr>
                    <w:adjustRightInd w:val="0"/>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6394</w:t>
                  </w:r>
                  <w:r>
                    <w:rPr>
                      <w:bCs/>
                      <w:color w:val="auto"/>
                      <w:sz w:val="20"/>
                      <w:szCs w:val="20"/>
                      <w:highlight w:val="none"/>
                    </w:rPr>
                    <w:t>m</w:t>
                  </w:r>
                  <w:r>
                    <w:rPr>
                      <w:rFonts w:hint="eastAsia"/>
                      <w:bCs/>
                      <w:color w:val="auto"/>
                      <w:sz w:val="20"/>
                      <w:szCs w:val="20"/>
                      <w:highlight w:val="none"/>
                      <w:vertAlign w:val="superscript"/>
                      <w:lang w:val="en-US" w:eastAsia="zh-CN"/>
                    </w:rPr>
                    <w:t>3</w:t>
                  </w:r>
                  <w:r>
                    <w:rPr>
                      <w:rFonts w:hint="eastAsia"/>
                      <w:bCs/>
                      <w:color w:val="auto"/>
                      <w:sz w:val="20"/>
                      <w:szCs w:val="20"/>
                      <w:highlight w:val="none"/>
                      <w:vertAlign w:val="baseline"/>
                      <w:lang w:val="en-US" w:eastAsia="zh-CN"/>
                    </w:rPr>
                    <w:t>/a</w:t>
                  </w:r>
                </w:p>
              </w:tc>
              <w:tc>
                <w:tcPr>
                  <w:tcW w:w="1346" w:type="pct"/>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市政管网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供电</w:t>
                  </w:r>
                </w:p>
              </w:tc>
              <w:tc>
                <w:tcPr>
                  <w:tcW w:w="1798" w:type="pct"/>
                  <w:tcMar>
                    <w:left w:w="0" w:type="dxa"/>
                    <w:right w:w="0" w:type="dxa"/>
                  </w:tcMar>
                  <w:vAlign w:val="center"/>
                </w:tcPr>
                <w:p>
                  <w:pPr>
                    <w:adjustRightInd w:val="0"/>
                    <w:snapToGrid w:val="0"/>
                    <w:jc w:val="center"/>
                    <w:rPr>
                      <w:color w:val="auto"/>
                      <w:kern w:val="0"/>
                      <w:sz w:val="20"/>
                      <w:szCs w:val="20"/>
                      <w:highlight w:val="none"/>
                    </w:rPr>
                  </w:pPr>
                  <w:r>
                    <w:rPr>
                      <w:rFonts w:hint="eastAsia"/>
                      <w:color w:val="auto"/>
                      <w:kern w:val="0"/>
                      <w:sz w:val="20"/>
                      <w:szCs w:val="20"/>
                      <w:highlight w:val="none"/>
                      <w:lang w:val="en-US" w:eastAsia="zh-CN"/>
                    </w:rPr>
                    <w:t>55</w:t>
                  </w:r>
                  <w:r>
                    <w:rPr>
                      <w:color w:val="auto"/>
                      <w:kern w:val="0"/>
                      <w:sz w:val="20"/>
                      <w:szCs w:val="20"/>
                      <w:highlight w:val="none"/>
                    </w:rPr>
                    <w:t>万kWh/a</w:t>
                  </w:r>
                </w:p>
              </w:tc>
              <w:tc>
                <w:tcPr>
                  <w:tcW w:w="1346" w:type="pct"/>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区域</w:t>
                  </w:r>
                  <w:r>
                    <w:rPr>
                      <w:bCs/>
                      <w:color w:val="auto"/>
                      <w:sz w:val="20"/>
                      <w:szCs w:val="20"/>
                      <w:highlight w:val="none"/>
                    </w:rPr>
                    <w:t>市政统一供电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color w:val="FF0000"/>
                      <w:sz w:val="20"/>
                      <w:szCs w:val="20"/>
                      <w:highlight w:val="none"/>
                    </w:rPr>
                  </w:pPr>
                  <w:r>
                    <w:rPr>
                      <w:color w:val="FF0000"/>
                      <w:sz w:val="20"/>
                      <w:szCs w:val="20"/>
                      <w:highlight w:val="none"/>
                    </w:rPr>
                    <w:t>供热</w:t>
                  </w:r>
                </w:p>
              </w:tc>
              <w:tc>
                <w:tcPr>
                  <w:tcW w:w="1798" w:type="pct"/>
                  <w:tcMar>
                    <w:left w:w="0" w:type="dxa"/>
                    <w:right w:w="0" w:type="dxa"/>
                  </w:tcMar>
                  <w:vAlign w:val="center"/>
                </w:tcPr>
                <w:p>
                  <w:pPr>
                    <w:adjustRightInd w:val="0"/>
                    <w:snapToGrid w:val="0"/>
                    <w:jc w:val="center"/>
                    <w:rPr>
                      <w:rFonts w:hint="default" w:eastAsia="宋体"/>
                      <w:bCs/>
                      <w:color w:val="FF0000"/>
                      <w:sz w:val="20"/>
                      <w:szCs w:val="20"/>
                      <w:highlight w:val="none"/>
                      <w:lang w:val="en-US" w:eastAsia="zh-CN"/>
                    </w:rPr>
                  </w:pPr>
                  <w:r>
                    <w:rPr>
                      <w:rFonts w:hint="eastAsia"/>
                      <w:bCs/>
                      <w:color w:val="FF0000"/>
                      <w:sz w:val="20"/>
                      <w:szCs w:val="20"/>
                      <w:highlight w:val="none"/>
                      <w:lang w:val="en-US" w:eastAsia="zh-CN"/>
                    </w:rPr>
                    <w:t>租赁锅炉房，</w:t>
                  </w:r>
                  <w:r>
                    <w:rPr>
                      <w:bCs/>
                      <w:color w:val="FF0000"/>
                      <w:sz w:val="20"/>
                      <w:szCs w:val="20"/>
                      <w:highlight w:val="none"/>
                    </w:rPr>
                    <w:t>占地面积</w:t>
                  </w:r>
                  <w:r>
                    <w:rPr>
                      <w:rFonts w:hint="eastAsia"/>
                      <w:bCs/>
                      <w:color w:val="FF0000"/>
                      <w:sz w:val="20"/>
                      <w:szCs w:val="20"/>
                      <w:highlight w:val="none"/>
                      <w:lang w:val="en-US" w:eastAsia="zh-CN"/>
                    </w:rPr>
                    <w:t>800</w:t>
                  </w:r>
                  <w:r>
                    <w:rPr>
                      <w:bCs/>
                      <w:color w:val="FF0000"/>
                      <w:sz w:val="20"/>
                      <w:szCs w:val="20"/>
                      <w:highlight w:val="none"/>
                    </w:rPr>
                    <w:t>m</w:t>
                  </w:r>
                  <w:r>
                    <w:rPr>
                      <w:bCs/>
                      <w:color w:val="FF0000"/>
                      <w:sz w:val="20"/>
                      <w:szCs w:val="20"/>
                      <w:highlight w:val="none"/>
                      <w:vertAlign w:val="superscript"/>
                    </w:rPr>
                    <w:t>2</w:t>
                  </w:r>
                  <w:r>
                    <w:rPr>
                      <w:rFonts w:hint="eastAsia"/>
                      <w:bCs/>
                      <w:color w:val="FF0000"/>
                      <w:sz w:val="20"/>
                      <w:szCs w:val="20"/>
                      <w:highlight w:val="none"/>
                      <w:vertAlign w:val="baseline"/>
                      <w:lang w:eastAsia="zh-CN"/>
                    </w:rPr>
                    <w:t>，</w:t>
                  </w:r>
                  <w:r>
                    <w:rPr>
                      <w:rFonts w:hint="eastAsia" w:ascii="Times New Roman" w:hAnsi="Times New Roman" w:eastAsia="宋体" w:cs="Times New Roman"/>
                      <w:color w:val="FF0000"/>
                      <w:sz w:val="20"/>
                      <w:szCs w:val="20"/>
                      <w:lang w:val="en-US" w:eastAsia="zh-CN"/>
                    </w:rPr>
                    <w:t>360万大卡/h</w:t>
                  </w:r>
                  <w:r>
                    <w:rPr>
                      <w:rFonts w:hint="eastAsia" w:cs="Times New Roman"/>
                      <w:color w:val="FF0000"/>
                      <w:sz w:val="20"/>
                      <w:szCs w:val="20"/>
                      <w:lang w:val="en-US" w:eastAsia="zh-CN"/>
                    </w:rPr>
                    <w:t>生物质</w:t>
                  </w:r>
                  <w:r>
                    <w:rPr>
                      <w:rFonts w:hint="eastAsia" w:ascii="Times New Roman" w:hAnsi="Times New Roman" w:eastAsia="宋体" w:cs="Times New Roman"/>
                      <w:color w:val="FF0000"/>
                      <w:sz w:val="20"/>
                      <w:szCs w:val="20"/>
                      <w:lang w:val="en-US" w:eastAsia="zh-CN"/>
                    </w:rPr>
                    <w:t>导热油炉、6t/h生物质锅炉（链条炉排锅炉）</w:t>
                  </w:r>
                </w:p>
              </w:tc>
              <w:tc>
                <w:tcPr>
                  <w:tcW w:w="1346" w:type="pct"/>
                  <w:tcMar>
                    <w:left w:w="0" w:type="dxa"/>
                    <w:right w:w="0" w:type="dxa"/>
                  </w:tcMar>
                  <w:vAlign w:val="center"/>
                </w:tcPr>
                <w:p>
                  <w:pPr>
                    <w:adjustRightInd w:val="0"/>
                    <w:snapToGrid w:val="0"/>
                    <w:jc w:val="center"/>
                    <w:rPr>
                      <w:rFonts w:hint="default" w:eastAsia="宋体"/>
                      <w:bCs/>
                      <w:color w:val="FF0000"/>
                      <w:sz w:val="20"/>
                      <w:szCs w:val="20"/>
                      <w:highlight w:val="none"/>
                      <w:lang w:val="en-US" w:eastAsia="zh-CN"/>
                    </w:rPr>
                  </w:pPr>
                  <w:r>
                    <w:rPr>
                      <w:rFonts w:hint="eastAsia"/>
                      <w:bCs/>
                      <w:color w:val="FF0000"/>
                      <w:sz w:val="20"/>
                      <w:szCs w:val="20"/>
                      <w:highlight w:val="none"/>
                      <w:lang w:val="en-US" w:eastAsia="zh-CN"/>
                    </w:rPr>
                    <w:t>定型、预缩、烫光和蒸呢工序用蒸汽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rFonts w:hint="eastAsia" w:eastAsia="宋体"/>
                      <w:color w:val="FF0000"/>
                      <w:sz w:val="20"/>
                      <w:szCs w:val="20"/>
                      <w:highlight w:val="none"/>
                      <w:lang w:val="en-US" w:eastAsia="zh-CN"/>
                    </w:rPr>
                  </w:pPr>
                  <w:r>
                    <w:rPr>
                      <w:rFonts w:hint="eastAsia"/>
                      <w:color w:val="FF0000"/>
                      <w:sz w:val="20"/>
                      <w:szCs w:val="20"/>
                      <w:highlight w:val="none"/>
                      <w:lang w:val="en-US" w:eastAsia="zh-CN"/>
                    </w:rPr>
                    <w:t>压缩空气</w:t>
                  </w:r>
                </w:p>
              </w:tc>
              <w:tc>
                <w:tcPr>
                  <w:tcW w:w="1798" w:type="pct"/>
                  <w:tcMar>
                    <w:left w:w="0" w:type="dxa"/>
                    <w:right w:w="0" w:type="dxa"/>
                  </w:tcMar>
                  <w:vAlign w:val="center"/>
                </w:tcPr>
                <w:p>
                  <w:pPr>
                    <w:adjustRightInd w:val="0"/>
                    <w:snapToGrid w:val="0"/>
                    <w:jc w:val="center"/>
                    <w:rPr>
                      <w:rFonts w:hint="default"/>
                      <w:bCs/>
                      <w:color w:val="FF0000"/>
                      <w:sz w:val="20"/>
                      <w:szCs w:val="20"/>
                      <w:highlight w:val="none"/>
                      <w:lang w:val="en-US" w:eastAsia="zh-CN"/>
                    </w:rPr>
                  </w:pPr>
                  <w:r>
                    <w:rPr>
                      <w:rFonts w:hint="eastAsia"/>
                      <w:bCs/>
                      <w:color w:val="FF0000"/>
                      <w:sz w:val="20"/>
                      <w:szCs w:val="20"/>
                      <w:highlight w:val="none"/>
                      <w:lang w:val="en-US" w:eastAsia="zh-CN"/>
                    </w:rPr>
                    <w:t>两台，18m</w:t>
                  </w:r>
                  <w:r>
                    <w:rPr>
                      <w:rFonts w:hint="eastAsia"/>
                      <w:bCs/>
                      <w:color w:val="FF0000"/>
                      <w:sz w:val="20"/>
                      <w:szCs w:val="20"/>
                      <w:highlight w:val="none"/>
                      <w:vertAlign w:val="superscript"/>
                      <w:lang w:val="en-US" w:eastAsia="zh-CN"/>
                    </w:rPr>
                    <w:t>3</w:t>
                  </w:r>
                  <w:r>
                    <w:rPr>
                      <w:rFonts w:hint="eastAsia"/>
                      <w:bCs/>
                      <w:color w:val="FF0000"/>
                      <w:sz w:val="20"/>
                      <w:szCs w:val="20"/>
                      <w:highlight w:val="none"/>
                      <w:lang w:val="en-US" w:eastAsia="zh-CN"/>
                    </w:rPr>
                    <w:t>/min</w:t>
                  </w:r>
                </w:p>
              </w:tc>
              <w:tc>
                <w:tcPr>
                  <w:tcW w:w="1346" w:type="pct"/>
                  <w:tcMar>
                    <w:left w:w="0" w:type="dxa"/>
                    <w:right w:w="0" w:type="dxa"/>
                  </w:tcMar>
                  <w:vAlign w:val="center"/>
                </w:tcPr>
                <w:p>
                  <w:pPr>
                    <w:adjustRightInd w:val="0"/>
                    <w:snapToGrid w:val="0"/>
                    <w:jc w:val="center"/>
                    <w:rPr>
                      <w:rFonts w:hint="default"/>
                      <w:bCs/>
                      <w:color w:val="FF0000"/>
                      <w:sz w:val="20"/>
                      <w:szCs w:val="20"/>
                      <w:highlight w:val="none"/>
                      <w:lang w:val="en-US" w:eastAsia="zh-CN"/>
                    </w:rPr>
                  </w:pPr>
                  <w:r>
                    <w:rPr>
                      <w:rFonts w:hint="eastAsia"/>
                      <w:bCs/>
                      <w:color w:val="FF0000"/>
                      <w:sz w:val="20"/>
                      <w:szCs w:val="20"/>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纯水</w:t>
                  </w:r>
                </w:p>
              </w:tc>
              <w:tc>
                <w:tcPr>
                  <w:tcW w:w="1798" w:type="pct"/>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1</w:t>
                  </w:r>
                  <w:r>
                    <w:rPr>
                      <w:bCs/>
                      <w:color w:val="auto"/>
                      <w:sz w:val="20"/>
                      <w:szCs w:val="20"/>
                      <w:highlight w:val="none"/>
                    </w:rPr>
                    <w:t>套，每套设计能力75m</w:t>
                  </w:r>
                  <w:r>
                    <w:rPr>
                      <w:bCs/>
                      <w:color w:val="auto"/>
                      <w:sz w:val="20"/>
                      <w:szCs w:val="20"/>
                      <w:highlight w:val="none"/>
                      <w:vertAlign w:val="superscript"/>
                    </w:rPr>
                    <w:t>3</w:t>
                  </w:r>
                  <w:r>
                    <w:rPr>
                      <w:bCs/>
                      <w:color w:val="auto"/>
                      <w:sz w:val="20"/>
                      <w:szCs w:val="20"/>
                      <w:highlight w:val="none"/>
                    </w:rPr>
                    <w:t>/h</w:t>
                  </w:r>
                </w:p>
              </w:tc>
              <w:tc>
                <w:tcPr>
                  <w:tcW w:w="1346" w:type="pct"/>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08" w:type="pct"/>
                  <w:vMerge w:val="restart"/>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环保工程</w:t>
                  </w:r>
                </w:p>
              </w:tc>
              <w:tc>
                <w:tcPr>
                  <w:tcW w:w="288" w:type="pct"/>
                  <w:vMerge w:val="restart"/>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废气</w:t>
                  </w:r>
                </w:p>
              </w:tc>
              <w:tc>
                <w:tcPr>
                  <w:tcW w:w="350" w:type="pct"/>
                  <w:vMerge w:val="restart"/>
                  <w:vAlign w:val="center"/>
                </w:tcPr>
                <w:p>
                  <w:pPr>
                    <w:adjustRightInd w:val="0"/>
                    <w:snapToGrid w:val="0"/>
                    <w:jc w:val="center"/>
                    <w:rPr>
                      <w:rFonts w:hint="default" w:eastAsia="宋体"/>
                      <w:color w:val="auto"/>
                      <w:sz w:val="20"/>
                      <w:szCs w:val="20"/>
                      <w:highlight w:val="none"/>
                      <w:lang w:val="en-US" w:eastAsia="zh-CN"/>
                    </w:rPr>
                  </w:pPr>
                  <w:r>
                    <w:rPr>
                      <w:rFonts w:hint="eastAsia"/>
                      <w:color w:val="auto"/>
                      <w:spacing w:val="7"/>
                      <w:sz w:val="20"/>
                      <w:szCs w:val="20"/>
                      <w:highlight w:val="none"/>
                      <w:lang w:val="en-US" w:eastAsia="zh-CN"/>
                    </w:rPr>
                    <w:t>生产废气</w:t>
                  </w:r>
                </w:p>
              </w:tc>
              <w:tc>
                <w:tcPr>
                  <w:tcW w:w="807" w:type="pct"/>
                  <w:vAlign w:val="center"/>
                </w:tcPr>
                <w:p>
                  <w:pPr>
                    <w:adjustRightInd w:val="0"/>
                    <w:snapToGrid w:val="0"/>
                    <w:jc w:val="center"/>
                    <w:rPr>
                      <w:rFonts w:hint="eastAsia"/>
                      <w:color w:val="auto"/>
                      <w:spacing w:val="7"/>
                      <w:sz w:val="20"/>
                      <w:szCs w:val="20"/>
                      <w:highlight w:val="none"/>
                      <w:lang w:val="en-US" w:eastAsia="zh-CN"/>
                    </w:rPr>
                  </w:pPr>
                  <w:r>
                    <w:rPr>
                      <w:rFonts w:hint="eastAsia" w:cs="Times New Roman"/>
                      <w:color w:val="auto"/>
                      <w:spacing w:val="6"/>
                      <w:sz w:val="20"/>
                      <w:szCs w:val="20"/>
                      <w:highlight w:val="none"/>
                      <w:lang w:val="en-US" w:eastAsia="zh-CN"/>
                    </w:rPr>
                    <w:t>拉毛、刷呢、剪毛、烫光和摇粒</w:t>
                  </w:r>
                  <w:r>
                    <w:rPr>
                      <w:rFonts w:hint="eastAsia" w:ascii="Times New Roman" w:hAnsi="Times New Roman" w:eastAsia="宋体" w:cs="Times New Roman"/>
                      <w:color w:val="auto"/>
                      <w:spacing w:val="6"/>
                      <w:sz w:val="20"/>
                      <w:szCs w:val="20"/>
                      <w:highlight w:val="none"/>
                    </w:rPr>
                    <w:t>废气</w:t>
                  </w:r>
                </w:p>
              </w:tc>
              <w:tc>
                <w:tcPr>
                  <w:tcW w:w="1798" w:type="pct"/>
                  <w:tcMar>
                    <w:left w:w="0" w:type="dxa"/>
                    <w:right w:w="0" w:type="dxa"/>
                  </w:tcMar>
                  <w:vAlign w:val="center"/>
                </w:tcPr>
                <w:p>
                  <w:pPr>
                    <w:adjustRightInd w:val="0"/>
                    <w:snapToGrid w:val="0"/>
                    <w:jc w:val="center"/>
                    <w:rPr>
                      <w:bCs/>
                      <w:color w:val="auto"/>
                      <w:sz w:val="20"/>
                      <w:szCs w:val="20"/>
                      <w:highlight w:val="none"/>
                    </w:rPr>
                  </w:pPr>
                  <w:r>
                    <w:rPr>
                      <w:rFonts w:hint="eastAsia" w:ascii="Times New Roman" w:hAnsi="Times New Roman" w:eastAsia="宋体" w:cs="Times New Roman"/>
                      <w:bCs/>
                      <w:color w:val="FF0000"/>
                      <w:sz w:val="20"/>
                      <w:szCs w:val="20"/>
                      <w:highlight w:val="none"/>
                      <w:lang w:val="en-US" w:eastAsia="zh-CN"/>
                    </w:rPr>
                    <w:t>封闭车间+集气罩收集+布袋除尘+DA001/15m，</w:t>
                  </w:r>
                  <w:r>
                    <w:rPr>
                      <w:color w:val="auto"/>
                      <w:spacing w:val="6"/>
                      <w:sz w:val="20"/>
                      <w:szCs w:val="20"/>
                      <w:highlight w:val="none"/>
                    </w:rPr>
                    <w:t>风量</w:t>
                  </w:r>
                  <w:r>
                    <w:rPr>
                      <w:rFonts w:hint="eastAsia"/>
                      <w:color w:val="auto"/>
                      <w:spacing w:val="6"/>
                      <w:sz w:val="20"/>
                      <w:szCs w:val="20"/>
                      <w:highlight w:val="none"/>
                      <w:lang w:val="en-US" w:eastAsia="zh-CN"/>
                    </w:rPr>
                    <w:t xml:space="preserve">16500 </w:t>
                  </w:r>
                  <w:r>
                    <w:rPr>
                      <w:bCs/>
                      <w:color w:val="auto"/>
                      <w:sz w:val="20"/>
                      <w:szCs w:val="20"/>
                      <w:highlight w:val="none"/>
                    </w:rPr>
                    <w:t>m</w:t>
                  </w:r>
                  <w:r>
                    <w:rPr>
                      <w:bCs/>
                      <w:color w:val="auto"/>
                      <w:sz w:val="20"/>
                      <w:szCs w:val="20"/>
                      <w:highlight w:val="none"/>
                      <w:vertAlign w:val="superscript"/>
                    </w:rPr>
                    <w:t>3</w:t>
                  </w:r>
                  <w:r>
                    <w:rPr>
                      <w:bCs/>
                      <w:color w:val="auto"/>
                      <w:sz w:val="20"/>
                      <w:szCs w:val="20"/>
                      <w:highlight w:val="none"/>
                    </w:rPr>
                    <w:t>/h</w:t>
                  </w:r>
                  <w:r>
                    <w:rPr>
                      <w:rFonts w:hint="eastAsia"/>
                      <w:bCs/>
                      <w:color w:val="auto"/>
                      <w:sz w:val="20"/>
                      <w:szCs w:val="20"/>
                      <w:highlight w:val="none"/>
                      <w:lang w:eastAsia="zh-CN"/>
                    </w:rPr>
                    <w:t>，</w:t>
                  </w:r>
                  <w:r>
                    <w:rPr>
                      <w:rFonts w:hint="eastAsia" w:ascii="Times New Roman" w:hAnsi="Times New Roman" w:eastAsia="宋体" w:cs="Times New Roman"/>
                      <w:color w:val="auto"/>
                      <w:spacing w:val="6"/>
                      <w:sz w:val="20"/>
                      <w:szCs w:val="20"/>
                      <w:highlight w:val="none"/>
                    </w:rPr>
                    <w:t>用于处理</w:t>
                  </w:r>
                </w:p>
              </w:tc>
              <w:tc>
                <w:tcPr>
                  <w:tcW w:w="1346" w:type="pct"/>
                  <w:vMerge w:val="restart"/>
                  <w:tcMar>
                    <w:left w:w="0" w:type="dxa"/>
                    <w:right w:w="0" w:type="dxa"/>
                  </w:tcMar>
                  <w:vAlign w:val="center"/>
                </w:tcPr>
                <w:p>
                  <w:pPr>
                    <w:adjustRightInd w:val="0"/>
                    <w:snapToGrid w:val="0"/>
                    <w:jc w:val="center"/>
                    <w:rPr>
                      <w:rFonts w:hint="eastAsia" w:ascii="Times New Roman" w:hAnsi="Times New Roman" w:eastAsia="宋体" w:cs="Times New Roman"/>
                      <w:color w:val="auto"/>
                      <w:spacing w:val="6"/>
                      <w:kern w:val="2"/>
                      <w:sz w:val="20"/>
                      <w:szCs w:val="20"/>
                      <w:highlight w:val="none"/>
                      <w:lang w:val="en-US" w:eastAsia="zh-CN" w:bidi="ar-SA"/>
                    </w:rPr>
                  </w:pPr>
                  <w:r>
                    <w:rPr>
                      <w:rFonts w:hint="eastAsia" w:cs="Times New Roman"/>
                      <w:color w:val="auto"/>
                      <w:spacing w:val="6"/>
                      <w:sz w:val="20"/>
                      <w:szCs w:val="20"/>
                      <w:highlight w:val="none"/>
                      <w:lang w:val="en-US" w:eastAsia="zh-CN"/>
                    </w:rPr>
                    <w:t>新建，两股废气处理后合并DA001排气筒排放，总风量24000</w:t>
                  </w:r>
                  <w:r>
                    <w:rPr>
                      <w:rFonts w:ascii="Times New Roman" w:hAnsi="Times New Roman" w:eastAsia="宋体"/>
                      <w:color w:val="auto"/>
                      <w:spacing w:val="7"/>
                      <w:sz w:val="20"/>
                      <w:szCs w:val="20"/>
                      <w:highlight w:val="none"/>
                    </w:rPr>
                    <w:t>m</w:t>
                  </w:r>
                  <w:r>
                    <w:rPr>
                      <w:rFonts w:ascii="Times New Roman" w:hAnsi="Times New Roman" w:eastAsia="宋体"/>
                      <w:color w:val="auto"/>
                      <w:spacing w:val="7"/>
                      <w:sz w:val="20"/>
                      <w:szCs w:val="20"/>
                      <w:highlight w:val="none"/>
                      <w:vertAlign w:val="superscript"/>
                    </w:rPr>
                    <w:t>3</w:t>
                  </w:r>
                  <w:r>
                    <w:rPr>
                      <w:rFonts w:ascii="Times New Roman" w:hAnsi="Times New Roman" w:eastAsia="宋体"/>
                      <w:color w:val="auto"/>
                      <w:spacing w:val="7"/>
                      <w:sz w:val="20"/>
                      <w:szCs w:val="20"/>
                      <w:highlight w:val="none"/>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408" w:type="pct"/>
                  <w:vMerge w:val="continue"/>
                  <w:tcMar>
                    <w:left w:w="0" w:type="dxa"/>
                    <w:right w:w="0" w:type="dxa"/>
                  </w:tcMar>
                  <w:vAlign w:val="center"/>
                </w:tcPr>
                <w:p>
                  <w:pPr>
                    <w:adjustRightInd w:val="0"/>
                    <w:snapToGrid w:val="0"/>
                    <w:jc w:val="center"/>
                  </w:pPr>
                </w:p>
              </w:tc>
              <w:tc>
                <w:tcPr>
                  <w:tcW w:w="288" w:type="pct"/>
                  <w:vMerge w:val="continue"/>
                  <w:tcMar>
                    <w:left w:w="0" w:type="dxa"/>
                    <w:right w:w="0" w:type="dxa"/>
                  </w:tcMar>
                  <w:vAlign w:val="center"/>
                </w:tcPr>
                <w:p>
                  <w:pPr>
                    <w:adjustRightInd w:val="0"/>
                    <w:snapToGrid w:val="0"/>
                    <w:jc w:val="center"/>
                  </w:pPr>
                </w:p>
              </w:tc>
              <w:tc>
                <w:tcPr>
                  <w:tcW w:w="350" w:type="pct"/>
                  <w:vMerge w:val="continue"/>
                  <w:vAlign w:val="center"/>
                </w:tcPr>
                <w:p>
                  <w:pPr>
                    <w:adjustRightInd w:val="0"/>
                    <w:snapToGrid w:val="0"/>
                    <w:jc w:val="center"/>
                  </w:pPr>
                </w:p>
              </w:tc>
              <w:tc>
                <w:tcPr>
                  <w:tcW w:w="807" w:type="pct"/>
                  <w:vAlign w:val="center"/>
                </w:tcPr>
                <w:p>
                  <w:pPr>
                    <w:adjustRightInd w:val="0"/>
                    <w:snapToGrid w:val="0"/>
                    <w:jc w:val="center"/>
                  </w:pPr>
                  <w:r>
                    <w:rPr>
                      <w:rFonts w:hint="eastAsia" w:cs="Times New Roman"/>
                      <w:color w:val="auto"/>
                      <w:spacing w:val="6"/>
                      <w:sz w:val="20"/>
                      <w:szCs w:val="20"/>
                      <w:highlight w:val="none"/>
                      <w:lang w:val="en-US" w:eastAsia="zh-CN"/>
                    </w:rPr>
                    <w:t>定型和蒸呢</w:t>
                  </w:r>
                  <w:r>
                    <w:rPr>
                      <w:rFonts w:hint="eastAsia" w:ascii="Times New Roman" w:hAnsi="Times New Roman" w:eastAsia="宋体" w:cs="Times New Roman"/>
                      <w:color w:val="auto"/>
                      <w:spacing w:val="6"/>
                      <w:sz w:val="20"/>
                      <w:szCs w:val="20"/>
                      <w:highlight w:val="none"/>
                    </w:rPr>
                    <w:t>废气</w:t>
                  </w:r>
                </w:p>
              </w:tc>
              <w:tc>
                <w:tcPr>
                  <w:tcW w:w="1798" w:type="pct"/>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bCs/>
                      <w:color w:val="auto"/>
                      <w:kern w:val="2"/>
                      <w:sz w:val="20"/>
                      <w:szCs w:val="20"/>
                      <w:highlight w:val="none"/>
                      <w:lang w:val="en-US" w:eastAsia="zh-CN" w:bidi="ar-SA"/>
                    </w:rPr>
                  </w:pPr>
                  <w:r>
                    <w:rPr>
                      <w:rFonts w:hint="eastAsia" w:ascii="Times New Roman" w:hAnsi="Times New Roman" w:eastAsia="宋体" w:cs="Times New Roman"/>
                      <w:bCs/>
                      <w:color w:val="FF0000"/>
                      <w:sz w:val="20"/>
                      <w:szCs w:val="20"/>
                      <w:highlight w:val="none"/>
                      <w:lang w:val="en-US" w:eastAsia="zh-CN"/>
                    </w:rPr>
                    <w:t>设备密闭收集+水喷淋+静电净化+DA001/15m，</w:t>
                  </w:r>
                  <w:r>
                    <w:rPr>
                      <w:color w:val="auto"/>
                      <w:spacing w:val="6"/>
                      <w:sz w:val="20"/>
                      <w:szCs w:val="20"/>
                      <w:highlight w:val="none"/>
                    </w:rPr>
                    <w:t>风量</w:t>
                  </w:r>
                  <w:r>
                    <w:rPr>
                      <w:rFonts w:hint="eastAsia"/>
                      <w:color w:val="auto"/>
                      <w:spacing w:val="6"/>
                      <w:sz w:val="20"/>
                      <w:szCs w:val="20"/>
                      <w:highlight w:val="none"/>
                      <w:lang w:val="en-US" w:eastAsia="zh-CN"/>
                    </w:rPr>
                    <w:t xml:space="preserve">7500 </w:t>
                  </w:r>
                  <w:r>
                    <w:rPr>
                      <w:bCs/>
                      <w:color w:val="auto"/>
                      <w:sz w:val="20"/>
                      <w:szCs w:val="20"/>
                      <w:highlight w:val="none"/>
                    </w:rPr>
                    <w:t>m</w:t>
                  </w:r>
                  <w:r>
                    <w:rPr>
                      <w:bCs/>
                      <w:color w:val="auto"/>
                      <w:sz w:val="20"/>
                      <w:szCs w:val="20"/>
                      <w:highlight w:val="none"/>
                      <w:vertAlign w:val="superscript"/>
                    </w:rPr>
                    <w:t>3</w:t>
                  </w:r>
                  <w:r>
                    <w:rPr>
                      <w:bCs/>
                      <w:color w:val="auto"/>
                      <w:sz w:val="20"/>
                      <w:szCs w:val="20"/>
                      <w:highlight w:val="none"/>
                    </w:rPr>
                    <w:t>/h</w:t>
                  </w:r>
                </w:p>
              </w:tc>
              <w:tc>
                <w:tcPr>
                  <w:tcW w:w="1346" w:type="pct"/>
                  <w:vMerge w:val="continue"/>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auto"/>
                      <w:spacing w:val="6"/>
                      <w:kern w:val="2"/>
                      <w:sz w:val="20"/>
                      <w:szCs w:val="20"/>
                      <w:highlight w:val="none"/>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288" w:type="pct"/>
                  <w:vMerge w:val="continue"/>
                  <w:tcMar>
                    <w:left w:w="0" w:type="dxa"/>
                    <w:right w:w="0" w:type="dxa"/>
                  </w:tcMar>
                  <w:vAlign w:val="center"/>
                </w:tcPr>
                <w:p>
                  <w:pPr>
                    <w:adjustRightInd w:val="0"/>
                    <w:snapToGrid w:val="0"/>
                    <w:jc w:val="center"/>
                    <w:rPr>
                      <w:color w:val="auto"/>
                      <w:sz w:val="20"/>
                      <w:szCs w:val="20"/>
                      <w:highlight w:val="none"/>
                    </w:rPr>
                  </w:pPr>
                </w:p>
              </w:tc>
              <w:tc>
                <w:tcPr>
                  <w:tcW w:w="1158" w:type="pct"/>
                  <w:gridSpan w:val="2"/>
                  <w:vAlign w:val="center"/>
                </w:tcPr>
                <w:p>
                  <w:pPr>
                    <w:adjustRightInd w:val="0"/>
                    <w:snapToGrid w:val="0"/>
                    <w:jc w:val="center"/>
                    <w:rPr>
                      <w:color w:val="auto"/>
                      <w:spacing w:val="7"/>
                      <w:sz w:val="20"/>
                      <w:szCs w:val="20"/>
                      <w:highlight w:val="none"/>
                    </w:rPr>
                  </w:pPr>
                  <w:r>
                    <w:rPr>
                      <w:rFonts w:hint="eastAsia"/>
                      <w:color w:val="auto"/>
                      <w:spacing w:val="7"/>
                      <w:sz w:val="20"/>
                      <w:szCs w:val="20"/>
                      <w:highlight w:val="none"/>
                      <w:lang w:val="en-US" w:eastAsia="zh-CN"/>
                    </w:rPr>
                    <w:t>导热油</w:t>
                  </w:r>
                  <w:r>
                    <w:rPr>
                      <w:color w:val="auto"/>
                      <w:spacing w:val="7"/>
                      <w:sz w:val="20"/>
                      <w:szCs w:val="20"/>
                      <w:highlight w:val="none"/>
                    </w:rPr>
                    <w:t>锅炉烟气</w:t>
                  </w:r>
                </w:p>
              </w:tc>
              <w:tc>
                <w:tcPr>
                  <w:tcW w:w="1798" w:type="pct"/>
                  <w:tcMar>
                    <w:left w:w="0" w:type="dxa"/>
                    <w:right w:w="0" w:type="dxa"/>
                  </w:tcMar>
                  <w:vAlign w:val="center"/>
                </w:tcPr>
                <w:p>
                  <w:pPr>
                    <w:pStyle w:val="184"/>
                    <w:adjustRightInd w:val="0"/>
                    <w:snapToGrid w:val="0"/>
                    <w:jc w:val="center"/>
                    <w:rPr>
                      <w:rFonts w:ascii="Times New Roman" w:hAnsi="Times New Roman" w:eastAsia="宋体"/>
                      <w:color w:val="auto"/>
                      <w:spacing w:val="7"/>
                      <w:sz w:val="20"/>
                      <w:szCs w:val="20"/>
                      <w:highlight w:val="none"/>
                      <w:lang w:eastAsia="zh-CN"/>
                    </w:rPr>
                  </w:pPr>
                  <w:r>
                    <w:rPr>
                      <w:rFonts w:hint="eastAsia" w:ascii="Times New Roman" w:hAnsi="Times New Roman" w:eastAsia="宋体" w:cs="Times New Roman"/>
                      <w:bCs/>
                      <w:color w:val="FF0000"/>
                      <w:sz w:val="20"/>
                      <w:szCs w:val="20"/>
                      <w:highlight w:val="none"/>
                      <w:lang w:val="en-US" w:eastAsia="zh-CN"/>
                    </w:rPr>
                    <w:t>设备密闭收集+</w:t>
                  </w:r>
                  <w:r>
                    <w:rPr>
                      <w:rFonts w:hint="eastAsia" w:ascii="Times New Roman" w:hAnsi="Times New Roman" w:eastAsia="宋体"/>
                      <w:color w:val="auto"/>
                      <w:spacing w:val="7"/>
                      <w:sz w:val="20"/>
                      <w:szCs w:val="20"/>
                      <w:highlight w:val="none"/>
                      <w:lang w:val="en-US" w:eastAsia="zh-CN"/>
                    </w:rPr>
                    <w:t>低氮燃烧+SNCR+</w:t>
                  </w:r>
                  <w:r>
                    <w:rPr>
                      <w:rFonts w:hint="eastAsia" w:ascii="Times New Roman" w:hAnsi="Times New Roman" w:eastAsia="宋体" w:cs="Times New Roman"/>
                      <w:color w:val="auto"/>
                      <w:spacing w:val="7"/>
                      <w:sz w:val="20"/>
                      <w:szCs w:val="20"/>
                      <w:highlight w:val="none"/>
                      <w:lang w:val="en-US" w:eastAsia="zh-CN"/>
                    </w:rPr>
                    <w:t>石灰喷雾干燥+</w:t>
                  </w:r>
                  <w:r>
                    <w:rPr>
                      <w:rFonts w:hint="eastAsia" w:ascii="Times New Roman" w:hAnsi="Times New Roman" w:eastAsia="宋体"/>
                      <w:color w:val="auto"/>
                      <w:spacing w:val="7"/>
                      <w:sz w:val="20"/>
                      <w:szCs w:val="20"/>
                      <w:highlight w:val="none"/>
                      <w:lang w:val="en-US" w:eastAsia="zh-CN"/>
                    </w:rPr>
                    <w:t>余热回收+旋风除尘+布袋除尘+水幕除尘</w:t>
                  </w:r>
                  <w:r>
                    <w:rPr>
                      <w:rFonts w:ascii="Times New Roman" w:hAnsi="Times New Roman" w:eastAsia="宋体"/>
                      <w:color w:val="auto"/>
                      <w:spacing w:val="7"/>
                      <w:sz w:val="20"/>
                      <w:szCs w:val="20"/>
                      <w:highlight w:val="none"/>
                      <w:lang w:eastAsia="zh-CN"/>
                    </w:rPr>
                    <w:t>+</w:t>
                  </w:r>
                  <w:r>
                    <w:rPr>
                      <w:rFonts w:ascii="Times New Roman" w:hAnsi="Times New Roman" w:eastAsia="宋体"/>
                      <w:color w:val="auto"/>
                      <w:spacing w:val="6"/>
                      <w:sz w:val="20"/>
                      <w:szCs w:val="20"/>
                      <w:highlight w:val="none"/>
                    </w:rPr>
                    <w:t>DA002/</w:t>
                  </w:r>
                  <w:r>
                    <w:rPr>
                      <w:rFonts w:hint="eastAsia" w:ascii="Times New Roman" w:hAnsi="Times New Roman" w:eastAsia="宋体"/>
                      <w:color w:val="auto"/>
                      <w:spacing w:val="6"/>
                      <w:sz w:val="20"/>
                      <w:szCs w:val="20"/>
                      <w:highlight w:val="none"/>
                      <w:lang w:val="en-US" w:eastAsia="zh-CN"/>
                    </w:rPr>
                    <w:t>35</w:t>
                  </w:r>
                  <w:r>
                    <w:rPr>
                      <w:rFonts w:ascii="Times New Roman" w:hAnsi="Times New Roman" w:eastAsia="宋体"/>
                      <w:color w:val="auto"/>
                      <w:spacing w:val="6"/>
                      <w:sz w:val="20"/>
                      <w:szCs w:val="20"/>
                      <w:highlight w:val="none"/>
                    </w:rPr>
                    <w:t>m</w:t>
                  </w:r>
                  <w:r>
                    <w:rPr>
                      <w:rFonts w:ascii="Times New Roman" w:hAnsi="Times New Roman" w:eastAsia="宋体"/>
                      <w:color w:val="auto"/>
                      <w:spacing w:val="7"/>
                      <w:sz w:val="20"/>
                      <w:szCs w:val="20"/>
                      <w:highlight w:val="none"/>
                    </w:rPr>
                    <w:t>，风量</w:t>
                  </w:r>
                  <w:r>
                    <w:rPr>
                      <w:rFonts w:hint="eastAsia" w:ascii="Times New Roman" w:hAnsi="Times New Roman" w:eastAsia="宋体"/>
                      <w:color w:val="auto"/>
                      <w:spacing w:val="7"/>
                      <w:sz w:val="20"/>
                      <w:szCs w:val="20"/>
                      <w:highlight w:val="none"/>
                      <w:lang w:val="en-US" w:eastAsia="zh-CN"/>
                    </w:rPr>
                    <w:t>7</w:t>
                  </w:r>
                  <w:r>
                    <w:rPr>
                      <w:rFonts w:ascii="Times New Roman" w:hAnsi="Times New Roman" w:eastAsia="宋体"/>
                      <w:color w:val="auto"/>
                      <w:spacing w:val="7"/>
                      <w:sz w:val="20"/>
                      <w:szCs w:val="20"/>
                      <w:highlight w:val="none"/>
                    </w:rPr>
                    <w:t>000m</w:t>
                  </w:r>
                  <w:r>
                    <w:rPr>
                      <w:rFonts w:ascii="Times New Roman" w:hAnsi="Times New Roman" w:eastAsia="宋体"/>
                      <w:color w:val="auto"/>
                      <w:spacing w:val="7"/>
                      <w:sz w:val="20"/>
                      <w:szCs w:val="20"/>
                      <w:highlight w:val="none"/>
                      <w:vertAlign w:val="superscript"/>
                    </w:rPr>
                    <w:t>3</w:t>
                  </w:r>
                  <w:r>
                    <w:rPr>
                      <w:rFonts w:ascii="Times New Roman" w:hAnsi="Times New Roman" w:eastAsia="宋体"/>
                      <w:color w:val="auto"/>
                      <w:spacing w:val="7"/>
                      <w:sz w:val="20"/>
                      <w:szCs w:val="20"/>
                      <w:highlight w:val="none"/>
                    </w:rPr>
                    <w:t>/h</w:t>
                  </w:r>
                </w:p>
              </w:tc>
              <w:tc>
                <w:tcPr>
                  <w:tcW w:w="1346" w:type="pct"/>
                  <w:tcMar>
                    <w:left w:w="0" w:type="dxa"/>
                    <w:right w:w="0" w:type="dxa"/>
                  </w:tcMar>
                  <w:vAlign w:val="center"/>
                </w:tcPr>
                <w:p>
                  <w:pPr>
                    <w:adjustRightInd w:val="0"/>
                    <w:snapToGrid w:val="0"/>
                    <w:jc w:val="center"/>
                    <w:rPr>
                      <w:rFonts w:hint="default" w:ascii="Times New Roman" w:hAnsi="Times New Roman" w:eastAsia="宋体" w:cs="Times New Roman"/>
                      <w:color w:val="auto"/>
                      <w:spacing w:val="6"/>
                      <w:sz w:val="20"/>
                      <w:szCs w:val="20"/>
                      <w:highlight w:val="none"/>
                      <w:lang w:val="en-US" w:eastAsia="zh-CN"/>
                    </w:rPr>
                  </w:pPr>
                  <w:r>
                    <w:rPr>
                      <w:rFonts w:hint="eastAsia" w:cs="Times New Roman"/>
                      <w:color w:val="auto"/>
                      <w:spacing w:val="6"/>
                      <w:sz w:val="20"/>
                      <w:szCs w:val="20"/>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288" w:type="pct"/>
                  <w:vMerge w:val="continue"/>
                  <w:tcMar>
                    <w:left w:w="0" w:type="dxa"/>
                    <w:right w:w="0" w:type="dxa"/>
                  </w:tcMar>
                  <w:vAlign w:val="center"/>
                </w:tcPr>
                <w:p>
                  <w:pPr>
                    <w:adjustRightInd w:val="0"/>
                    <w:snapToGrid w:val="0"/>
                    <w:jc w:val="center"/>
                    <w:rPr>
                      <w:color w:val="auto"/>
                      <w:sz w:val="20"/>
                      <w:szCs w:val="20"/>
                      <w:highlight w:val="none"/>
                    </w:rPr>
                  </w:pPr>
                </w:p>
              </w:tc>
              <w:tc>
                <w:tcPr>
                  <w:tcW w:w="1158" w:type="pct"/>
                  <w:gridSpan w:val="2"/>
                  <w:vAlign w:val="center"/>
                </w:tcPr>
                <w:p>
                  <w:pPr>
                    <w:adjustRightInd w:val="0"/>
                    <w:snapToGrid w:val="0"/>
                    <w:jc w:val="center"/>
                    <w:rPr>
                      <w:rFonts w:hint="default"/>
                      <w:color w:val="auto"/>
                      <w:spacing w:val="7"/>
                      <w:sz w:val="20"/>
                      <w:szCs w:val="20"/>
                      <w:highlight w:val="none"/>
                      <w:lang w:val="en-US" w:eastAsia="zh-CN"/>
                    </w:rPr>
                  </w:pPr>
                  <w:r>
                    <w:rPr>
                      <w:rFonts w:hint="eastAsia"/>
                      <w:color w:val="auto"/>
                      <w:spacing w:val="7"/>
                      <w:sz w:val="20"/>
                      <w:szCs w:val="20"/>
                      <w:highlight w:val="none"/>
                      <w:lang w:val="en-US" w:eastAsia="zh-CN"/>
                    </w:rPr>
                    <w:t>生物质锅炉烟气</w:t>
                  </w:r>
                </w:p>
              </w:tc>
              <w:tc>
                <w:tcPr>
                  <w:tcW w:w="1798" w:type="pct"/>
                  <w:tcMar>
                    <w:left w:w="0" w:type="dxa"/>
                    <w:right w:w="0" w:type="dxa"/>
                  </w:tcMar>
                  <w:vAlign w:val="center"/>
                </w:tcPr>
                <w:p>
                  <w:pPr>
                    <w:pStyle w:val="184"/>
                    <w:adjustRightInd w:val="0"/>
                    <w:snapToGrid w:val="0"/>
                    <w:jc w:val="center"/>
                    <w:rPr>
                      <w:rFonts w:ascii="Times New Roman" w:hAnsi="Times New Roman" w:eastAsia="宋体"/>
                      <w:color w:val="auto"/>
                      <w:spacing w:val="7"/>
                      <w:sz w:val="20"/>
                      <w:szCs w:val="20"/>
                      <w:highlight w:val="none"/>
                      <w:lang w:eastAsia="zh-CN"/>
                    </w:rPr>
                  </w:pPr>
                  <w:r>
                    <w:rPr>
                      <w:rFonts w:hint="eastAsia" w:ascii="Times New Roman" w:hAnsi="Times New Roman" w:eastAsia="宋体" w:cs="Times New Roman"/>
                      <w:bCs/>
                      <w:color w:val="FF0000"/>
                      <w:sz w:val="20"/>
                      <w:szCs w:val="20"/>
                      <w:highlight w:val="none"/>
                      <w:lang w:val="en-US" w:eastAsia="zh-CN"/>
                    </w:rPr>
                    <w:t>设备密闭收集+</w:t>
                  </w:r>
                  <w:r>
                    <w:rPr>
                      <w:rFonts w:hint="eastAsia" w:ascii="Times New Roman" w:hAnsi="Times New Roman" w:eastAsia="宋体"/>
                      <w:color w:val="auto"/>
                      <w:spacing w:val="7"/>
                      <w:sz w:val="20"/>
                      <w:szCs w:val="20"/>
                      <w:highlight w:val="none"/>
                      <w:lang w:val="en-US" w:eastAsia="zh-CN"/>
                    </w:rPr>
                    <w:t>低氮燃烧+SNCR+</w:t>
                  </w:r>
                  <w:r>
                    <w:rPr>
                      <w:rFonts w:hint="eastAsia" w:ascii="Times New Roman" w:hAnsi="Times New Roman" w:eastAsia="宋体" w:cs="Times New Roman"/>
                      <w:color w:val="auto"/>
                      <w:spacing w:val="7"/>
                      <w:sz w:val="20"/>
                      <w:szCs w:val="20"/>
                      <w:highlight w:val="none"/>
                      <w:lang w:val="en-US" w:eastAsia="zh-CN"/>
                    </w:rPr>
                    <w:t>石灰喷雾干燥+</w:t>
                  </w:r>
                  <w:r>
                    <w:rPr>
                      <w:rFonts w:hint="eastAsia" w:ascii="Times New Roman" w:hAnsi="Times New Roman" w:eastAsia="宋体"/>
                      <w:color w:val="auto"/>
                      <w:spacing w:val="7"/>
                      <w:sz w:val="20"/>
                      <w:szCs w:val="20"/>
                      <w:highlight w:val="none"/>
                      <w:lang w:val="en-US" w:eastAsia="zh-CN"/>
                    </w:rPr>
                    <w:t>余热回收+旋风除尘+布袋除尘+水幕除尘</w:t>
                  </w:r>
                  <w:r>
                    <w:rPr>
                      <w:rFonts w:ascii="Times New Roman" w:hAnsi="Times New Roman" w:eastAsia="宋体"/>
                      <w:color w:val="auto"/>
                      <w:spacing w:val="7"/>
                      <w:sz w:val="20"/>
                      <w:szCs w:val="20"/>
                      <w:highlight w:val="none"/>
                      <w:lang w:eastAsia="zh-CN"/>
                    </w:rPr>
                    <w:t>+</w:t>
                  </w:r>
                  <w:r>
                    <w:rPr>
                      <w:rFonts w:ascii="Times New Roman" w:hAnsi="Times New Roman" w:eastAsia="宋体"/>
                      <w:color w:val="auto"/>
                      <w:spacing w:val="6"/>
                      <w:sz w:val="20"/>
                      <w:szCs w:val="20"/>
                      <w:highlight w:val="none"/>
                    </w:rPr>
                    <w:t>DA00</w:t>
                  </w:r>
                  <w:r>
                    <w:rPr>
                      <w:rFonts w:hint="eastAsia" w:ascii="Times New Roman" w:hAnsi="Times New Roman" w:eastAsia="宋体"/>
                      <w:color w:val="auto"/>
                      <w:spacing w:val="6"/>
                      <w:sz w:val="20"/>
                      <w:szCs w:val="20"/>
                      <w:highlight w:val="none"/>
                      <w:lang w:val="en-US" w:eastAsia="zh-CN"/>
                    </w:rPr>
                    <w:t>3</w:t>
                  </w:r>
                  <w:r>
                    <w:rPr>
                      <w:rFonts w:ascii="Times New Roman" w:hAnsi="Times New Roman" w:eastAsia="宋体"/>
                      <w:color w:val="auto"/>
                      <w:spacing w:val="6"/>
                      <w:sz w:val="20"/>
                      <w:szCs w:val="20"/>
                      <w:highlight w:val="none"/>
                    </w:rPr>
                    <w:t>/</w:t>
                  </w:r>
                  <w:r>
                    <w:rPr>
                      <w:rFonts w:hint="eastAsia" w:ascii="Times New Roman" w:hAnsi="Times New Roman" w:eastAsia="宋体"/>
                      <w:color w:val="auto"/>
                      <w:spacing w:val="6"/>
                      <w:sz w:val="20"/>
                      <w:szCs w:val="20"/>
                      <w:highlight w:val="none"/>
                      <w:lang w:val="en-US" w:eastAsia="zh-CN"/>
                    </w:rPr>
                    <w:t>35</w:t>
                  </w:r>
                  <w:r>
                    <w:rPr>
                      <w:rFonts w:ascii="Times New Roman" w:hAnsi="Times New Roman" w:eastAsia="宋体"/>
                      <w:color w:val="auto"/>
                      <w:spacing w:val="6"/>
                      <w:sz w:val="20"/>
                      <w:szCs w:val="20"/>
                      <w:highlight w:val="none"/>
                    </w:rPr>
                    <w:t>m</w:t>
                  </w:r>
                  <w:r>
                    <w:rPr>
                      <w:rFonts w:ascii="Times New Roman" w:hAnsi="Times New Roman" w:eastAsia="宋体"/>
                      <w:color w:val="auto"/>
                      <w:spacing w:val="7"/>
                      <w:sz w:val="20"/>
                      <w:szCs w:val="20"/>
                      <w:highlight w:val="none"/>
                    </w:rPr>
                    <w:t>，风量</w:t>
                  </w:r>
                  <w:r>
                    <w:rPr>
                      <w:rFonts w:hint="eastAsia" w:ascii="Times New Roman" w:hAnsi="Times New Roman" w:eastAsia="宋体"/>
                      <w:color w:val="auto"/>
                      <w:spacing w:val="7"/>
                      <w:sz w:val="20"/>
                      <w:szCs w:val="20"/>
                      <w:highlight w:val="none"/>
                      <w:lang w:val="en-US" w:eastAsia="zh-CN"/>
                    </w:rPr>
                    <w:t>7</w:t>
                  </w:r>
                  <w:r>
                    <w:rPr>
                      <w:rFonts w:ascii="Times New Roman" w:hAnsi="Times New Roman" w:eastAsia="宋体"/>
                      <w:color w:val="auto"/>
                      <w:spacing w:val="7"/>
                      <w:sz w:val="20"/>
                      <w:szCs w:val="20"/>
                      <w:highlight w:val="none"/>
                    </w:rPr>
                    <w:t>000m</w:t>
                  </w:r>
                  <w:r>
                    <w:rPr>
                      <w:rFonts w:ascii="Times New Roman" w:hAnsi="Times New Roman" w:eastAsia="宋体"/>
                      <w:color w:val="auto"/>
                      <w:spacing w:val="7"/>
                      <w:sz w:val="20"/>
                      <w:szCs w:val="20"/>
                      <w:highlight w:val="none"/>
                      <w:vertAlign w:val="superscript"/>
                    </w:rPr>
                    <w:t>3</w:t>
                  </w:r>
                  <w:r>
                    <w:rPr>
                      <w:rFonts w:ascii="Times New Roman" w:hAnsi="Times New Roman" w:eastAsia="宋体"/>
                      <w:color w:val="auto"/>
                      <w:spacing w:val="7"/>
                      <w:sz w:val="20"/>
                      <w:szCs w:val="20"/>
                      <w:highlight w:val="none"/>
                    </w:rPr>
                    <w:t>/h</w:t>
                  </w:r>
                </w:p>
              </w:tc>
              <w:tc>
                <w:tcPr>
                  <w:tcW w:w="1346" w:type="pct"/>
                  <w:tcMar>
                    <w:left w:w="0" w:type="dxa"/>
                    <w:right w:w="0" w:type="dxa"/>
                  </w:tcMar>
                  <w:vAlign w:val="center"/>
                </w:tcPr>
                <w:p>
                  <w:pPr>
                    <w:adjustRightInd w:val="0"/>
                    <w:snapToGrid w:val="0"/>
                    <w:jc w:val="center"/>
                    <w:rPr>
                      <w:rFonts w:hint="eastAsia"/>
                      <w:bCs/>
                      <w:color w:val="auto"/>
                      <w:sz w:val="20"/>
                      <w:szCs w:val="20"/>
                      <w:highlight w:val="none"/>
                      <w:lang w:val="en-US" w:eastAsia="zh-CN"/>
                    </w:rPr>
                  </w:pPr>
                  <w:r>
                    <w:rPr>
                      <w:rFonts w:hint="eastAsia" w:cs="Times New Roman"/>
                      <w:color w:val="auto"/>
                      <w:spacing w:val="6"/>
                      <w:sz w:val="20"/>
                      <w:szCs w:val="20"/>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288" w:type="pct"/>
                  <w:vMerge w:val="restart"/>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废水</w:t>
                  </w:r>
                </w:p>
              </w:tc>
              <w:tc>
                <w:tcPr>
                  <w:tcW w:w="1158" w:type="pct"/>
                  <w:gridSpan w:val="2"/>
                  <w:vAlign w:val="center"/>
                </w:tcPr>
                <w:p>
                  <w:pPr>
                    <w:adjustRightInd w:val="0"/>
                    <w:snapToGrid w:val="0"/>
                    <w:jc w:val="center"/>
                    <w:rPr>
                      <w:color w:val="auto"/>
                      <w:sz w:val="20"/>
                      <w:szCs w:val="20"/>
                      <w:highlight w:val="none"/>
                    </w:rPr>
                  </w:pPr>
                  <w:r>
                    <w:rPr>
                      <w:color w:val="auto"/>
                      <w:sz w:val="20"/>
                      <w:szCs w:val="20"/>
                      <w:highlight w:val="none"/>
                    </w:rPr>
                    <w:t>生活废水</w:t>
                  </w:r>
                </w:p>
              </w:tc>
              <w:tc>
                <w:tcPr>
                  <w:tcW w:w="1798" w:type="pct"/>
                  <w:tcMar>
                    <w:left w:w="0" w:type="dxa"/>
                    <w:right w:w="0" w:type="dxa"/>
                  </w:tcMar>
                  <w:vAlign w:val="center"/>
                </w:tcPr>
                <w:p>
                  <w:pPr>
                    <w:adjustRightInd w:val="0"/>
                    <w:snapToGrid w:val="0"/>
                    <w:jc w:val="center"/>
                    <w:rPr>
                      <w:rFonts w:hint="eastAsia" w:eastAsia="宋体"/>
                      <w:bCs/>
                      <w:color w:val="auto"/>
                      <w:sz w:val="20"/>
                      <w:szCs w:val="20"/>
                      <w:highlight w:val="none"/>
                      <w:lang w:val="en-US" w:eastAsia="zh-CN"/>
                    </w:rPr>
                  </w:pPr>
                  <w:r>
                    <w:rPr>
                      <w:rFonts w:hint="eastAsia"/>
                      <w:bCs/>
                      <w:color w:val="auto"/>
                      <w:sz w:val="20"/>
                      <w:szCs w:val="20"/>
                      <w:highlight w:val="none"/>
                      <w:lang w:val="en-US" w:eastAsia="zh-CN"/>
                    </w:rPr>
                    <w:t>化粪池</w:t>
                  </w:r>
                </w:p>
              </w:tc>
              <w:tc>
                <w:tcPr>
                  <w:tcW w:w="1346" w:type="pct"/>
                  <w:tcMar>
                    <w:left w:w="0" w:type="dxa"/>
                    <w:right w:w="0" w:type="dxa"/>
                  </w:tcMar>
                  <w:vAlign w:val="center"/>
                </w:tcPr>
                <w:p>
                  <w:pPr>
                    <w:adjustRightInd w:val="0"/>
                    <w:snapToGrid w:val="0"/>
                    <w:jc w:val="center"/>
                    <w:rPr>
                      <w:rFonts w:hint="eastAsia" w:eastAsia="宋体"/>
                      <w:bCs/>
                      <w:color w:val="auto"/>
                      <w:sz w:val="20"/>
                      <w:szCs w:val="20"/>
                      <w:highlight w:val="none"/>
                      <w:lang w:eastAsia="zh-CN"/>
                    </w:rPr>
                  </w:pPr>
                  <w:r>
                    <w:rPr>
                      <w:bCs/>
                      <w:color w:val="auto"/>
                      <w:sz w:val="20"/>
                      <w:szCs w:val="20"/>
                      <w:highlight w:val="none"/>
                    </w:rPr>
                    <w:t>依托</w:t>
                  </w:r>
                  <w:r>
                    <w:rPr>
                      <w:rFonts w:hint="eastAsia"/>
                      <w:bCs/>
                      <w:color w:val="auto"/>
                      <w:sz w:val="20"/>
                      <w:szCs w:val="20"/>
                      <w:highlight w:val="none"/>
                      <w:lang w:val="en-US" w:eastAsia="zh-CN"/>
                    </w:rPr>
                    <w:t>华胜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288" w:type="pct"/>
                  <w:vMerge w:val="continue"/>
                  <w:tcMar>
                    <w:left w:w="0" w:type="dxa"/>
                    <w:right w:w="0" w:type="dxa"/>
                  </w:tcMar>
                  <w:vAlign w:val="center"/>
                </w:tcPr>
                <w:p>
                  <w:pPr>
                    <w:adjustRightInd w:val="0"/>
                    <w:snapToGrid w:val="0"/>
                    <w:jc w:val="center"/>
                    <w:rPr>
                      <w:color w:val="auto"/>
                      <w:sz w:val="20"/>
                      <w:szCs w:val="20"/>
                      <w:highlight w:val="none"/>
                    </w:rPr>
                  </w:pPr>
                </w:p>
              </w:tc>
              <w:tc>
                <w:tcPr>
                  <w:tcW w:w="1158" w:type="pct"/>
                  <w:gridSpan w:val="2"/>
                  <w:vAlign w:val="center"/>
                </w:tcPr>
                <w:p>
                  <w:pPr>
                    <w:adjustRightInd w:val="0"/>
                    <w:snapToGrid w:val="0"/>
                    <w:jc w:val="center"/>
                    <w:rPr>
                      <w:rFonts w:hint="eastAsia" w:eastAsia="宋体"/>
                      <w:color w:val="auto"/>
                      <w:sz w:val="20"/>
                      <w:szCs w:val="20"/>
                      <w:highlight w:val="none"/>
                      <w:lang w:eastAsia="zh-CN"/>
                    </w:rPr>
                  </w:pPr>
                  <w:r>
                    <w:rPr>
                      <w:rFonts w:hint="eastAsia"/>
                      <w:bCs/>
                      <w:color w:val="auto"/>
                      <w:sz w:val="20"/>
                      <w:szCs w:val="20"/>
                      <w:highlight w:val="none"/>
                      <w:lang w:val="en-US" w:eastAsia="zh-CN"/>
                    </w:rPr>
                    <w:t>生产废水</w:t>
                  </w:r>
                </w:p>
              </w:tc>
              <w:tc>
                <w:tcPr>
                  <w:tcW w:w="1798" w:type="pct"/>
                  <w:tcMar>
                    <w:left w:w="0" w:type="dxa"/>
                    <w:right w:w="0" w:type="dxa"/>
                  </w:tcMar>
                  <w:vAlign w:val="center"/>
                </w:tcPr>
                <w:p>
                  <w:pPr>
                    <w:adjustRightInd w:val="0"/>
                    <w:snapToGrid w:val="0"/>
                    <w:jc w:val="center"/>
                    <w:rPr>
                      <w:rFonts w:hint="default" w:eastAsia="宋体"/>
                      <w:bCs/>
                      <w:color w:val="auto"/>
                      <w:sz w:val="20"/>
                      <w:szCs w:val="20"/>
                      <w:highlight w:val="none"/>
                      <w:lang w:val="en-US" w:eastAsia="zh-CN"/>
                    </w:rPr>
                  </w:pPr>
                  <w:r>
                    <w:rPr>
                      <w:rFonts w:hint="eastAsia"/>
                      <w:bCs/>
                      <w:color w:val="FF0000"/>
                      <w:sz w:val="20"/>
                      <w:szCs w:val="20"/>
                      <w:highlight w:val="none"/>
                      <w:lang w:val="en-US" w:eastAsia="zh-CN"/>
                    </w:rPr>
                    <w:t>依托华胜污水处理站和污水总排口，工艺为：“混凝沉淀+水解酸化+接触氧化+二沉+终沉”</w:t>
                  </w:r>
                  <w:r>
                    <w:rPr>
                      <w:rFonts w:hint="eastAsia" w:ascii="Times New Roman" w:hAnsi="Times New Roman" w:eastAsia="宋体" w:cs="Times New Roman"/>
                      <w:color w:val="FF0000"/>
                      <w:sz w:val="20"/>
                      <w:szCs w:val="22"/>
                      <w:lang w:val="en-US" w:eastAsia="zh-CN"/>
                    </w:rPr>
                    <w:t>，设计规模500m</w:t>
                  </w:r>
                  <w:r>
                    <w:rPr>
                      <w:rFonts w:hint="eastAsia" w:ascii="Times New Roman" w:hAnsi="Times New Roman" w:eastAsia="宋体" w:cs="Times New Roman"/>
                      <w:color w:val="FF0000"/>
                      <w:sz w:val="20"/>
                      <w:szCs w:val="22"/>
                      <w:vertAlign w:val="superscript"/>
                      <w:lang w:val="en-US" w:eastAsia="zh-CN"/>
                    </w:rPr>
                    <w:t>3</w:t>
                  </w:r>
                  <w:r>
                    <w:rPr>
                      <w:rFonts w:hint="eastAsia" w:ascii="Times New Roman" w:hAnsi="Times New Roman" w:eastAsia="宋体" w:cs="Times New Roman"/>
                      <w:color w:val="FF0000"/>
                      <w:sz w:val="20"/>
                      <w:szCs w:val="22"/>
                      <w:lang w:val="en-US" w:eastAsia="zh-CN"/>
                    </w:rPr>
                    <w:t>/d</w:t>
                  </w:r>
                </w:p>
              </w:tc>
              <w:tc>
                <w:tcPr>
                  <w:tcW w:w="1346" w:type="pct"/>
                  <w:tcMar>
                    <w:left w:w="0" w:type="dxa"/>
                    <w:right w:w="0" w:type="dxa"/>
                  </w:tcMar>
                  <w:vAlign w:val="center"/>
                </w:tcPr>
                <w:p>
                  <w:pPr>
                    <w:adjustRightInd w:val="0"/>
                    <w:snapToGrid w:val="0"/>
                    <w:jc w:val="center"/>
                    <w:rPr>
                      <w:rFonts w:hint="default" w:eastAsia="宋体"/>
                      <w:bCs/>
                      <w:color w:val="auto"/>
                      <w:sz w:val="20"/>
                      <w:szCs w:val="20"/>
                      <w:highlight w:val="none"/>
                      <w:lang w:val="en-US" w:eastAsia="zh-CN"/>
                    </w:rPr>
                  </w:pPr>
                  <w:r>
                    <w:rPr>
                      <w:rFonts w:hint="eastAsia"/>
                      <w:bCs/>
                      <w:color w:val="auto"/>
                      <w:sz w:val="20"/>
                      <w:szCs w:val="20"/>
                      <w:highlight w:val="none"/>
                      <w:lang w:val="en-US" w:eastAsia="zh-CN"/>
                    </w:rPr>
                    <w:t>处理软水制备废水、喷淋废水、水幕除尘废水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一般固废</w:t>
                  </w:r>
                </w:p>
              </w:tc>
              <w:tc>
                <w:tcPr>
                  <w:tcW w:w="1798" w:type="pct"/>
                  <w:tcMar>
                    <w:left w:w="0" w:type="dxa"/>
                    <w:right w:w="0" w:type="dxa"/>
                  </w:tcMar>
                  <w:vAlign w:val="center"/>
                </w:tcPr>
                <w:p>
                  <w:pPr>
                    <w:adjustRightInd w:val="0"/>
                    <w:snapToGrid w:val="0"/>
                    <w:jc w:val="center"/>
                    <w:rPr>
                      <w:bCs/>
                      <w:color w:val="auto"/>
                      <w:sz w:val="20"/>
                      <w:szCs w:val="20"/>
                      <w:highlight w:val="none"/>
                    </w:rPr>
                  </w:pPr>
                  <w:r>
                    <w:rPr>
                      <w:bCs/>
                      <w:color w:val="auto"/>
                      <w:sz w:val="20"/>
                      <w:szCs w:val="20"/>
                      <w:highlight w:val="none"/>
                    </w:rPr>
                    <w:t>1座一般固废库，</w:t>
                  </w:r>
                  <w:r>
                    <w:rPr>
                      <w:rFonts w:hint="eastAsia"/>
                      <w:bCs/>
                      <w:color w:val="auto"/>
                      <w:sz w:val="20"/>
                      <w:szCs w:val="20"/>
                      <w:highlight w:val="none"/>
                      <w:lang w:val="en-US" w:eastAsia="zh-CN"/>
                    </w:rPr>
                    <w:t>1</w:t>
                  </w:r>
                  <w:r>
                    <w:rPr>
                      <w:bCs/>
                      <w:color w:val="auto"/>
                      <w:sz w:val="20"/>
                      <w:szCs w:val="20"/>
                      <w:highlight w:val="none"/>
                    </w:rPr>
                    <w:t>层，占地面积</w:t>
                  </w:r>
                  <w:r>
                    <w:rPr>
                      <w:rFonts w:hint="eastAsia"/>
                      <w:bCs/>
                      <w:color w:val="auto"/>
                      <w:sz w:val="20"/>
                      <w:szCs w:val="20"/>
                      <w:highlight w:val="none"/>
                      <w:lang w:val="en-US" w:eastAsia="zh-CN"/>
                    </w:rPr>
                    <w:t>50</w:t>
                  </w:r>
                  <w:r>
                    <w:rPr>
                      <w:bCs/>
                      <w:color w:val="auto"/>
                      <w:sz w:val="20"/>
                      <w:szCs w:val="20"/>
                      <w:highlight w:val="none"/>
                    </w:rPr>
                    <w:t>m</w:t>
                  </w:r>
                  <w:r>
                    <w:rPr>
                      <w:bCs/>
                      <w:color w:val="auto"/>
                      <w:sz w:val="20"/>
                      <w:szCs w:val="20"/>
                      <w:highlight w:val="none"/>
                      <w:vertAlign w:val="superscript"/>
                    </w:rPr>
                    <w:t>2</w:t>
                  </w:r>
                </w:p>
              </w:tc>
              <w:tc>
                <w:tcPr>
                  <w:tcW w:w="1346" w:type="pct"/>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新建，位于生产车间东侧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危险固废</w:t>
                  </w:r>
                </w:p>
              </w:tc>
              <w:tc>
                <w:tcPr>
                  <w:tcW w:w="1798" w:type="pct"/>
                  <w:tcMar>
                    <w:left w:w="0" w:type="dxa"/>
                    <w:right w:w="0" w:type="dxa"/>
                  </w:tcMar>
                  <w:vAlign w:val="center"/>
                </w:tcPr>
                <w:p>
                  <w:pPr>
                    <w:adjustRightInd w:val="0"/>
                    <w:snapToGrid w:val="0"/>
                    <w:jc w:val="center"/>
                    <w:rPr>
                      <w:bCs/>
                      <w:color w:val="auto"/>
                      <w:sz w:val="20"/>
                      <w:szCs w:val="20"/>
                      <w:highlight w:val="none"/>
                    </w:rPr>
                  </w:pPr>
                  <w:r>
                    <w:rPr>
                      <w:bCs/>
                      <w:color w:val="auto"/>
                      <w:sz w:val="20"/>
                      <w:szCs w:val="20"/>
                      <w:highlight w:val="none"/>
                    </w:rPr>
                    <w:t>1座危废库，1层，占地面积</w:t>
                  </w:r>
                  <w:r>
                    <w:rPr>
                      <w:rFonts w:hint="eastAsia"/>
                      <w:bCs/>
                      <w:color w:val="auto"/>
                      <w:sz w:val="20"/>
                      <w:szCs w:val="20"/>
                      <w:highlight w:val="none"/>
                      <w:lang w:val="en-US" w:eastAsia="zh-CN"/>
                    </w:rPr>
                    <w:t>50</w:t>
                  </w:r>
                  <w:r>
                    <w:rPr>
                      <w:bCs/>
                      <w:color w:val="auto"/>
                      <w:sz w:val="20"/>
                      <w:szCs w:val="20"/>
                      <w:highlight w:val="none"/>
                    </w:rPr>
                    <w:t>m</w:t>
                  </w:r>
                  <w:r>
                    <w:rPr>
                      <w:bCs/>
                      <w:color w:val="auto"/>
                      <w:sz w:val="20"/>
                      <w:szCs w:val="20"/>
                      <w:highlight w:val="none"/>
                      <w:vertAlign w:val="superscript"/>
                    </w:rPr>
                    <w:t>2</w:t>
                  </w:r>
                </w:p>
              </w:tc>
              <w:tc>
                <w:tcPr>
                  <w:tcW w:w="1346" w:type="pct"/>
                  <w:tcMar>
                    <w:left w:w="0" w:type="dxa"/>
                    <w:right w:w="0" w:type="dxa"/>
                  </w:tcMar>
                  <w:vAlign w:val="center"/>
                </w:tcPr>
                <w:p>
                  <w:pPr>
                    <w:adjustRightInd w:val="0"/>
                    <w:snapToGrid w:val="0"/>
                    <w:jc w:val="center"/>
                    <w:rPr>
                      <w:bCs/>
                      <w:color w:val="auto"/>
                      <w:sz w:val="20"/>
                      <w:szCs w:val="20"/>
                      <w:highlight w:val="none"/>
                    </w:rPr>
                  </w:pPr>
                  <w:r>
                    <w:rPr>
                      <w:rFonts w:hint="eastAsia"/>
                      <w:bCs/>
                      <w:color w:val="auto"/>
                      <w:sz w:val="20"/>
                      <w:szCs w:val="20"/>
                      <w:highlight w:val="none"/>
                      <w:lang w:val="en-US" w:eastAsia="zh-CN"/>
                    </w:rPr>
                    <w:t>新建，位于生产车间东侧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08" w:type="pct"/>
                  <w:vMerge w:val="continue"/>
                  <w:tcMar>
                    <w:left w:w="0" w:type="dxa"/>
                    <w:right w:w="0" w:type="dxa"/>
                  </w:tcMar>
                  <w:vAlign w:val="center"/>
                </w:tcPr>
                <w:p>
                  <w:pPr>
                    <w:adjustRightInd w:val="0"/>
                    <w:snapToGrid w:val="0"/>
                    <w:jc w:val="center"/>
                    <w:rPr>
                      <w:color w:val="auto"/>
                      <w:sz w:val="20"/>
                      <w:szCs w:val="20"/>
                      <w:highlight w:val="none"/>
                    </w:rPr>
                  </w:pPr>
                </w:p>
              </w:tc>
              <w:tc>
                <w:tcPr>
                  <w:tcW w:w="1446" w:type="pct"/>
                  <w:gridSpan w:val="3"/>
                  <w:tcMar>
                    <w:left w:w="0" w:type="dxa"/>
                    <w:right w:w="0" w:type="dxa"/>
                  </w:tcMar>
                  <w:vAlign w:val="center"/>
                </w:tcPr>
                <w:p>
                  <w:pPr>
                    <w:adjustRightInd w:val="0"/>
                    <w:snapToGrid w:val="0"/>
                    <w:jc w:val="center"/>
                    <w:rPr>
                      <w:color w:val="auto"/>
                      <w:sz w:val="20"/>
                      <w:szCs w:val="20"/>
                      <w:highlight w:val="none"/>
                    </w:rPr>
                  </w:pPr>
                  <w:r>
                    <w:rPr>
                      <w:color w:val="auto"/>
                      <w:sz w:val="20"/>
                      <w:szCs w:val="20"/>
                      <w:highlight w:val="none"/>
                    </w:rPr>
                    <w:t>噪声</w:t>
                  </w:r>
                </w:p>
              </w:tc>
              <w:tc>
                <w:tcPr>
                  <w:tcW w:w="1798" w:type="pct"/>
                  <w:tcMar>
                    <w:left w:w="0" w:type="dxa"/>
                    <w:right w:w="0" w:type="dxa"/>
                  </w:tcMar>
                  <w:vAlign w:val="center"/>
                </w:tcPr>
                <w:p>
                  <w:pPr>
                    <w:adjustRightInd w:val="0"/>
                    <w:snapToGrid w:val="0"/>
                    <w:jc w:val="center"/>
                    <w:rPr>
                      <w:bCs/>
                      <w:color w:val="auto"/>
                      <w:sz w:val="20"/>
                      <w:szCs w:val="20"/>
                      <w:highlight w:val="none"/>
                    </w:rPr>
                  </w:pPr>
                  <w:r>
                    <w:rPr>
                      <w:bCs/>
                      <w:color w:val="auto"/>
                      <w:sz w:val="20"/>
                      <w:szCs w:val="20"/>
                      <w:highlight w:val="none"/>
                    </w:rPr>
                    <w:t>采取相应的隔声、减振措施</w:t>
                  </w:r>
                </w:p>
              </w:tc>
              <w:tc>
                <w:tcPr>
                  <w:tcW w:w="1346" w:type="pct"/>
                  <w:tcMar>
                    <w:left w:w="0" w:type="dxa"/>
                    <w:right w:w="0" w:type="dxa"/>
                  </w:tcMar>
                  <w:vAlign w:val="center"/>
                </w:tcPr>
                <w:p>
                  <w:pPr>
                    <w:adjustRightInd w:val="0"/>
                    <w:snapToGrid w:val="0"/>
                    <w:jc w:val="center"/>
                    <w:rPr>
                      <w:bCs/>
                      <w:color w:val="auto"/>
                      <w:sz w:val="20"/>
                      <w:szCs w:val="20"/>
                      <w:highlight w:val="none"/>
                    </w:rPr>
                  </w:pPr>
                  <w:r>
                    <w:rPr>
                      <w:color w:val="auto"/>
                      <w:sz w:val="20"/>
                      <w:szCs w:val="20"/>
                      <w:highlight w:val="none"/>
                    </w:rPr>
                    <w:t>厂界达标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408" w:type="pct"/>
                  <w:vMerge w:val="restart"/>
                  <w:tcMar>
                    <w:left w:w="0" w:type="dxa"/>
                    <w:right w:w="0" w:type="dxa"/>
                  </w:tcMar>
                  <w:vAlign w:val="center"/>
                </w:tcPr>
                <w:p>
                  <w:pPr>
                    <w:adjustRightInd w:val="0"/>
                    <w:snapToGrid w:val="0"/>
                    <w:jc w:val="center"/>
                    <w:rPr>
                      <w:rFonts w:hint="eastAsia"/>
                      <w:color w:val="auto"/>
                      <w:sz w:val="20"/>
                      <w:szCs w:val="20"/>
                      <w:highlight w:val="none"/>
                      <w:lang w:val="en-US" w:eastAsia="zh-CN"/>
                    </w:rPr>
                  </w:pPr>
                  <w:r>
                    <w:rPr>
                      <w:rFonts w:hint="eastAsia"/>
                      <w:color w:val="auto"/>
                      <w:sz w:val="20"/>
                      <w:szCs w:val="20"/>
                      <w:highlight w:val="none"/>
                      <w:lang w:val="en-US" w:eastAsia="zh-CN"/>
                    </w:rPr>
                    <w:t>环境</w:t>
                  </w:r>
                </w:p>
                <w:p>
                  <w:pPr>
                    <w:adjustRightInd w:val="0"/>
                    <w:snapToGrid w:val="0"/>
                    <w:jc w:val="center"/>
                    <w:rPr>
                      <w:rFonts w:hint="default" w:eastAsia="宋体"/>
                      <w:color w:val="auto"/>
                      <w:sz w:val="20"/>
                      <w:szCs w:val="20"/>
                      <w:highlight w:val="none"/>
                      <w:lang w:val="en-US" w:eastAsia="zh-CN"/>
                    </w:rPr>
                  </w:pPr>
                  <w:r>
                    <w:rPr>
                      <w:rFonts w:hint="eastAsia"/>
                      <w:color w:val="auto"/>
                      <w:sz w:val="20"/>
                      <w:szCs w:val="20"/>
                      <w:highlight w:val="none"/>
                      <w:lang w:val="en-US" w:eastAsia="zh-CN"/>
                    </w:rPr>
                    <w:t>风险</w:t>
                  </w:r>
                </w:p>
              </w:tc>
              <w:tc>
                <w:tcPr>
                  <w:tcW w:w="1446" w:type="pct"/>
                  <w:gridSpan w:val="3"/>
                  <w:shd w:val="clear" w:color="auto" w:fill="auto"/>
                  <w:tcMar>
                    <w:left w:w="0" w:type="dxa"/>
                    <w:right w:w="0" w:type="dxa"/>
                  </w:tcMar>
                  <w:vAlign w:val="center"/>
                </w:tcPr>
                <w:p>
                  <w:pPr>
                    <w:adjustRightInd w:val="0"/>
                    <w:snapToGrid w:val="0"/>
                    <w:jc w:val="center"/>
                    <w:rPr>
                      <w:ins w:id="0" w:author="zx" w:date="2026-05-12T16:13:29Z"/>
                      <w:rFonts w:ascii="Times New Roman" w:hAnsi="Times New Roman" w:eastAsia="宋体" w:cs="Times New Roman"/>
                      <w:color w:val="auto"/>
                      <w:kern w:val="2"/>
                      <w:sz w:val="20"/>
                      <w:szCs w:val="20"/>
                      <w:highlight w:val="none"/>
                      <w:lang w:val="en-US" w:eastAsia="zh-CN" w:bidi="ar-SA"/>
                    </w:rPr>
                  </w:pPr>
                  <w:r>
                    <w:rPr>
                      <w:color w:val="auto"/>
                      <w:sz w:val="20"/>
                      <w:szCs w:val="20"/>
                      <w:highlight w:val="none"/>
                    </w:rPr>
                    <w:t>事故应急池</w:t>
                  </w:r>
                </w:p>
              </w:tc>
              <w:tc>
                <w:tcPr>
                  <w:tcW w:w="1798" w:type="pct"/>
                  <w:shd w:val="clear" w:color="auto" w:fill="auto"/>
                  <w:tcMar>
                    <w:left w:w="0" w:type="dxa"/>
                    <w:right w:w="0" w:type="dxa"/>
                  </w:tcMar>
                  <w:vAlign w:val="center"/>
                </w:tcPr>
                <w:p>
                  <w:pPr>
                    <w:adjustRightInd w:val="0"/>
                    <w:snapToGrid w:val="0"/>
                    <w:jc w:val="center"/>
                    <w:rPr>
                      <w:ins w:id="1" w:author="zx" w:date="2026-05-12T16:13:29Z"/>
                      <w:rFonts w:ascii="Times New Roman" w:hAnsi="Times New Roman" w:eastAsia="宋体" w:cs="Times New Roman"/>
                      <w:bCs/>
                      <w:color w:val="auto"/>
                      <w:kern w:val="2"/>
                      <w:sz w:val="20"/>
                      <w:szCs w:val="20"/>
                      <w:highlight w:val="none"/>
                      <w:lang w:val="en-US" w:eastAsia="zh-CN" w:bidi="ar-SA"/>
                    </w:rPr>
                  </w:pPr>
                  <w:r>
                    <w:rPr>
                      <w:bCs/>
                      <w:color w:val="auto"/>
                      <w:sz w:val="20"/>
                      <w:szCs w:val="20"/>
                      <w:highlight w:val="none"/>
                    </w:rPr>
                    <w:t>容积为</w:t>
                  </w:r>
                  <w:r>
                    <w:rPr>
                      <w:rFonts w:hint="eastAsia"/>
                      <w:bCs/>
                      <w:color w:val="auto"/>
                      <w:sz w:val="20"/>
                      <w:szCs w:val="20"/>
                      <w:highlight w:val="none"/>
                      <w:lang w:val="en-US" w:eastAsia="zh-CN"/>
                    </w:rPr>
                    <w:t>170</w:t>
                  </w:r>
                  <w:r>
                    <w:rPr>
                      <w:bCs/>
                      <w:color w:val="auto"/>
                      <w:sz w:val="20"/>
                      <w:szCs w:val="20"/>
                      <w:highlight w:val="none"/>
                    </w:rPr>
                    <w:t>m</w:t>
                  </w:r>
                  <w:r>
                    <w:rPr>
                      <w:bCs/>
                      <w:color w:val="auto"/>
                      <w:sz w:val="20"/>
                      <w:szCs w:val="20"/>
                      <w:highlight w:val="none"/>
                      <w:vertAlign w:val="superscript"/>
                    </w:rPr>
                    <w:t>3</w:t>
                  </w:r>
                </w:p>
              </w:tc>
              <w:tc>
                <w:tcPr>
                  <w:tcW w:w="1346" w:type="pct"/>
                  <w:shd w:val="clear" w:color="auto" w:fill="auto"/>
                  <w:tcMar>
                    <w:left w:w="0" w:type="dxa"/>
                    <w:right w:w="0" w:type="dxa"/>
                  </w:tcMar>
                  <w:vAlign w:val="center"/>
                </w:tcPr>
                <w:p>
                  <w:pPr>
                    <w:adjustRightInd w:val="0"/>
                    <w:snapToGrid w:val="0"/>
                    <w:jc w:val="center"/>
                    <w:rPr>
                      <w:ins w:id="2" w:author="zx" w:date="2026-05-12T16:13:29Z"/>
                      <w:rFonts w:ascii="Times New Roman" w:hAnsi="Times New Roman" w:eastAsia="宋体" w:cs="Times New Roman"/>
                      <w:bCs/>
                      <w:color w:val="auto"/>
                      <w:kern w:val="2"/>
                      <w:sz w:val="20"/>
                      <w:szCs w:val="20"/>
                      <w:highlight w:val="none"/>
                      <w:lang w:val="en-US" w:eastAsia="zh-CN" w:bidi="ar-SA"/>
                    </w:rPr>
                  </w:pPr>
                  <w:r>
                    <w:rPr>
                      <w:bCs/>
                      <w:color w:val="auto"/>
                      <w:sz w:val="20"/>
                      <w:szCs w:val="20"/>
                      <w:highlight w:val="none"/>
                    </w:rPr>
                    <w:t>依托</w:t>
                  </w:r>
                  <w:r>
                    <w:rPr>
                      <w:rFonts w:hint="eastAsia"/>
                      <w:bCs/>
                      <w:color w:val="auto"/>
                      <w:sz w:val="20"/>
                      <w:szCs w:val="20"/>
                      <w:highlight w:val="none"/>
                      <w:lang w:val="en-US" w:eastAsia="zh-CN"/>
                    </w:rPr>
                    <w:t>华胜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ins w:id="3" w:author="zx" w:date="2026-05-12T16:13:29Z"/>
              </w:trPr>
              <w:tc>
                <w:tcPr>
                  <w:tcW w:w="408" w:type="pct"/>
                  <w:vMerge w:val="continue"/>
                  <w:tcMar>
                    <w:left w:w="0" w:type="dxa"/>
                    <w:right w:w="0" w:type="dxa"/>
                  </w:tcMar>
                  <w:vAlign w:val="center"/>
                </w:tcPr>
                <w:p>
                  <w:pPr>
                    <w:adjustRightInd w:val="0"/>
                    <w:snapToGrid w:val="0"/>
                    <w:jc w:val="center"/>
                  </w:pPr>
                </w:p>
              </w:tc>
              <w:tc>
                <w:tcPr>
                  <w:tcW w:w="1446" w:type="pct"/>
                  <w:gridSpan w:val="3"/>
                  <w:shd w:val="clear" w:color="auto" w:fill="auto"/>
                  <w:tcMar>
                    <w:left w:w="0" w:type="dxa"/>
                    <w:right w:w="0" w:type="dxa"/>
                  </w:tcMar>
                  <w:vAlign w:val="center"/>
                </w:tcPr>
                <w:p>
                  <w:pPr>
                    <w:adjustRightInd w:val="0"/>
                    <w:snapToGrid w:val="0"/>
                    <w:jc w:val="center"/>
                    <w:rPr>
                      <w:rFonts w:hint="eastAsia" w:ascii="Times New Roman" w:hAnsi="Times New Roman" w:eastAsia="宋体" w:cs="Times New Roman"/>
                      <w:color w:val="auto"/>
                      <w:kern w:val="2"/>
                      <w:sz w:val="20"/>
                      <w:szCs w:val="20"/>
                      <w:highlight w:val="none"/>
                      <w:lang w:val="en-US" w:eastAsia="zh-CN" w:bidi="ar-SA"/>
                    </w:rPr>
                  </w:pPr>
                  <w:r>
                    <w:rPr>
                      <w:color w:val="auto"/>
                      <w:sz w:val="20"/>
                      <w:szCs w:val="20"/>
                      <w:highlight w:val="none"/>
                    </w:rPr>
                    <w:t>初期雨水池</w:t>
                  </w:r>
                  <w:r>
                    <w:rPr>
                      <w:rFonts w:hint="eastAsia"/>
                      <w:color w:val="auto"/>
                      <w:sz w:val="20"/>
                      <w:szCs w:val="20"/>
                      <w:highlight w:val="none"/>
                      <w:lang w:eastAsia="zh-CN"/>
                    </w:rPr>
                    <w:t>（</w:t>
                  </w:r>
                  <w:r>
                    <w:rPr>
                      <w:rFonts w:hint="eastAsia"/>
                      <w:color w:val="auto"/>
                      <w:sz w:val="20"/>
                      <w:szCs w:val="20"/>
                      <w:highlight w:val="none"/>
                      <w:lang w:val="en-US" w:eastAsia="zh-CN"/>
                    </w:rPr>
                    <w:t>兼用事故池</w:t>
                  </w:r>
                  <w:r>
                    <w:rPr>
                      <w:rFonts w:hint="eastAsia"/>
                      <w:color w:val="auto"/>
                      <w:sz w:val="20"/>
                      <w:szCs w:val="20"/>
                      <w:highlight w:val="none"/>
                      <w:lang w:eastAsia="zh-CN"/>
                    </w:rPr>
                    <w:t>）</w:t>
                  </w:r>
                </w:p>
              </w:tc>
              <w:tc>
                <w:tcPr>
                  <w:tcW w:w="1798" w:type="pct"/>
                  <w:shd w:val="clear" w:color="auto" w:fill="auto"/>
                  <w:tcMar>
                    <w:left w:w="0" w:type="dxa"/>
                    <w:right w:w="0" w:type="dxa"/>
                  </w:tcMar>
                  <w:vAlign w:val="center"/>
                </w:tcPr>
                <w:p>
                  <w:pPr>
                    <w:adjustRightInd w:val="0"/>
                    <w:snapToGrid w:val="0"/>
                    <w:jc w:val="center"/>
                    <w:rPr>
                      <w:rFonts w:ascii="Times New Roman" w:hAnsi="Times New Roman" w:eastAsia="宋体" w:cs="Times New Roman"/>
                      <w:bCs/>
                      <w:color w:val="auto"/>
                      <w:kern w:val="2"/>
                      <w:sz w:val="20"/>
                      <w:szCs w:val="20"/>
                      <w:highlight w:val="none"/>
                      <w:lang w:val="en-US" w:eastAsia="zh-CN" w:bidi="ar-SA"/>
                    </w:rPr>
                  </w:pPr>
                  <w:r>
                    <w:rPr>
                      <w:bCs/>
                      <w:color w:val="auto"/>
                      <w:sz w:val="20"/>
                      <w:szCs w:val="20"/>
                      <w:highlight w:val="none"/>
                    </w:rPr>
                    <w:t>容积为</w:t>
                  </w:r>
                  <w:r>
                    <w:rPr>
                      <w:rFonts w:hint="eastAsia"/>
                      <w:bCs/>
                      <w:color w:val="auto"/>
                      <w:sz w:val="20"/>
                      <w:szCs w:val="20"/>
                      <w:highlight w:val="none"/>
                      <w:lang w:val="en-US" w:eastAsia="zh-CN"/>
                    </w:rPr>
                    <w:t>240</w:t>
                  </w:r>
                  <w:r>
                    <w:rPr>
                      <w:bCs/>
                      <w:color w:val="auto"/>
                      <w:sz w:val="20"/>
                      <w:szCs w:val="20"/>
                      <w:highlight w:val="none"/>
                    </w:rPr>
                    <w:t>m</w:t>
                  </w:r>
                  <w:r>
                    <w:rPr>
                      <w:bCs/>
                      <w:color w:val="auto"/>
                      <w:sz w:val="20"/>
                      <w:szCs w:val="20"/>
                      <w:highlight w:val="none"/>
                      <w:vertAlign w:val="superscript"/>
                    </w:rPr>
                    <w:t>3</w:t>
                  </w:r>
                </w:p>
              </w:tc>
              <w:tc>
                <w:tcPr>
                  <w:tcW w:w="1346" w:type="pct"/>
                  <w:shd w:val="clear" w:color="auto" w:fill="auto"/>
                  <w:tcMar>
                    <w:left w:w="0" w:type="dxa"/>
                    <w:right w:w="0" w:type="dxa"/>
                  </w:tcMar>
                  <w:vAlign w:val="center"/>
                </w:tcPr>
                <w:p>
                  <w:pPr>
                    <w:adjustRightInd w:val="0"/>
                    <w:snapToGrid w:val="0"/>
                    <w:jc w:val="center"/>
                    <w:rPr>
                      <w:rFonts w:ascii="Times New Roman" w:hAnsi="Times New Roman" w:eastAsia="宋体" w:cs="Times New Roman"/>
                      <w:bCs/>
                      <w:color w:val="auto"/>
                      <w:kern w:val="2"/>
                      <w:sz w:val="20"/>
                      <w:szCs w:val="20"/>
                      <w:highlight w:val="none"/>
                      <w:lang w:val="en-US" w:eastAsia="zh-CN" w:bidi="ar-SA"/>
                    </w:rPr>
                  </w:pPr>
                  <w:r>
                    <w:rPr>
                      <w:bCs/>
                      <w:color w:val="auto"/>
                      <w:sz w:val="20"/>
                      <w:szCs w:val="20"/>
                      <w:highlight w:val="none"/>
                    </w:rPr>
                    <w:t>依托</w:t>
                  </w:r>
                  <w:r>
                    <w:rPr>
                      <w:rFonts w:hint="eastAsia"/>
                      <w:bCs/>
                      <w:color w:val="auto"/>
                      <w:sz w:val="20"/>
                      <w:szCs w:val="20"/>
                      <w:highlight w:val="none"/>
                      <w:lang w:val="en-US" w:eastAsia="zh-CN"/>
                    </w:rPr>
                    <w:t>华胜</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b w:val="0"/>
                <w:bCs w:val="0"/>
                <w:color w:val="auto"/>
                <w:sz w:val="18"/>
                <w:szCs w:val="18"/>
                <w:lang w:val="en-US" w:eastAsia="zh-CN"/>
              </w:rPr>
            </w:pPr>
            <w:r>
              <w:rPr>
                <w:rFonts w:hint="eastAsia" w:ascii="Times New Roman" w:hAnsi="Times New Roman" w:eastAsia="宋体" w:cs="Times New Roman"/>
                <w:b w:val="0"/>
                <w:bCs w:val="0"/>
                <w:color w:val="auto"/>
                <w:sz w:val="18"/>
                <w:szCs w:val="18"/>
                <w:lang w:val="en-US" w:eastAsia="zh-CN"/>
              </w:rPr>
              <w:t>注：华胜</w:t>
            </w:r>
            <w:r>
              <w:rPr>
                <w:rFonts w:hint="eastAsia" w:cs="Times New Roman"/>
                <w:b w:val="0"/>
                <w:bCs w:val="0"/>
                <w:color w:val="auto"/>
                <w:sz w:val="18"/>
                <w:szCs w:val="18"/>
                <w:lang w:val="en-US" w:eastAsia="zh-CN"/>
              </w:rPr>
              <w:t>现有</w:t>
            </w:r>
            <w:r>
              <w:rPr>
                <w:rFonts w:hint="eastAsia" w:ascii="Times New Roman" w:hAnsi="Times New Roman" w:eastAsia="宋体" w:cs="Times New Roman"/>
                <w:b w:val="0"/>
                <w:bCs w:val="0"/>
                <w:color w:val="auto"/>
                <w:sz w:val="18"/>
                <w:szCs w:val="18"/>
                <w:lang w:val="en-US" w:eastAsia="zh-CN"/>
              </w:rPr>
              <w:t>厂区初期雨水已</w:t>
            </w:r>
            <w:r>
              <w:rPr>
                <w:rFonts w:hint="eastAsia" w:cs="Times New Roman"/>
                <w:b w:val="0"/>
                <w:bCs w:val="0"/>
                <w:color w:val="auto"/>
                <w:sz w:val="18"/>
                <w:szCs w:val="18"/>
                <w:lang w:val="en-US" w:eastAsia="zh-CN"/>
              </w:rPr>
              <w:t>全厂</w:t>
            </w:r>
            <w:r>
              <w:rPr>
                <w:rFonts w:hint="eastAsia" w:ascii="Times New Roman" w:hAnsi="Times New Roman" w:eastAsia="宋体" w:cs="Times New Roman"/>
                <w:b w:val="0"/>
                <w:bCs w:val="0"/>
                <w:color w:val="auto"/>
                <w:sz w:val="18"/>
                <w:szCs w:val="18"/>
                <w:lang w:val="en-US" w:eastAsia="zh-CN"/>
              </w:rPr>
              <w:t>核算，本项目生产、装卸、物料</w:t>
            </w:r>
            <w:r>
              <w:rPr>
                <w:rFonts w:hint="eastAsia" w:cs="Times New Roman"/>
                <w:b w:val="0"/>
                <w:bCs w:val="0"/>
                <w:color w:val="auto"/>
                <w:sz w:val="18"/>
                <w:szCs w:val="18"/>
                <w:lang w:val="en-US" w:eastAsia="zh-CN"/>
              </w:rPr>
              <w:t>以及锅炉房</w:t>
            </w:r>
            <w:r>
              <w:rPr>
                <w:rFonts w:hint="eastAsia" w:ascii="Times New Roman" w:hAnsi="Times New Roman" w:eastAsia="宋体" w:cs="Times New Roman"/>
                <w:b w:val="0"/>
                <w:bCs w:val="0"/>
                <w:color w:val="auto"/>
                <w:sz w:val="18"/>
                <w:szCs w:val="18"/>
                <w:lang w:val="en-US" w:eastAsia="zh-CN"/>
              </w:rPr>
              <w:t>暂存均在华胜厂区内，不新增初期雨水量，</w:t>
            </w:r>
            <w:r>
              <w:rPr>
                <w:rFonts w:hint="eastAsia" w:cs="Times New Roman"/>
                <w:b w:val="0"/>
                <w:bCs w:val="0"/>
                <w:color w:val="auto"/>
                <w:sz w:val="18"/>
                <w:szCs w:val="18"/>
                <w:lang w:val="en-US" w:eastAsia="zh-CN"/>
              </w:rPr>
              <w:t>本项目</w:t>
            </w:r>
            <w:r>
              <w:rPr>
                <w:rFonts w:hint="eastAsia" w:ascii="Times New Roman" w:hAnsi="Times New Roman" w:eastAsia="宋体" w:cs="Times New Roman"/>
                <w:b w:val="0"/>
                <w:bCs w:val="0"/>
                <w:color w:val="auto"/>
                <w:sz w:val="18"/>
                <w:szCs w:val="18"/>
                <w:lang w:val="en-US" w:eastAsia="zh-CN"/>
              </w:rPr>
              <w:t>可依托华胜初期雨水池</w:t>
            </w:r>
            <w:r>
              <w:rPr>
                <w:rFonts w:hint="eastAsia" w:cs="Times New Roman"/>
                <w:b w:val="0"/>
                <w:bCs w:val="0"/>
                <w:color w:val="auto"/>
                <w:sz w:val="18"/>
                <w:szCs w:val="18"/>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b/>
                <w:bCs/>
                <w:color w:val="auto"/>
                <w:szCs w:val="21"/>
              </w:rPr>
            </w:pPr>
            <w:r>
              <w:rPr>
                <w:rFonts w:hint="eastAsia"/>
                <w:b/>
                <w:bCs/>
                <w:color w:val="auto"/>
                <w:szCs w:val="21"/>
              </w:rPr>
              <w:t xml:space="preserve">2.3 </w:t>
            </w:r>
            <w:r>
              <w:rPr>
                <w:b/>
                <w:bCs/>
                <w:color w:val="auto"/>
                <w:szCs w:val="21"/>
              </w:rPr>
              <w:t>主要原辅材料及燃料</w:t>
            </w:r>
          </w:p>
          <w:p>
            <w:pPr>
              <w:keepNext w:val="0"/>
              <w:keepLines w:val="0"/>
              <w:pageBreakBefore w:val="0"/>
              <w:widowControl w:val="0"/>
              <w:kinsoku/>
              <w:wordWrap/>
              <w:overflowPunct/>
              <w:topLinePunct w:val="0"/>
              <w:bidi w:val="0"/>
              <w:spacing w:line="360" w:lineRule="auto"/>
              <w:ind w:left="420" w:leftChars="200"/>
              <w:textAlignment w:val="auto"/>
            </w:pPr>
            <w:r>
              <w:rPr>
                <w:rFonts w:hint="eastAsia"/>
              </w:rPr>
              <w:t>本项目原辅材料年用量见表2-</w:t>
            </w:r>
            <w:r>
              <w:rPr>
                <w:rFonts w:hint="eastAsia"/>
                <w:lang w:val="en-US" w:eastAsia="zh-CN"/>
              </w:rPr>
              <w:t>4</w:t>
            </w:r>
            <w:r>
              <w:rPr>
                <w:rFonts w:hint="eastAsia"/>
              </w:rPr>
              <w:t>，原辅材料理化性质见表2-</w:t>
            </w:r>
            <w:r>
              <w:rPr>
                <w:rFonts w:hint="eastAsia"/>
                <w:lang w:val="en-US" w:eastAsia="zh-CN"/>
              </w:rPr>
              <w:t>5</w:t>
            </w:r>
            <w:r>
              <w:rPr>
                <w:rFonts w:hint="eastAsia"/>
              </w:rPr>
              <w:t>。</w:t>
            </w:r>
          </w:p>
          <w:p>
            <w:pPr>
              <w:keepNext w:val="0"/>
              <w:keepLines w:val="0"/>
              <w:pageBreakBefore w:val="0"/>
              <w:widowControl w:val="0"/>
              <w:kinsoku/>
              <w:wordWrap/>
              <w:overflowPunct/>
              <w:topLinePunct w:val="0"/>
              <w:bidi w:val="0"/>
              <w:spacing w:line="360" w:lineRule="auto"/>
              <w:jc w:val="center"/>
              <w:textAlignment w:val="auto"/>
              <w:rPr>
                <w:b/>
                <w:kern w:val="24"/>
              </w:rPr>
            </w:pPr>
            <w:bookmarkStart w:id="7" w:name="_Hlk199146380"/>
            <w:r>
              <w:rPr>
                <w:b/>
                <w:kern w:val="24"/>
              </w:rPr>
              <w:t>表</w:t>
            </w:r>
            <w:r>
              <w:rPr>
                <w:rFonts w:hint="eastAsia"/>
                <w:b/>
                <w:kern w:val="24"/>
              </w:rPr>
              <w:t>2-</w:t>
            </w:r>
            <w:r>
              <w:rPr>
                <w:rFonts w:hint="eastAsia"/>
                <w:b/>
                <w:kern w:val="24"/>
                <w:lang w:val="en-US" w:eastAsia="zh-CN"/>
              </w:rPr>
              <w:t>4</w:t>
            </w:r>
            <w:r>
              <w:rPr>
                <w:rFonts w:hint="eastAsia"/>
                <w:b/>
                <w:kern w:val="24"/>
              </w:rPr>
              <w:t xml:space="preserve">  </w:t>
            </w:r>
            <w:r>
              <w:rPr>
                <w:b/>
                <w:kern w:val="24"/>
              </w:rPr>
              <w:t>主要原辅材料消耗表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48"/>
              <w:gridCol w:w="654"/>
              <w:gridCol w:w="753"/>
              <w:gridCol w:w="449"/>
              <w:gridCol w:w="1848"/>
              <w:gridCol w:w="957"/>
              <w:gridCol w:w="793"/>
              <w:gridCol w:w="1044"/>
              <w:gridCol w:w="691"/>
              <w:gridCol w:w="6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tblHeader/>
                <w:jc w:val="center"/>
              </w:trPr>
              <w:tc>
                <w:tcPr>
                  <w:tcW w:w="448" w:type="dxa"/>
                  <w:tcBorders>
                    <w:bottom w:val="single" w:color="auto" w:sz="12" w:space="0"/>
                  </w:tcBorders>
                  <w:noWrap w:val="0"/>
                  <w:vAlign w:val="center"/>
                </w:tcPr>
                <w:p>
                  <w:pPr>
                    <w:jc w:val="center"/>
                    <w:rPr>
                      <w:b/>
                      <w:sz w:val="20"/>
                      <w:szCs w:val="20"/>
                    </w:rPr>
                  </w:pPr>
                  <w:r>
                    <w:rPr>
                      <w:rFonts w:hint="eastAsia"/>
                      <w:b/>
                      <w:sz w:val="20"/>
                      <w:szCs w:val="20"/>
                    </w:rPr>
                    <w:t>序号</w:t>
                  </w:r>
                </w:p>
              </w:tc>
              <w:tc>
                <w:tcPr>
                  <w:tcW w:w="654" w:type="dxa"/>
                  <w:tcBorders>
                    <w:bottom w:val="single" w:color="auto" w:sz="12" w:space="0"/>
                  </w:tcBorders>
                  <w:noWrap w:val="0"/>
                  <w:vAlign w:val="center"/>
                </w:tcPr>
                <w:p>
                  <w:pPr>
                    <w:jc w:val="center"/>
                    <w:rPr>
                      <w:b/>
                      <w:sz w:val="20"/>
                      <w:szCs w:val="20"/>
                    </w:rPr>
                  </w:pPr>
                  <w:r>
                    <w:rPr>
                      <w:rFonts w:hint="eastAsia"/>
                      <w:b/>
                      <w:sz w:val="20"/>
                      <w:szCs w:val="20"/>
                    </w:rPr>
                    <w:t>产品名称</w:t>
                  </w:r>
                </w:p>
              </w:tc>
              <w:tc>
                <w:tcPr>
                  <w:tcW w:w="753" w:type="dxa"/>
                  <w:tcBorders>
                    <w:bottom w:val="single" w:color="auto" w:sz="12" w:space="0"/>
                  </w:tcBorders>
                  <w:noWrap w:val="0"/>
                  <w:vAlign w:val="center"/>
                </w:tcPr>
                <w:p>
                  <w:pPr>
                    <w:jc w:val="center"/>
                    <w:rPr>
                      <w:b/>
                      <w:sz w:val="20"/>
                      <w:szCs w:val="20"/>
                    </w:rPr>
                  </w:pPr>
                  <w:r>
                    <w:rPr>
                      <w:b/>
                      <w:sz w:val="20"/>
                      <w:szCs w:val="20"/>
                    </w:rPr>
                    <w:t>材料名称</w:t>
                  </w:r>
                </w:p>
              </w:tc>
              <w:tc>
                <w:tcPr>
                  <w:tcW w:w="449" w:type="dxa"/>
                  <w:tcBorders>
                    <w:bottom w:val="single" w:color="auto" w:sz="12" w:space="0"/>
                  </w:tcBorders>
                  <w:noWrap w:val="0"/>
                  <w:vAlign w:val="center"/>
                </w:tcPr>
                <w:p>
                  <w:pPr>
                    <w:jc w:val="center"/>
                    <w:rPr>
                      <w:b/>
                      <w:sz w:val="20"/>
                      <w:szCs w:val="20"/>
                    </w:rPr>
                  </w:pPr>
                  <w:r>
                    <w:rPr>
                      <w:b/>
                      <w:sz w:val="20"/>
                      <w:szCs w:val="20"/>
                    </w:rPr>
                    <w:t>形态</w:t>
                  </w:r>
                </w:p>
              </w:tc>
              <w:tc>
                <w:tcPr>
                  <w:tcW w:w="1848" w:type="dxa"/>
                  <w:tcBorders>
                    <w:bottom w:val="single" w:color="auto" w:sz="12" w:space="0"/>
                  </w:tcBorders>
                  <w:noWrap w:val="0"/>
                  <w:vAlign w:val="center"/>
                </w:tcPr>
                <w:p>
                  <w:pPr>
                    <w:jc w:val="center"/>
                    <w:rPr>
                      <w:b/>
                      <w:sz w:val="20"/>
                      <w:szCs w:val="20"/>
                    </w:rPr>
                  </w:pPr>
                  <w:r>
                    <w:rPr>
                      <w:b/>
                      <w:sz w:val="20"/>
                      <w:szCs w:val="20"/>
                    </w:rPr>
                    <w:t>主要成分</w:t>
                  </w:r>
                </w:p>
              </w:tc>
              <w:tc>
                <w:tcPr>
                  <w:tcW w:w="957" w:type="dxa"/>
                  <w:tcBorders>
                    <w:bottom w:val="single" w:color="auto" w:sz="12" w:space="0"/>
                  </w:tcBorders>
                  <w:noWrap w:val="0"/>
                  <w:vAlign w:val="center"/>
                </w:tcPr>
                <w:p>
                  <w:pPr>
                    <w:jc w:val="center"/>
                    <w:rPr>
                      <w:b/>
                      <w:sz w:val="20"/>
                      <w:szCs w:val="20"/>
                      <w:lang w:eastAsia="zh-Hans"/>
                    </w:rPr>
                  </w:pPr>
                  <w:r>
                    <w:rPr>
                      <w:b/>
                      <w:sz w:val="20"/>
                      <w:szCs w:val="20"/>
                    </w:rPr>
                    <w:t>年用量</w:t>
                  </w:r>
                  <w:r>
                    <w:rPr>
                      <w:rFonts w:hint="eastAsia"/>
                      <w:b/>
                      <w:sz w:val="20"/>
                      <w:szCs w:val="20"/>
                    </w:rPr>
                    <w:t>t/a</w:t>
                  </w:r>
                </w:p>
              </w:tc>
              <w:tc>
                <w:tcPr>
                  <w:tcW w:w="793" w:type="dxa"/>
                  <w:tcBorders>
                    <w:bottom w:val="single" w:color="auto" w:sz="12" w:space="0"/>
                  </w:tcBorders>
                  <w:noWrap w:val="0"/>
                  <w:vAlign w:val="center"/>
                </w:tcPr>
                <w:p>
                  <w:pPr>
                    <w:jc w:val="center"/>
                    <w:rPr>
                      <w:b/>
                      <w:sz w:val="20"/>
                      <w:szCs w:val="20"/>
                    </w:rPr>
                  </w:pPr>
                  <w:r>
                    <w:rPr>
                      <w:b/>
                      <w:sz w:val="20"/>
                      <w:szCs w:val="20"/>
                    </w:rPr>
                    <w:t>最大储存量</w:t>
                  </w:r>
                </w:p>
              </w:tc>
              <w:tc>
                <w:tcPr>
                  <w:tcW w:w="1044" w:type="dxa"/>
                  <w:tcBorders>
                    <w:bottom w:val="single" w:color="auto" w:sz="12" w:space="0"/>
                  </w:tcBorders>
                  <w:noWrap w:val="0"/>
                  <w:vAlign w:val="center"/>
                </w:tcPr>
                <w:p>
                  <w:pPr>
                    <w:jc w:val="center"/>
                    <w:rPr>
                      <w:b/>
                      <w:sz w:val="20"/>
                      <w:szCs w:val="20"/>
                    </w:rPr>
                  </w:pPr>
                  <w:r>
                    <w:rPr>
                      <w:rFonts w:hint="eastAsia"/>
                      <w:b/>
                      <w:sz w:val="20"/>
                      <w:szCs w:val="20"/>
                    </w:rPr>
                    <w:t>对应工序</w:t>
                  </w:r>
                </w:p>
              </w:tc>
              <w:tc>
                <w:tcPr>
                  <w:tcW w:w="691" w:type="dxa"/>
                  <w:tcBorders>
                    <w:bottom w:val="single" w:color="auto" w:sz="12" w:space="0"/>
                  </w:tcBorders>
                  <w:noWrap w:val="0"/>
                  <w:vAlign w:val="center"/>
                </w:tcPr>
                <w:p>
                  <w:pPr>
                    <w:jc w:val="center"/>
                    <w:rPr>
                      <w:b/>
                      <w:sz w:val="20"/>
                      <w:szCs w:val="20"/>
                    </w:rPr>
                  </w:pPr>
                  <w:r>
                    <w:rPr>
                      <w:b/>
                      <w:sz w:val="20"/>
                      <w:szCs w:val="20"/>
                    </w:rPr>
                    <w:t>储存方式</w:t>
                  </w:r>
                </w:p>
              </w:tc>
              <w:tc>
                <w:tcPr>
                  <w:tcW w:w="603" w:type="dxa"/>
                  <w:tcBorders>
                    <w:bottom w:val="single" w:color="auto" w:sz="12" w:space="0"/>
                  </w:tcBorders>
                  <w:noWrap w:val="0"/>
                  <w:vAlign w:val="center"/>
                </w:tcPr>
                <w:p>
                  <w:pPr>
                    <w:jc w:val="center"/>
                    <w:rPr>
                      <w:b/>
                      <w:sz w:val="20"/>
                      <w:szCs w:val="20"/>
                    </w:rPr>
                  </w:pPr>
                  <w:r>
                    <w:rPr>
                      <w:b/>
                      <w:sz w:val="20"/>
                      <w:szCs w:val="20"/>
                    </w:rPr>
                    <w:t>储存位置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8" w:type="dxa"/>
                  <w:tcBorders>
                    <w:top w:val="single" w:color="auto" w:sz="12" w:space="0"/>
                  </w:tcBorders>
                  <w:noWrap w:val="0"/>
                  <w:vAlign w:val="center"/>
                </w:tcPr>
                <w:p>
                  <w:pPr>
                    <w:widowControl/>
                    <w:jc w:val="center"/>
                    <w:textAlignment w:val="center"/>
                    <w:rPr>
                      <w:kern w:val="0"/>
                      <w:sz w:val="20"/>
                      <w:szCs w:val="20"/>
                      <w:lang w:bidi="ar"/>
                    </w:rPr>
                  </w:pPr>
                  <w:r>
                    <w:rPr>
                      <w:rFonts w:hint="eastAsia"/>
                      <w:kern w:val="0"/>
                      <w:sz w:val="20"/>
                      <w:szCs w:val="20"/>
                      <w:lang w:bidi="ar"/>
                    </w:rPr>
                    <w:t>1</w:t>
                  </w:r>
                </w:p>
              </w:tc>
              <w:tc>
                <w:tcPr>
                  <w:tcW w:w="654" w:type="dxa"/>
                  <w:vMerge w:val="restart"/>
                  <w:tcBorders>
                    <w:top w:val="single" w:color="auto" w:sz="12" w:space="0"/>
                  </w:tcBorders>
                  <w:noWrap w:val="0"/>
                  <w:vAlign w:val="center"/>
                </w:tcPr>
                <w:p>
                  <w:pPr>
                    <w:widowControl/>
                    <w:jc w:val="center"/>
                    <w:textAlignment w:val="center"/>
                    <w:rPr>
                      <w:rFonts w:hint="eastAsia" w:eastAsia="宋体"/>
                      <w:kern w:val="0"/>
                      <w:sz w:val="20"/>
                      <w:szCs w:val="20"/>
                      <w:lang w:eastAsia="zh-CN"/>
                    </w:rPr>
                  </w:pPr>
                  <w:r>
                    <w:rPr>
                      <w:rFonts w:hint="eastAsia"/>
                      <w:kern w:val="0"/>
                      <w:sz w:val="20"/>
                      <w:szCs w:val="20"/>
                      <w:lang w:val="en-US" w:eastAsia="zh-CN" w:bidi="ar"/>
                    </w:rPr>
                    <w:t>桌球布</w:t>
                  </w:r>
                </w:p>
              </w:tc>
              <w:tc>
                <w:tcPr>
                  <w:tcW w:w="753" w:type="dxa"/>
                  <w:tcBorders>
                    <w:top w:val="single" w:color="auto" w:sz="12" w:space="0"/>
                  </w:tcBorders>
                  <w:noWrap w:val="0"/>
                  <w:vAlign w:val="center"/>
                </w:tcPr>
                <w:p>
                  <w:pPr>
                    <w:widowControl/>
                    <w:jc w:val="center"/>
                    <w:textAlignment w:val="center"/>
                    <w:rPr>
                      <w:rFonts w:hint="default" w:eastAsia="宋体"/>
                      <w:kern w:val="0"/>
                      <w:sz w:val="20"/>
                      <w:szCs w:val="20"/>
                      <w:lang w:val="en-US" w:eastAsia="zh-CN"/>
                    </w:rPr>
                  </w:pPr>
                  <w:r>
                    <w:rPr>
                      <w:rFonts w:hint="eastAsia"/>
                      <w:kern w:val="0"/>
                      <w:sz w:val="20"/>
                      <w:szCs w:val="20"/>
                      <w:lang w:val="en-US" w:eastAsia="zh-CN"/>
                    </w:rPr>
                    <w:t>羊毛布料</w:t>
                  </w:r>
                </w:p>
              </w:tc>
              <w:tc>
                <w:tcPr>
                  <w:tcW w:w="449" w:type="dxa"/>
                  <w:tcBorders>
                    <w:top w:val="single" w:color="auto" w:sz="12" w:space="0"/>
                  </w:tcBorders>
                  <w:noWrap w:val="0"/>
                  <w:vAlign w:val="center"/>
                </w:tcPr>
                <w:p>
                  <w:pPr>
                    <w:widowControl/>
                    <w:jc w:val="center"/>
                    <w:textAlignment w:val="center"/>
                    <w:rPr>
                      <w:kern w:val="0"/>
                      <w:sz w:val="20"/>
                      <w:szCs w:val="20"/>
                    </w:rPr>
                  </w:pPr>
                  <w:r>
                    <w:rPr>
                      <w:kern w:val="0"/>
                      <w:sz w:val="20"/>
                      <w:szCs w:val="20"/>
                      <w:lang w:bidi="ar"/>
                    </w:rPr>
                    <w:t>固态</w:t>
                  </w:r>
                </w:p>
              </w:tc>
              <w:tc>
                <w:tcPr>
                  <w:tcW w:w="1848" w:type="dxa"/>
                  <w:tcBorders>
                    <w:top w:val="single" w:color="auto" w:sz="12" w:space="0"/>
                  </w:tcBorders>
                  <w:noWrap w:val="0"/>
                  <w:vAlign w:val="center"/>
                </w:tcPr>
                <w:p>
                  <w:pPr>
                    <w:widowControl/>
                    <w:jc w:val="center"/>
                    <w:textAlignment w:val="center"/>
                    <w:rPr>
                      <w:rFonts w:hint="default" w:eastAsia="宋体"/>
                      <w:sz w:val="20"/>
                      <w:szCs w:val="20"/>
                      <w:lang w:val="en-US" w:eastAsia="zh-CN"/>
                    </w:rPr>
                  </w:pPr>
                  <w:r>
                    <w:rPr>
                      <w:rFonts w:hint="eastAsia"/>
                      <w:sz w:val="20"/>
                      <w:szCs w:val="20"/>
                    </w:rPr>
                    <w:t>宽幅</w:t>
                  </w:r>
                  <w:r>
                    <w:rPr>
                      <w:rFonts w:hint="eastAsia"/>
                      <w:sz w:val="20"/>
                      <w:szCs w:val="20"/>
                      <w:lang w:val="en-US" w:eastAsia="zh-CN"/>
                    </w:rPr>
                    <w:t>1.4</w:t>
                  </w:r>
                  <w:r>
                    <w:rPr>
                      <w:rFonts w:hint="eastAsia"/>
                      <w:sz w:val="20"/>
                      <w:szCs w:val="20"/>
                    </w:rPr>
                    <w:t>m，克重</w:t>
                  </w:r>
                  <w:r>
                    <w:rPr>
                      <w:rFonts w:hint="eastAsia"/>
                      <w:sz w:val="20"/>
                      <w:szCs w:val="20"/>
                      <w:lang w:val="en-US" w:eastAsia="zh-CN"/>
                    </w:rPr>
                    <w:t>220</w:t>
                  </w:r>
                  <w:r>
                    <w:rPr>
                      <w:rFonts w:hint="eastAsia"/>
                      <w:sz w:val="20"/>
                      <w:szCs w:val="20"/>
                    </w:rPr>
                    <w:t>g/m</w:t>
                  </w:r>
                  <w:r>
                    <w:rPr>
                      <w:rFonts w:hint="eastAsia"/>
                      <w:sz w:val="20"/>
                      <w:szCs w:val="20"/>
                      <w:vertAlign w:val="superscript"/>
                    </w:rPr>
                    <w:t>2</w:t>
                  </w:r>
                  <w:r>
                    <w:rPr>
                      <w:rFonts w:hint="eastAsia"/>
                      <w:sz w:val="20"/>
                      <w:szCs w:val="20"/>
                      <w:vertAlign w:val="baseline"/>
                      <w:lang w:eastAsia="zh-CN"/>
                    </w:rPr>
                    <w:t>，</w:t>
                  </w:r>
                  <w:r>
                    <w:rPr>
                      <w:rFonts w:hint="eastAsia"/>
                      <w:sz w:val="20"/>
                      <w:szCs w:val="20"/>
                      <w:vertAlign w:val="baseline"/>
                      <w:lang w:val="en-US" w:eastAsia="zh-CN"/>
                    </w:rPr>
                    <w:t>含油率0.0526%</w:t>
                  </w:r>
                </w:p>
              </w:tc>
              <w:tc>
                <w:tcPr>
                  <w:tcW w:w="957" w:type="dxa"/>
                  <w:tcBorders>
                    <w:top w:val="single" w:color="auto" w:sz="12" w:space="0"/>
                  </w:tcBorders>
                  <w:noWrap w:val="0"/>
                  <w:vAlign w:val="center"/>
                </w:tcPr>
                <w:p>
                  <w:pPr>
                    <w:widowControl/>
                    <w:jc w:val="center"/>
                    <w:textAlignment w:val="center"/>
                    <w:rPr>
                      <w:rFonts w:hint="default" w:eastAsia="宋体"/>
                      <w:sz w:val="20"/>
                      <w:szCs w:val="20"/>
                      <w:lang w:val="en-US" w:eastAsia="zh-CN"/>
                    </w:rPr>
                  </w:pPr>
                  <w:r>
                    <w:rPr>
                      <w:rFonts w:hint="eastAsia"/>
                      <w:sz w:val="20"/>
                      <w:szCs w:val="20"/>
                      <w:lang w:val="en-US" w:eastAsia="zh-CN"/>
                    </w:rPr>
                    <w:t>3080</w:t>
                  </w:r>
                </w:p>
              </w:tc>
              <w:tc>
                <w:tcPr>
                  <w:tcW w:w="793" w:type="dxa"/>
                  <w:tcBorders>
                    <w:top w:val="single" w:color="auto" w:sz="12" w:space="0"/>
                  </w:tcBorders>
                  <w:noWrap w:val="0"/>
                  <w:vAlign w:val="center"/>
                </w:tcPr>
                <w:p>
                  <w:pPr>
                    <w:widowControl/>
                    <w:jc w:val="center"/>
                    <w:textAlignment w:val="center"/>
                    <w:rPr>
                      <w:rFonts w:hint="eastAsia"/>
                      <w:kern w:val="0"/>
                      <w:sz w:val="20"/>
                      <w:szCs w:val="20"/>
                      <w:lang w:bidi="ar"/>
                    </w:rPr>
                  </w:pPr>
                  <w:r>
                    <w:rPr>
                      <w:rFonts w:hint="eastAsia"/>
                      <w:kern w:val="0"/>
                      <w:sz w:val="20"/>
                      <w:szCs w:val="20"/>
                      <w:lang w:bidi="ar"/>
                    </w:rPr>
                    <w:t>250t</w:t>
                  </w:r>
                </w:p>
              </w:tc>
              <w:tc>
                <w:tcPr>
                  <w:tcW w:w="1044" w:type="dxa"/>
                  <w:tcBorders>
                    <w:top w:val="single" w:color="auto" w:sz="12" w:space="0"/>
                  </w:tcBorders>
                  <w:noWrap w:val="0"/>
                  <w:vAlign w:val="center"/>
                </w:tcPr>
                <w:p>
                  <w:pPr>
                    <w:widowControl/>
                    <w:jc w:val="center"/>
                    <w:textAlignment w:val="center"/>
                    <w:rPr>
                      <w:rFonts w:hint="eastAsia"/>
                      <w:kern w:val="0"/>
                      <w:sz w:val="20"/>
                      <w:szCs w:val="20"/>
                      <w:lang w:bidi="ar"/>
                    </w:rPr>
                  </w:pPr>
                  <w:r>
                    <w:rPr>
                      <w:rFonts w:hint="eastAsia" w:cs="Times New Roman"/>
                      <w:color w:val="auto"/>
                      <w:spacing w:val="6"/>
                      <w:sz w:val="20"/>
                      <w:szCs w:val="20"/>
                      <w:highlight w:val="none"/>
                      <w:lang w:val="en-US" w:eastAsia="zh-CN"/>
                    </w:rPr>
                    <w:t>拉毛、定型、刷呢、剪毛、烫光、摇粒、预缩和蒸呢</w:t>
                  </w:r>
                </w:p>
              </w:tc>
              <w:tc>
                <w:tcPr>
                  <w:tcW w:w="691" w:type="dxa"/>
                  <w:tcBorders>
                    <w:top w:val="single" w:color="auto" w:sz="12" w:space="0"/>
                  </w:tcBorders>
                  <w:noWrap w:val="0"/>
                  <w:vAlign w:val="center"/>
                </w:tcPr>
                <w:p>
                  <w:pPr>
                    <w:widowControl/>
                    <w:jc w:val="center"/>
                    <w:textAlignment w:val="center"/>
                    <w:rPr>
                      <w:rFonts w:hint="eastAsia"/>
                      <w:kern w:val="0"/>
                      <w:sz w:val="20"/>
                      <w:szCs w:val="20"/>
                      <w:lang w:bidi="ar"/>
                    </w:rPr>
                  </w:pPr>
                  <w:r>
                    <w:rPr>
                      <w:rFonts w:hint="eastAsia"/>
                      <w:kern w:val="0"/>
                      <w:sz w:val="20"/>
                      <w:szCs w:val="20"/>
                      <w:lang w:bidi="ar"/>
                    </w:rPr>
                    <w:t>24kg卷装</w:t>
                  </w:r>
                </w:p>
              </w:tc>
              <w:tc>
                <w:tcPr>
                  <w:tcW w:w="603" w:type="dxa"/>
                  <w:vMerge w:val="restart"/>
                  <w:tcBorders>
                    <w:top w:val="single" w:color="auto" w:sz="12" w:space="0"/>
                  </w:tcBorders>
                  <w:noWrap w:val="0"/>
                  <w:vAlign w:val="center"/>
                </w:tcPr>
                <w:p>
                  <w:pPr>
                    <w:widowControl/>
                    <w:jc w:val="center"/>
                    <w:textAlignment w:val="center"/>
                    <w:rPr>
                      <w:kern w:val="0"/>
                      <w:sz w:val="20"/>
                      <w:szCs w:val="20"/>
                    </w:rPr>
                  </w:pPr>
                  <w:r>
                    <w:rPr>
                      <w:rFonts w:hint="eastAsia"/>
                      <w:kern w:val="0"/>
                      <w:sz w:val="20"/>
                      <w:szCs w:val="20"/>
                    </w:rPr>
                    <w:t>原料仓库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8" w:type="dxa"/>
                  <w:noWrap w:val="0"/>
                  <w:vAlign w:val="center"/>
                </w:tcPr>
                <w:p>
                  <w:pPr>
                    <w:widowControl/>
                    <w:jc w:val="center"/>
                    <w:textAlignment w:val="center"/>
                    <w:rPr>
                      <w:rFonts w:hint="eastAsia" w:eastAsia="宋体"/>
                      <w:sz w:val="20"/>
                      <w:szCs w:val="20"/>
                      <w:lang w:eastAsia="zh-CN"/>
                    </w:rPr>
                  </w:pPr>
                  <w:r>
                    <w:rPr>
                      <w:rFonts w:hint="eastAsia"/>
                      <w:sz w:val="20"/>
                      <w:szCs w:val="20"/>
                      <w:lang w:val="en-US" w:eastAsia="zh-CN"/>
                    </w:rPr>
                    <w:t>2</w:t>
                  </w:r>
                </w:p>
              </w:tc>
              <w:tc>
                <w:tcPr>
                  <w:tcW w:w="654" w:type="dxa"/>
                  <w:vMerge w:val="continue"/>
                  <w:noWrap w:val="0"/>
                  <w:vAlign w:val="center"/>
                </w:tcPr>
                <w:p>
                  <w:pPr>
                    <w:widowControl/>
                    <w:jc w:val="center"/>
                    <w:textAlignment w:val="center"/>
                    <w:rPr>
                      <w:rFonts w:hint="eastAsia"/>
                      <w:sz w:val="20"/>
                      <w:szCs w:val="20"/>
                    </w:rPr>
                  </w:pPr>
                </w:p>
              </w:tc>
              <w:tc>
                <w:tcPr>
                  <w:tcW w:w="753" w:type="dxa"/>
                  <w:noWrap w:val="0"/>
                  <w:vAlign w:val="center"/>
                </w:tcPr>
                <w:p>
                  <w:pPr>
                    <w:widowControl/>
                    <w:jc w:val="center"/>
                    <w:textAlignment w:val="center"/>
                    <w:rPr>
                      <w:rFonts w:hint="eastAsia"/>
                      <w:sz w:val="20"/>
                      <w:szCs w:val="20"/>
                    </w:rPr>
                  </w:pPr>
                  <w:r>
                    <w:rPr>
                      <w:rFonts w:hint="eastAsia"/>
                      <w:sz w:val="20"/>
                      <w:szCs w:val="20"/>
                    </w:rPr>
                    <w:t>柔软剂</w:t>
                  </w:r>
                </w:p>
              </w:tc>
              <w:tc>
                <w:tcPr>
                  <w:tcW w:w="449" w:type="dxa"/>
                  <w:noWrap w:val="0"/>
                  <w:vAlign w:val="center"/>
                </w:tcPr>
                <w:p>
                  <w:pPr>
                    <w:widowControl/>
                    <w:jc w:val="center"/>
                    <w:textAlignment w:val="center"/>
                    <w:rPr>
                      <w:sz w:val="20"/>
                      <w:szCs w:val="20"/>
                    </w:rPr>
                  </w:pPr>
                  <w:r>
                    <w:rPr>
                      <w:kern w:val="0"/>
                      <w:sz w:val="20"/>
                      <w:szCs w:val="20"/>
                      <w:lang w:bidi="ar"/>
                    </w:rPr>
                    <w:t>液态</w:t>
                  </w:r>
                </w:p>
              </w:tc>
              <w:tc>
                <w:tcPr>
                  <w:tcW w:w="1848" w:type="dxa"/>
                  <w:noWrap w:val="0"/>
                  <w:vAlign w:val="center"/>
                </w:tcPr>
                <w:p>
                  <w:pPr>
                    <w:widowControl/>
                    <w:jc w:val="center"/>
                    <w:textAlignment w:val="center"/>
                    <w:rPr>
                      <w:rFonts w:hint="eastAsia"/>
                      <w:sz w:val="20"/>
                      <w:szCs w:val="20"/>
                    </w:rPr>
                  </w:pPr>
                  <w:r>
                    <w:rPr>
                      <w:rFonts w:hint="eastAsia"/>
                      <w:sz w:val="20"/>
                      <w:szCs w:val="20"/>
                    </w:rPr>
                    <w:t>15%聚硅氧烷高分子聚合物，其余为水</w:t>
                  </w:r>
                </w:p>
              </w:tc>
              <w:tc>
                <w:tcPr>
                  <w:tcW w:w="957" w:type="dxa"/>
                  <w:noWrap w:val="0"/>
                  <w:vAlign w:val="center"/>
                </w:tcPr>
                <w:p>
                  <w:pPr>
                    <w:widowControl/>
                    <w:jc w:val="center"/>
                    <w:textAlignment w:val="center"/>
                    <w:rPr>
                      <w:rFonts w:hint="default" w:eastAsia="宋体"/>
                      <w:sz w:val="20"/>
                      <w:szCs w:val="20"/>
                      <w:lang w:val="en-US" w:eastAsia="zh-CN"/>
                    </w:rPr>
                  </w:pPr>
                  <w:r>
                    <w:rPr>
                      <w:rFonts w:hint="eastAsia"/>
                      <w:sz w:val="20"/>
                      <w:szCs w:val="20"/>
                      <w:lang w:val="en-US" w:eastAsia="zh-CN"/>
                    </w:rPr>
                    <w:t>18</w:t>
                  </w:r>
                </w:p>
              </w:tc>
              <w:tc>
                <w:tcPr>
                  <w:tcW w:w="793" w:type="dxa"/>
                  <w:noWrap w:val="0"/>
                  <w:vAlign w:val="center"/>
                </w:tcPr>
                <w:p>
                  <w:pPr>
                    <w:widowControl/>
                    <w:jc w:val="center"/>
                    <w:textAlignment w:val="center"/>
                    <w:rPr>
                      <w:kern w:val="0"/>
                      <w:sz w:val="20"/>
                      <w:szCs w:val="20"/>
                      <w:lang w:bidi="ar"/>
                    </w:rPr>
                  </w:pPr>
                  <w:r>
                    <w:rPr>
                      <w:rFonts w:hint="eastAsia"/>
                      <w:kern w:val="0"/>
                      <w:sz w:val="20"/>
                      <w:szCs w:val="20"/>
                      <w:lang w:bidi="ar"/>
                    </w:rPr>
                    <w:t>4t</w:t>
                  </w:r>
                </w:p>
              </w:tc>
              <w:tc>
                <w:tcPr>
                  <w:tcW w:w="1044" w:type="dxa"/>
                  <w:noWrap w:val="0"/>
                  <w:vAlign w:val="center"/>
                </w:tcPr>
                <w:p>
                  <w:pPr>
                    <w:widowControl/>
                    <w:jc w:val="center"/>
                    <w:textAlignment w:val="center"/>
                    <w:rPr>
                      <w:rFonts w:hint="eastAsia"/>
                      <w:kern w:val="0"/>
                      <w:sz w:val="20"/>
                      <w:szCs w:val="20"/>
                      <w:lang w:bidi="ar"/>
                    </w:rPr>
                  </w:pPr>
                  <w:r>
                    <w:rPr>
                      <w:rFonts w:hint="eastAsia" w:cs="Times New Roman"/>
                      <w:color w:val="auto"/>
                      <w:spacing w:val="6"/>
                      <w:sz w:val="20"/>
                      <w:szCs w:val="20"/>
                      <w:highlight w:val="none"/>
                      <w:lang w:val="en-US" w:eastAsia="zh-CN"/>
                    </w:rPr>
                    <w:t>定型</w:t>
                  </w:r>
                </w:p>
              </w:tc>
              <w:tc>
                <w:tcPr>
                  <w:tcW w:w="691" w:type="dxa"/>
                  <w:noWrap w:val="0"/>
                  <w:vAlign w:val="center"/>
                </w:tcPr>
                <w:p>
                  <w:pPr>
                    <w:widowControl/>
                    <w:jc w:val="center"/>
                    <w:textAlignment w:val="center"/>
                    <w:rPr>
                      <w:rFonts w:hint="eastAsia"/>
                      <w:kern w:val="0"/>
                      <w:sz w:val="20"/>
                      <w:szCs w:val="20"/>
                      <w:lang w:bidi="ar"/>
                    </w:rPr>
                  </w:pPr>
                  <w:r>
                    <w:rPr>
                      <w:rFonts w:hint="eastAsia"/>
                      <w:kern w:val="0"/>
                      <w:sz w:val="20"/>
                      <w:szCs w:val="20"/>
                      <w:lang w:bidi="ar"/>
                    </w:rPr>
                    <w:t>50kg桶装</w:t>
                  </w:r>
                </w:p>
              </w:tc>
              <w:tc>
                <w:tcPr>
                  <w:tcW w:w="603" w:type="dxa"/>
                  <w:vMerge w:val="continue"/>
                  <w:noWrap w:val="0"/>
                  <w:vAlign w:val="center"/>
                </w:tcPr>
                <w:p>
                  <w:pPr>
                    <w:widowControl/>
                    <w:jc w:val="center"/>
                    <w:textAlignment w:val="center"/>
                    <w:rPr>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8" w:type="dxa"/>
                  <w:noWrap w:val="0"/>
                  <w:vAlign w:val="center"/>
                </w:tcPr>
                <w:p>
                  <w:pPr>
                    <w:widowControl/>
                    <w:jc w:val="center"/>
                    <w:textAlignment w:val="center"/>
                    <w:rPr>
                      <w:rFonts w:hint="eastAsia" w:eastAsia="宋体"/>
                      <w:sz w:val="20"/>
                      <w:szCs w:val="20"/>
                      <w:lang w:eastAsia="zh-CN"/>
                    </w:rPr>
                  </w:pPr>
                  <w:r>
                    <w:rPr>
                      <w:rFonts w:hint="eastAsia"/>
                      <w:sz w:val="20"/>
                      <w:szCs w:val="20"/>
                      <w:lang w:val="en-US" w:eastAsia="zh-CN"/>
                    </w:rPr>
                    <w:t>3</w:t>
                  </w:r>
                </w:p>
              </w:tc>
              <w:tc>
                <w:tcPr>
                  <w:tcW w:w="654" w:type="dxa"/>
                  <w:vMerge w:val="continue"/>
                  <w:noWrap w:val="0"/>
                  <w:vAlign w:val="center"/>
                </w:tcPr>
                <w:p>
                  <w:pPr>
                    <w:widowControl/>
                    <w:jc w:val="center"/>
                    <w:textAlignment w:val="center"/>
                    <w:rPr>
                      <w:rFonts w:hint="eastAsia"/>
                      <w:sz w:val="20"/>
                      <w:szCs w:val="20"/>
                    </w:rPr>
                  </w:pPr>
                </w:p>
              </w:tc>
              <w:tc>
                <w:tcPr>
                  <w:tcW w:w="753"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导热油</w:t>
                  </w:r>
                </w:p>
              </w:tc>
              <w:tc>
                <w:tcPr>
                  <w:tcW w:w="449" w:type="dxa"/>
                  <w:shd w:val="clear" w:color="auto" w:fill="auto"/>
                  <w:noWrap w:val="0"/>
                  <w:vAlign w:val="center"/>
                </w:tcPr>
                <w:p>
                  <w:pPr>
                    <w:widowControl/>
                    <w:jc w:val="center"/>
                    <w:textAlignment w:val="center"/>
                    <w:rPr>
                      <w:rFonts w:ascii="Times New Roman" w:hAnsi="Times New Roman" w:eastAsia="宋体" w:cs="Times New Roman"/>
                      <w:kern w:val="0"/>
                      <w:sz w:val="20"/>
                      <w:szCs w:val="20"/>
                      <w:lang w:val="en-US" w:eastAsia="zh-CN" w:bidi="ar"/>
                    </w:rPr>
                  </w:pPr>
                  <w:r>
                    <w:rPr>
                      <w:rFonts w:hint="eastAsia"/>
                      <w:kern w:val="0"/>
                      <w:sz w:val="20"/>
                      <w:szCs w:val="20"/>
                      <w:lang w:bidi="ar"/>
                    </w:rPr>
                    <w:t>液态</w:t>
                  </w:r>
                </w:p>
              </w:tc>
              <w:tc>
                <w:tcPr>
                  <w:tcW w:w="1848" w:type="dxa"/>
                  <w:shd w:val="clear" w:color="auto" w:fill="auto"/>
                  <w:noWrap w:val="0"/>
                  <w:vAlign w:val="center"/>
                </w:tcPr>
                <w:p>
                  <w:pPr>
                    <w:widowControl/>
                    <w:jc w:val="center"/>
                    <w:textAlignment w:val="center"/>
                    <w:rPr>
                      <w:rFonts w:hint="eastAsia" w:ascii="Times New Roman" w:hAnsi="Times New Roman" w:eastAsia="宋体" w:cs="Times New Roman"/>
                      <w:kern w:val="2"/>
                      <w:sz w:val="20"/>
                      <w:szCs w:val="20"/>
                      <w:lang w:val="en-US" w:eastAsia="zh-CN" w:bidi="ar-SA"/>
                    </w:rPr>
                  </w:pPr>
                  <w:r>
                    <w:rPr>
                      <w:rFonts w:hint="eastAsia"/>
                      <w:sz w:val="20"/>
                      <w:szCs w:val="20"/>
                    </w:rPr>
                    <w:t>基础矿物油</w:t>
                  </w:r>
                </w:p>
              </w:tc>
              <w:tc>
                <w:tcPr>
                  <w:tcW w:w="957" w:type="dxa"/>
                  <w:shd w:val="clear" w:color="auto" w:fill="auto"/>
                  <w:noWrap w:val="0"/>
                  <w:vAlign w:val="center"/>
                </w:tcPr>
                <w:p>
                  <w:pPr>
                    <w:widowControl/>
                    <w:jc w:val="center"/>
                    <w:textAlignment w:val="center"/>
                    <w:rPr>
                      <w:rFonts w:hint="default" w:ascii="Times New Roman" w:hAnsi="Times New Roman" w:eastAsia="宋体" w:cs="Times New Roman"/>
                      <w:kern w:val="0"/>
                      <w:sz w:val="20"/>
                      <w:szCs w:val="20"/>
                      <w:highlight w:val="none"/>
                      <w:lang w:val="en-US" w:eastAsia="zh-CN" w:bidi="ar"/>
                    </w:rPr>
                  </w:pPr>
                  <w:r>
                    <w:rPr>
                      <w:rFonts w:hint="eastAsia"/>
                      <w:kern w:val="0"/>
                      <w:sz w:val="20"/>
                      <w:szCs w:val="20"/>
                      <w:highlight w:val="none"/>
                      <w:lang w:val="en-US" w:eastAsia="zh-CN" w:bidi="ar"/>
                    </w:rPr>
                    <w:t>4t</w:t>
                  </w:r>
                </w:p>
              </w:tc>
              <w:tc>
                <w:tcPr>
                  <w:tcW w:w="793"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highlight w:val="none"/>
                      <w:lang w:val="en-US" w:eastAsia="zh-CN" w:bidi="ar"/>
                    </w:rPr>
                  </w:pPr>
                  <w:r>
                    <w:rPr>
                      <w:rFonts w:hint="eastAsia"/>
                      <w:kern w:val="0"/>
                      <w:sz w:val="20"/>
                      <w:szCs w:val="20"/>
                      <w:highlight w:val="none"/>
                      <w:lang w:val="en-US" w:eastAsia="zh-CN" w:bidi="ar"/>
                    </w:rPr>
                    <w:t>1</w:t>
                  </w:r>
                  <w:r>
                    <w:rPr>
                      <w:rFonts w:hint="eastAsia"/>
                      <w:kern w:val="0"/>
                      <w:sz w:val="20"/>
                      <w:szCs w:val="20"/>
                      <w:highlight w:val="none"/>
                      <w:lang w:bidi="ar"/>
                    </w:rPr>
                    <w:t>t</w:t>
                  </w:r>
                </w:p>
              </w:tc>
              <w:tc>
                <w:tcPr>
                  <w:tcW w:w="1044"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锅炉</w:t>
                  </w:r>
                </w:p>
              </w:tc>
              <w:tc>
                <w:tcPr>
                  <w:tcW w:w="691"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50kg桶装</w:t>
                  </w:r>
                </w:p>
              </w:tc>
              <w:tc>
                <w:tcPr>
                  <w:tcW w:w="603" w:type="dxa"/>
                  <w:vMerge w:val="continue"/>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8" w:type="dxa"/>
                  <w:noWrap w:val="0"/>
                  <w:vAlign w:val="center"/>
                </w:tcPr>
                <w:p>
                  <w:pPr>
                    <w:widowControl/>
                    <w:jc w:val="center"/>
                    <w:textAlignment w:val="center"/>
                    <w:rPr>
                      <w:rFonts w:hint="eastAsia" w:eastAsia="宋体"/>
                      <w:sz w:val="20"/>
                      <w:szCs w:val="20"/>
                      <w:lang w:eastAsia="zh-CN"/>
                    </w:rPr>
                  </w:pPr>
                  <w:r>
                    <w:rPr>
                      <w:rFonts w:hint="eastAsia"/>
                      <w:sz w:val="20"/>
                      <w:szCs w:val="20"/>
                      <w:lang w:val="en-US" w:eastAsia="zh-CN"/>
                    </w:rPr>
                    <w:t>4</w:t>
                  </w:r>
                </w:p>
              </w:tc>
              <w:tc>
                <w:tcPr>
                  <w:tcW w:w="654" w:type="dxa"/>
                  <w:vMerge w:val="continue"/>
                  <w:noWrap w:val="0"/>
                  <w:vAlign w:val="center"/>
                </w:tcPr>
                <w:p>
                  <w:pPr>
                    <w:widowControl/>
                    <w:jc w:val="center"/>
                    <w:textAlignment w:val="center"/>
                    <w:rPr>
                      <w:rFonts w:hint="eastAsia"/>
                      <w:sz w:val="20"/>
                      <w:szCs w:val="20"/>
                    </w:rPr>
                  </w:pPr>
                </w:p>
              </w:tc>
              <w:tc>
                <w:tcPr>
                  <w:tcW w:w="753"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润滑油</w:t>
                  </w:r>
                </w:p>
              </w:tc>
              <w:tc>
                <w:tcPr>
                  <w:tcW w:w="449"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液态</w:t>
                  </w:r>
                </w:p>
              </w:tc>
              <w:tc>
                <w:tcPr>
                  <w:tcW w:w="1848" w:type="dxa"/>
                  <w:shd w:val="clear" w:color="auto" w:fill="auto"/>
                  <w:noWrap w:val="0"/>
                  <w:vAlign w:val="center"/>
                </w:tcPr>
                <w:p>
                  <w:pPr>
                    <w:widowControl/>
                    <w:jc w:val="center"/>
                    <w:textAlignment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基础油</w:t>
                  </w:r>
                </w:p>
              </w:tc>
              <w:tc>
                <w:tcPr>
                  <w:tcW w:w="957"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1t</w:t>
                  </w:r>
                </w:p>
              </w:tc>
              <w:tc>
                <w:tcPr>
                  <w:tcW w:w="793"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0.2t</w:t>
                  </w:r>
                </w:p>
              </w:tc>
              <w:tc>
                <w:tcPr>
                  <w:tcW w:w="1044"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设备检修</w:t>
                  </w:r>
                </w:p>
              </w:tc>
              <w:tc>
                <w:tcPr>
                  <w:tcW w:w="691"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50kg桶装</w:t>
                  </w:r>
                </w:p>
              </w:tc>
              <w:tc>
                <w:tcPr>
                  <w:tcW w:w="603" w:type="dxa"/>
                  <w:vMerge w:val="continue"/>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8" w:type="dxa"/>
                  <w:noWrap w:val="0"/>
                  <w:vAlign w:val="center"/>
                </w:tcPr>
                <w:p>
                  <w:pPr>
                    <w:widowControl/>
                    <w:jc w:val="center"/>
                    <w:textAlignment w:val="center"/>
                    <w:rPr>
                      <w:rFonts w:hint="eastAsia"/>
                      <w:kern w:val="0"/>
                      <w:sz w:val="20"/>
                      <w:szCs w:val="20"/>
                      <w:lang w:val="en-US" w:eastAsia="zh-CN" w:bidi="ar"/>
                    </w:rPr>
                  </w:pPr>
                  <w:r>
                    <w:rPr>
                      <w:rFonts w:hint="eastAsia"/>
                      <w:kern w:val="0"/>
                      <w:sz w:val="20"/>
                      <w:szCs w:val="20"/>
                      <w:lang w:val="en-US" w:eastAsia="zh-CN" w:bidi="ar"/>
                    </w:rPr>
                    <w:t>5</w:t>
                  </w:r>
                </w:p>
              </w:tc>
              <w:tc>
                <w:tcPr>
                  <w:tcW w:w="654" w:type="dxa"/>
                  <w:vMerge w:val="continue"/>
                  <w:noWrap w:val="0"/>
                  <w:vAlign w:val="center"/>
                </w:tcPr>
                <w:p>
                  <w:pPr>
                    <w:widowControl/>
                    <w:jc w:val="center"/>
                    <w:textAlignment w:val="center"/>
                    <w:rPr>
                      <w:rFonts w:hint="eastAsia"/>
                      <w:kern w:val="0"/>
                      <w:sz w:val="20"/>
                      <w:szCs w:val="20"/>
                      <w:lang w:bidi="ar"/>
                    </w:rPr>
                  </w:pPr>
                </w:p>
              </w:tc>
              <w:tc>
                <w:tcPr>
                  <w:tcW w:w="753"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生物质颗粒</w:t>
                  </w:r>
                </w:p>
              </w:tc>
              <w:tc>
                <w:tcPr>
                  <w:tcW w:w="449"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固态</w:t>
                  </w:r>
                </w:p>
              </w:tc>
              <w:tc>
                <w:tcPr>
                  <w:tcW w:w="1848" w:type="dxa"/>
                  <w:shd w:val="clear" w:color="auto" w:fill="auto"/>
                  <w:noWrap w:val="0"/>
                  <w:vAlign w:val="center"/>
                </w:tcPr>
                <w:p>
                  <w:pPr>
                    <w:widowControl/>
                    <w:jc w:val="center"/>
                    <w:textAlignment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秸秆</w:t>
                  </w:r>
                </w:p>
              </w:tc>
              <w:tc>
                <w:tcPr>
                  <w:tcW w:w="957" w:type="dxa"/>
                  <w:shd w:val="clear" w:color="auto" w:fill="auto"/>
                  <w:noWrap w:val="0"/>
                  <w:vAlign w:val="center"/>
                </w:tcPr>
                <w:p>
                  <w:pPr>
                    <w:widowControl/>
                    <w:jc w:val="center"/>
                    <w:textAlignment w:val="center"/>
                    <w:rPr>
                      <w:rFonts w:hint="default" w:ascii="Times New Roman" w:hAnsi="Times New Roman" w:eastAsia="宋体" w:cs="Times New Roman"/>
                      <w:kern w:val="0"/>
                      <w:sz w:val="20"/>
                      <w:szCs w:val="20"/>
                      <w:highlight w:val="none"/>
                      <w:lang w:val="en-US" w:eastAsia="zh-CN" w:bidi="ar"/>
                    </w:rPr>
                  </w:pPr>
                  <w:r>
                    <w:rPr>
                      <w:rFonts w:hint="eastAsia"/>
                      <w:kern w:val="0"/>
                      <w:sz w:val="20"/>
                      <w:szCs w:val="20"/>
                      <w:highlight w:val="none"/>
                      <w:lang w:val="en-US" w:eastAsia="zh-CN" w:bidi="ar"/>
                    </w:rPr>
                    <w:t>140</w:t>
                  </w:r>
                  <w:r>
                    <w:rPr>
                      <w:rFonts w:hint="eastAsia"/>
                      <w:kern w:val="0"/>
                      <w:sz w:val="20"/>
                      <w:szCs w:val="20"/>
                      <w:highlight w:val="none"/>
                      <w:lang w:bidi="ar"/>
                    </w:rPr>
                    <w:t>00</w:t>
                  </w:r>
                </w:p>
              </w:tc>
              <w:tc>
                <w:tcPr>
                  <w:tcW w:w="793" w:type="dxa"/>
                  <w:shd w:val="clear" w:color="auto" w:fill="auto"/>
                  <w:noWrap w:val="0"/>
                  <w:vAlign w:val="center"/>
                </w:tcPr>
                <w:p>
                  <w:pPr>
                    <w:widowControl/>
                    <w:jc w:val="center"/>
                    <w:textAlignment w:val="center"/>
                    <w:rPr>
                      <w:rFonts w:hint="default" w:ascii="Times New Roman" w:hAnsi="Times New Roman" w:eastAsia="宋体" w:cs="Times New Roman"/>
                      <w:kern w:val="0"/>
                      <w:sz w:val="20"/>
                      <w:szCs w:val="20"/>
                      <w:highlight w:val="none"/>
                      <w:lang w:val="en-US" w:eastAsia="zh-CN" w:bidi="ar"/>
                    </w:rPr>
                  </w:pPr>
                  <w:r>
                    <w:rPr>
                      <w:rFonts w:hint="eastAsia"/>
                      <w:kern w:val="0"/>
                      <w:sz w:val="20"/>
                      <w:szCs w:val="20"/>
                      <w:highlight w:val="none"/>
                      <w:lang w:bidi="ar"/>
                    </w:rPr>
                    <w:t>300t</w:t>
                  </w:r>
                </w:p>
              </w:tc>
              <w:tc>
                <w:tcPr>
                  <w:tcW w:w="1044"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锅炉</w:t>
                  </w:r>
                </w:p>
              </w:tc>
              <w:tc>
                <w:tcPr>
                  <w:tcW w:w="691" w:type="dxa"/>
                  <w:shd w:val="clear" w:color="auto" w:fill="auto"/>
                  <w:noWrap w:val="0"/>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吨袋装</w:t>
                  </w:r>
                </w:p>
              </w:tc>
              <w:tc>
                <w:tcPr>
                  <w:tcW w:w="603" w:type="dxa"/>
                  <w:noWrap w:val="0"/>
                  <w:vAlign w:val="center"/>
                </w:tcPr>
                <w:p>
                  <w:pPr>
                    <w:widowControl/>
                    <w:jc w:val="center"/>
                    <w:textAlignment w:val="center"/>
                    <w:rPr>
                      <w:rFonts w:hint="eastAsia" w:eastAsia="宋体"/>
                      <w:kern w:val="0"/>
                      <w:sz w:val="20"/>
                      <w:szCs w:val="20"/>
                      <w:lang w:val="en-US" w:eastAsia="zh-CN"/>
                    </w:rPr>
                  </w:pPr>
                  <w:r>
                    <w:rPr>
                      <w:rFonts w:hint="eastAsia"/>
                      <w:kern w:val="0"/>
                      <w:sz w:val="20"/>
                      <w:szCs w:val="20"/>
                      <w:lang w:val="en-US" w:eastAsia="zh-CN"/>
                    </w:rPr>
                    <w:t>堆场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8" w:type="dxa"/>
                  <w:noWrap w:val="0"/>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6</w:t>
                  </w:r>
                </w:p>
              </w:tc>
              <w:tc>
                <w:tcPr>
                  <w:tcW w:w="654" w:type="dxa"/>
                  <w:vMerge w:val="restart"/>
                  <w:noWrap w:val="0"/>
                  <w:vAlign w:val="center"/>
                </w:tcPr>
                <w:p>
                  <w:pPr>
                    <w:widowControl/>
                    <w:jc w:val="center"/>
                    <w:textAlignment w:val="center"/>
                    <w:rPr>
                      <w:rFonts w:hint="eastAsia"/>
                      <w:kern w:val="0"/>
                      <w:sz w:val="20"/>
                      <w:szCs w:val="20"/>
                      <w:lang w:bidi="ar"/>
                    </w:rPr>
                  </w:pPr>
                  <w:r>
                    <w:rPr>
                      <w:rFonts w:hint="eastAsia"/>
                      <w:kern w:val="0"/>
                      <w:sz w:val="20"/>
                      <w:szCs w:val="20"/>
                      <w:lang w:bidi="ar"/>
                    </w:rPr>
                    <w:t>废气处理</w:t>
                  </w:r>
                </w:p>
              </w:tc>
              <w:tc>
                <w:tcPr>
                  <w:tcW w:w="753" w:type="dxa"/>
                  <w:noWrap w:val="0"/>
                  <w:vAlign w:val="center"/>
                </w:tcPr>
                <w:p>
                  <w:pPr>
                    <w:widowControl/>
                    <w:jc w:val="center"/>
                    <w:textAlignment w:val="center"/>
                    <w:rPr>
                      <w:rFonts w:hint="eastAsia"/>
                      <w:kern w:val="0"/>
                      <w:sz w:val="20"/>
                      <w:szCs w:val="20"/>
                      <w:lang w:bidi="ar"/>
                    </w:rPr>
                  </w:pPr>
                  <w:r>
                    <w:rPr>
                      <w:rFonts w:hint="eastAsia"/>
                      <w:kern w:val="0"/>
                      <w:sz w:val="20"/>
                      <w:szCs w:val="20"/>
                      <w:lang w:bidi="ar"/>
                    </w:rPr>
                    <w:t>尿素</w:t>
                  </w:r>
                </w:p>
              </w:tc>
              <w:tc>
                <w:tcPr>
                  <w:tcW w:w="449" w:type="dxa"/>
                  <w:noWrap w:val="0"/>
                  <w:vAlign w:val="center"/>
                </w:tcPr>
                <w:p>
                  <w:pPr>
                    <w:widowControl/>
                    <w:jc w:val="center"/>
                    <w:textAlignment w:val="center"/>
                    <w:rPr>
                      <w:rFonts w:hint="eastAsia"/>
                      <w:kern w:val="0"/>
                      <w:sz w:val="20"/>
                      <w:szCs w:val="20"/>
                      <w:lang w:bidi="ar"/>
                    </w:rPr>
                  </w:pPr>
                  <w:r>
                    <w:rPr>
                      <w:rFonts w:hint="eastAsia"/>
                      <w:kern w:val="0"/>
                      <w:sz w:val="20"/>
                      <w:szCs w:val="20"/>
                      <w:lang w:bidi="ar"/>
                    </w:rPr>
                    <w:t>固态</w:t>
                  </w:r>
                </w:p>
              </w:tc>
              <w:tc>
                <w:tcPr>
                  <w:tcW w:w="1848" w:type="dxa"/>
                  <w:noWrap w:val="0"/>
                  <w:vAlign w:val="center"/>
                </w:tcPr>
                <w:p>
                  <w:pPr>
                    <w:widowControl/>
                    <w:jc w:val="center"/>
                    <w:textAlignment w:val="center"/>
                    <w:rPr>
                      <w:rFonts w:hint="eastAsia"/>
                      <w:sz w:val="20"/>
                      <w:szCs w:val="20"/>
                    </w:rPr>
                  </w:pPr>
                  <w:r>
                    <w:rPr>
                      <w:rFonts w:hint="eastAsia"/>
                      <w:sz w:val="20"/>
                      <w:szCs w:val="20"/>
                    </w:rPr>
                    <w:t>99.5%尿素</w:t>
                  </w:r>
                </w:p>
              </w:tc>
              <w:tc>
                <w:tcPr>
                  <w:tcW w:w="957" w:type="dxa"/>
                  <w:noWrap w:val="0"/>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21.6</w:t>
                  </w:r>
                </w:p>
              </w:tc>
              <w:tc>
                <w:tcPr>
                  <w:tcW w:w="793" w:type="dxa"/>
                  <w:noWrap w:val="0"/>
                  <w:vAlign w:val="center"/>
                </w:tcPr>
                <w:p>
                  <w:pPr>
                    <w:widowControl/>
                    <w:jc w:val="center"/>
                    <w:textAlignment w:val="center"/>
                    <w:rPr>
                      <w:rFonts w:hint="eastAsia"/>
                      <w:kern w:val="0"/>
                      <w:sz w:val="20"/>
                      <w:szCs w:val="20"/>
                      <w:lang w:bidi="ar"/>
                    </w:rPr>
                  </w:pPr>
                  <w:r>
                    <w:rPr>
                      <w:rFonts w:hint="eastAsia"/>
                      <w:kern w:val="0"/>
                      <w:sz w:val="20"/>
                      <w:szCs w:val="20"/>
                      <w:lang w:val="en-US" w:eastAsia="zh-CN" w:bidi="ar"/>
                    </w:rPr>
                    <w:t>2</w:t>
                  </w:r>
                  <w:r>
                    <w:rPr>
                      <w:rFonts w:hint="eastAsia"/>
                      <w:kern w:val="0"/>
                      <w:sz w:val="20"/>
                      <w:szCs w:val="20"/>
                      <w:lang w:bidi="ar"/>
                    </w:rPr>
                    <w:t>t</w:t>
                  </w:r>
                </w:p>
              </w:tc>
              <w:tc>
                <w:tcPr>
                  <w:tcW w:w="1044" w:type="dxa"/>
                  <w:noWrap w:val="0"/>
                  <w:vAlign w:val="center"/>
                </w:tcPr>
                <w:p>
                  <w:pPr>
                    <w:widowControl/>
                    <w:jc w:val="center"/>
                    <w:textAlignment w:val="center"/>
                    <w:rPr>
                      <w:rFonts w:hint="eastAsia" w:eastAsia="宋体"/>
                      <w:kern w:val="0"/>
                      <w:sz w:val="20"/>
                      <w:szCs w:val="20"/>
                      <w:lang w:eastAsia="zh-CN" w:bidi="ar"/>
                    </w:rPr>
                  </w:pPr>
                  <w:r>
                    <w:rPr>
                      <w:rFonts w:hint="eastAsia"/>
                      <w:kern w:val="0"/>
                      <w:sz w:val="20"/>
                      <w:szCs w:val="20"/>
                      <w:lang w:val="en-US" w:eastAsia="zh-CN" w:bidi="ar"/>
                    </w:rPr>
                    <w:t>废气处理</w:t>
                  </w:r>
                </w:p>
              </w:tc>
              <w:tc>
                <w:tcPr>
                  <w:tcW w:w="691" w:type="dxa"/>
                  <w:noWrap w:val="0"/>
                  <w:vAlign w:val="center"/>
                </w:tcPr>
                <w:p>
                  <w:pPr>
                    <w:widowControl/>
                    <w:jc w:val="center"/>
                    <w:textAlignment w:val="center"/>
                    <w:rPr>
                      <w:rFonts w:hint="eastAsia"/>
                      <w:kern w:val="0"/>
                      <w:sz w:val="20"/>
                      <w:szCs w:val="20"/>
                      <w:lang w:bidi="ar"/>
                    </w:rPr>
                  </w:pPr>
                  <w:r>
                    <w:rPr>
                      <w:rFonts w:hint="eastAsia"/>
                      <w:kern w:val="0"/>
                      <w:sz w:val="20"/>
                      <w:szCs w:val="20"/>
                      <w:lang w:bidi="ar"/>
                    </w:rPr>
                    <w:t>50kg袋装</w:t>
                  </w:r>
                </w:p>
              </w:tc>
              <w:tc>
                <w:tcPr>
                  <w:tcW w:w="603" w:type="dxa"/>
                  <w:vMerge w:val="restart"/>
                  <w:noWrap w:val="0"/>
                  <w:vAlign w:val="center"/>
                </w:tcPr>
                <w:p>
                  <w:pPr>
                    <w:widowControl/>
                    <w:jc w:val="center"/>
                    <w:textAlignment w:val="center"/>
                    <w:rPr>
                      <w:rFonts w:hint="eastAsia"/>
                      <w:kern w:val="0"/>
                      <w:sz w:val="20"/>
                      <w:szCs w:val="20"/>
                    </w:rPr>
                  </w:pPr>
                  <w:r>
                    <w:rPr>
                      <w:rFonts w:hint="eastAsia"/>
                      <w:kern w:val="0"/>
                      <w:sz w:val="20"/>
                      <w:szCs w:val="20"/>
                    </w:rPr>
                    <w:t>原料仓库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448" w:type="dxa"/>
                  <w:noWrap w:val="0"/>
                  <w:vAlign w:val="center"/>
                </w:tcPr>
                <w:p>
                  <w:pPr>
                    <w:widowControl/>
                    <w:jc w:val="center"/>
                    <w:textAlignment w:val="center"/>
                    <w:rPr>
                      <w:rFonts w:hint="default"/>
                      <w:kern w:val="0"/>
                      <w:sz w:val="20"/>
                      <w:szCs w:val="20"/>
                      <w:lang w:val="en-US" w:eastAsia="zh-CN" w:bidi="ar"/>
                    </w:rPr>
                  </w:pPr>
                  <w:r>
                    <w:rPr>
                      <w:rFonts w:hint="eastAsia"/>
                      <w:kern w:val="0"/>
                      <w:sz w:val="20"/>
                      <w:szCs w:val="20"/>
                      <w:lang w:val="en-US" w:eastAsia="zh-CN" w:bidi="ar"/>
                    </w:rPr>
                    <w:t>7</w:t>
                  </w:r>
                </w:p>
              </w:tc>
              <w:tc>
                <w:tcPr>
                  <w:tcW w:w="654" w:type="dxa"/>
                  <w:vMerge w:val="continue"/>
                  <w:noWrap w:val="0"/>
                  <w:vAlign w:val="center"/>
                </w:tcPr>
                <w:p>
                  <w:pPr>
                    <w:widowControl/>
                    <w:jc w:val="center"/>
                    <w:textAlignment w:val="center"/>
                    <w:rPr>
                      <w:rFonts w:hint="eastAsia"/>
                      <w:kern w:val="0"/>
                      <w:sz w:val="20"/>
                      <w:szCs w:val="20"/>
                      <w:lang w:bidi="ar"/>
                    </w:rPr>
                  </w:pPr>
                </w:p>
              </w:tc>
              <w:tc>
                <w:tcPr>
                  <w:tcW w:w="753" w:type="dxa"/>
                  <w:noWrap w:val="0"/>
                  <w:vAlign w:val="center"/>
                </w:tcPr>
                <w:p>
                  <w:pPr>
                    <w:widowControl/>
                    <w:jc w:val="center"/>
                    <w:textAlignment w:val="center"/>
                    <w:rPr>
                      <w:rFonts w:hint="default" w:ascii="Times New Roman" w:hAnsi="Times New Roman" w:eastAsia="宋体" w:cs="Times New Roman"/>
                      <w:color w:val="FF0000"/>
                      <w:kern w:val="0"/>
                      <w:sz w:val="20"/>
                      <w:szCs w:val="20"/>
                      <w:lang w:val="en-US" w:eastAsia="zh-CN" w:bidi="ar"/>
                    </w:rPr>
                  </w:pPr>
                  <w:r>
                    <w:rPr>
                      <w:rFonts w:hint="default" w:ascii="Times New Roman" w:hAnsi="Times New Roman" w:cs="Times New Roman"/>
                      <w:color w:val="FF0000"/>
                      <w:kern w:val="0"/>
                      <w:sz w:val="20"/>
                      <w:szCs w:val="20"/>
                      <w:lang w:val="en-US" w:eastAsia="zh-CN" w:bidi="ar"/>
                    </w:rPr>
                    <w:t>生石灰</w:t>
                  </w:r>
                </w:p>
              </w:tc>
              <w:tc>
                <w:tcPr>
                  <w:tcW w:w="449" w:type="dxa"/>
                  <w:noWrap w:val="0"/>
                  <w:vAlign w:val="center"/>
                </w:tcPr>
                <w:p>
                  <w:pPr>
                    <w:widowControl/>
                    <w:jc w:val="center"/>
                    <w:textAlignment w:val="center"/>
                    <w:rPr>
                      <w:rFonts w:hint="default" w:ascii="Times New Roman" w:hAnsi="Times New Roman" w:eastAsia="宋体" w:cs="Times New Roman"/>
                      <w:color w:val="FF0000"/>
                      <w:kern w:val="0"/>
                      <w:sz w:val="20"/>
                      <w:szCs w:val="20"/>
                      <w:lang w:val="en-US" w:eastAsia="zh-CN" w:bidi="ar"/>
                    </w:rPr>
                  </w:pPr>
                  <w:r>
                    <w:rPr>
                      <w:rFonts w:hint="default" w:ascii="Times New Roman" w:hAnsi="Times New Roman" w:cs="Times New Roman"/>
                      <w:color w:val="FF0000"/>
                      <w:kern w:val="0"/>
                      <w:sz w:val="20"/>
                      <w:szCs w:val="20"/>
                      <w:lang w:val="en-US" w:eastAsia="zh-CN" w:bidi="ar"/>
                    </w:rPr>
                    <w:t>固体</w:t>
                  </w:r>
                </w:p>
              </w:tc>
              <w:tc>
                <w:tcPr>
                  <w:tcW w:w="1848" w:type="dxa"/>
                  <w:noWrap w:val="0"/>
                  <w:vAlign w:val="center"/>
                </w:tcPr>
                <w:p>
                  <w:pPr>
                    <w:widowControl/>
                    <w:jc w:val="center"/>
                    <w:textAlignment w:val="center"/>
                    <w:rPr>
                      <w:rFonts w:hint="default" w:ascii="Times New Roman" w:hAnsi="Times New Roman" w:eastAsia="宋体" w:cs="Times New Roman"/>
                      <w:color w:val="FF0000"/>
                      <w:sz w:val="20"/>
                      <w:szCs w:val="20"/>
                      <w:lang w:val="en-US" w:eastAsia="zh-CN"/>
                    </w:rPr>
                  </w:pPr>
                  <w:r>
                    <w:rPr>
                      <w:rFonts w:hint="default" w:ascii="Times New Roman" w:hAnsi="Times New Roman" w:cs="Times New Roman"/>
                      <w:color w:val="FF0000"/>
                      <w:sz w:val="20"/>
                      <w:szCs w:val="20"/>
                      <w:lang w:val="en-US" w:eastAsia="zh-CN"/>
                    </w:rPr>
                    <w:t>≥80%氧化钙</w:t>
                  </w:r>
                </w:p>
              </w:tc>
              <w:tc>
                <w:tcPr>
                  <w:tcW w:w="957" w:type="dxa"/>
                  <w:noWrap w:val="0"/>
                  <w:vAlign w:val="center"/>
                </w:tcPr>
                <w:p>
                  <w:pPr>
                    <w:widowControl/>
                    <w:jc w:val="center"/>
                    <w:textAlignment w:val="center"/>
                    <w:rPr>
                      <w:rFonts w:hint="default" w:ascii="Times New Roman" w:hAnsi="Times New Roman" w:eastAsia="宋体" w:cs="Times New Roman"/>
                      <w:color w:val="FF0000"/>
                      <w:kern w:val="0"/>
                      <w:sz w:val="20"/>
                      <w:szCs w:val="20"/>
                      <w:lang w:val="en-US" w:eastAsia="zh-CN" w:bidi="ar"/>
                    </w:rPr>
                  </w:pPr>
                  <w:r>
                    <w:rPr>
                      <w:rFonts w:hint="eastAsia" w:cs="Times New Roman"/>
                      <w:color w:val="FF0000"/>
                      <w:kern w:val="0"/>
                      <w:sz w:val="20"/>
                      <w:szCs w:val="20"/>
                      <w:lang w:val="en-US" w:eastAsia="zh-CN" w:bidi="ar"/>
                    </w:rPr>
                    <w:t>5</w:t>
                  </w:r>
                </w:p>
              </w:tc>
              <w:tc>
                <w:tcPr>
                  <w:tcW w:w="793" w:type="dxa"/>
                  <w:noWrap w:val="0"/>
                  <w:vAlign w:val="center"/>
                </w:tcPr>
                <w:p>
                  <w:pPr>
                    <w:widowControl/>
                    <w:jc w:val="center"/>
                    <w:textAlignment w:val="center"/>
                    <w:rPr>
                      <w:rFonts w:hint="default" w:ascii="Times New Roman" w:hAnsi="Times New Roman" w:eastAsia="宋体" w:cs="Times New Roman"/>
                      <w:color w:val="FF0000"/>
                      <w:kern w:val="0"/>
                      <w:sz w:val="20"/>
                      <w:szCs w:val="20"/>
                      <w:lang w:val="en-US" w:eastAsia="zh-CN" w:bidi="ar"/>
                    </w:rPr>
                  </w:pPr>
                  <w:r>
                    <w:rPr>
                      <w:rFonts w:hint="eastAsia" w:cs="Times New Roman"/>
                      <w:color w:val="FF0000"/>
                      <w:kern w:val="0"/>
                      <w:sz w:val="20"/>
                      <w:szCs w:val="20"/>
                      <w:lang w:val="en-US" w:eastAsia="zh-CN" w:bidi="ar"/>
                    </w:rPr>
                    <w:t>1t</w:t>
                  </w:r>
                </w:p>
              </w:tc>
              <w:tc>
                <w:tcPr>
                  <w:tcW w:w="1044" w:type="dxa"/>
                  <w:noWrap w:val="0"/>
                  <w:vAlign w:val="center"/>
                </w:tcPr>
                <w:p>
                  <w:pPr>
                    <w:widowControl/>
                    <w:jc w:val="center"/>
                    <w:textAlignment w:val="center"/>
                    <w:rPr>
                      <w:rFonts w:hint="eastAsia" w:ascii="Times New Roman" w:hAnsi="Times New Roman" w:eastAsia="宋体" w:cs="Times New Roman"/>
                      <w:color w:val="FF0000"/>
                      <w:kern w:val="0"/>
                      <w:sz w:val="20"/>
                      <w:szCs w:val="20"/>
                      <w:lang w:val="en-US" w:eastAsia="zh-CN" w:bidi="ar"/>
                    </w:rPr>
                  </w:pPr>
                  <w:r>
                    <w:rPr>
                      <w:rFonts w:hint="eastAsia" w:ascii="Times New Roman" w:hAnsi="Times New Roman" w:cs="Times New Roman"/>
                      <w:color w:val="FF0000"/>
                      <w:kern w:val="0"/>
                      <w:sz w:val="20"/>
                      <w:szCs w:val="20"/>
                      <w:lang w:val="en-US" w:eastAsia="zh-CN" w:bidi="ar"/>
                    </w:rPr>
                    <w:t>废气处理</w:t>
                  </w:r>
                </w:p>
              </w:tc>
              <w:tc>
                <w:tcPr>
                  <w:tcW w:w="691" w:type="dxa"/>
                  <w:noWrap w:val="0"/>
                  <w:vAlign w:val="center"/>
                </w:tcPr>
                <w:p>
                  <w:pPr>
                    <w:widowControl/>
                    <w:jc w:val="center"/>
                    <w:textAlignment w:val="center"/>
                    <w:rPr>
                      <w:rFonts w:hint="eastAsia" w:ascii="Times New Roman" w:hAnsi="Times New Roman" w:eastAsia="宋体" w:cs="Times New Roman"/>
                      <w:color w:val="FF0000"/>
                      <w:kern w:val="0"/>
                      <w:sz w:val="20"/>
                      <w:szCs w:val="20"/>
                      <w:lang w:val="en-US" w:eastAsia="zh-CN" w:bidi="ar"/>
                    </w:rPr>
                  </w:pPr>
                  <w:r>
                    <w:rPr>
                      <w:rFonts w:hint="eastAsia" w:ascii="Times New Roman" w:hAnsi="Times New Roman" w:cs="Times New Roman"/>
                      <w:color w:val="FF0000"/>
                      <w:kern w:val="0"/>
                      <w:sz w:val="20"/>
                      <w:szCs w:val="20"/>
                      <w:lang w:val="en-US" w:eastAsia="zh-CN" w:bidi="ar"/>
                    </w:rPr>
                    <w:t>吨桶</w:t>
                  </w:r>
                </w:p>
              </w:tc>
              <w:tc>
                <w:tcPr>
                  <w:tcW w:w="603" w:type="dxa"/>
                  <w:vMerge w:val="continue"/>
                  <w:noWrap w:val="0"/>
                  <w:vAlign w:val="center"/>
                </w:tcPr>
                <w:p>
                  <w:pPr>
                    <w:widowControl/>
                    <w:jc w:val="center"/>
                    <w:textAlignment w:val="center"/>
                    <w:rPr>
                      <w:rFonts w:hint="default" w:ascii="Times New Roman" w:hAnsi="Times New Roman" w:cs="Times New Roman"/>
                      <w:color w:val="FF0000"/>
                      <w:kern w:val="0"/>
                      <w:sz w:val="20"/>
                      <w:szCs w:val="20"/>
                    </w:rPr>
                  </w:pPr>
                </w:p>
              </w:tc>
            </w:tr>
            <w:bookmarkEnd w:id="7"/>
          </w:tbl>
          <w:p>
            <w:pPr>
              <w:autoSpaceDE w:val="0"/>
              <w:autoSpaceDN w:val="0"/>
              <w:adjustRightInd w:val="0"/>
              <w:snapToGrid w:val="0"/>
              <w:spacing w:line="400" w:lineRule="exact"/>
              <w:ind w:firstLine="420" w:firstLineChars="200"/>
              <w:rPr>
                <w:rFonts w:hint="default" w:eastAsia="宋体"/>
                <w:color w:val="FF0000"/>
                <w:kern w:val="2"/>
                <w:sz w:val="21"/>
                <w:szCs w:val="21"/>
                <w:lang w:val="en-US" w:eastAsia="zh-CN"/>
              </w:rPr>
            </w:pPr>
            <w:r>
              <w:rPr>
                <w:rFonts w:hint="eastAsia"/>
                <w:color w:val="FF0000"/>
                <w:kern w:val="2"/>
                <w:sz w:val="21"/>
                <w:szCs w:val="21"/>
                <w:lang w:val="en-US" w:eastAsia="zh-CN"/>
              </w:rPr>
              <w:t>本项目生物质燃料执行《生物质成型燃料质量分级》NB/T34024-2015表4中1级标准。</w:t>
            </w:r>
          </w:p>
          <w:p>
            <w:pPr>
              <w:autoSpaceDE w:val="0"/>
              <w:autoSpaceDN w:val="0"/>
              <w:adjustRightInd w:val="0"/>
              <w:snapToGrid w:val="0"/>
              <w:spacing w:line="400" w:lineRule="exact"/>
              <w:jc w:val="center"/>
              <w:rPr>
                <w:rFonts w:hint="eastAsia"/>
                <w:b/>
                <w:bCs/>
                <w:color w:val="FF0000"/>
                <w:kern w:val="2"/>
                <w:sz w:val="21"/>
                <w:szCs w:val="21"/>
                <w:lang w:val="en-US" w:eastAsia="zh-CN"/>
              </w:rPr>
            </w:pPr>
            <w:r>
              <w:rPr>
                <w:rFonts w:hint="eastAsia"/>
                <w:b/>
                <w:bCs/>
                <w:color w:val="FF0000"/>
                <w:kern w:val="2"/>
                <w:sz w:val="21"/>
                <w:szCs w:val="21"/>
                <w:lang w:val="en-US" w:eastAsia="zh-CN"/>
              </w:rPr>
              <w:t>表2-4（续） 生物质燃料指标一览表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3081"/>
              <w:gridCol w:w="28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b/>
                      <w:bCs/>
                      <w:color w:val="FF0000"/>
                      <w:kern w:val="2"/>
                      <w:sz w:val="20"/>
                      <w:szCs w:val="20"/>
                      <w:lang w:val="en-US" w:eastAsia="zh-CN"/>
                    </w:rPr>
                  </w:pPr>
                  <w:r>
                    <w:rPr>
                      <w:rFonts w:hint="eastAsia"/>
                      <w:b/>
                      <w:bCs/>
                      <w:color w:val="FF0000"/>
                      <w:kern w:val="2"/>
                      <w:sz w:val="20"/>
                      <w:szCs w:val="20"/>
                      <w:lang w:val="en-US" w:eastAsia="zh-CN"/>
                    </w:rPr>
                    <w:t>燃料属性</w:t>
                  </w:r>
                </w:p>
              </w:tc>
              <w:tc>
                <w:tcPr>
                  <w:tcW w:w="1824"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bCs/>
                      <w:color w:val="FF0000"/>
                      <w:kern w:val="2"/>
                      <w:sz w:val="20"/>
                      <w:szCs w:val="20"/>
                      <w:lang w:eastAsia="zh-CN"/>
                    </w:rPr>
                  </w:pPr>
                  <w:r>
                    <w:rPr>
                      <w:rFonts w:hint="eastAsia"/>
                      <w:b/>
                      <w:bCs/>
                      <w:color w:val="FF0000"/>
                      <w:kern w:val="2"/>
                      <w:sz w:val="20"/>
                      <w:szCs w:val="20"/>
                      <w:lang w:val="en-US" w:eastAsia="zh-CN"/>
                    </w:rPr>
                    <w:t>单位</w:t>
                  </w:r>
                </w:p>
              </w:tc>
              <w:tc>
                <w:tcPr>
                  <w:tcW w:w="1695"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b/>
                      <w:bCs/>
                      <w:color w:val="FF0000"/>
                      <w:kern w:val="2"/>
                      <w:sz w:val="20"/>
                      <w:szCs w:val="20"/>
                      <w:lang w:eastAsia="zh-CN"/>
                    </w:rPr>
                  </w:pPr>
                  <w:r>
                    <w:rPr>
                      <w:rFonts w:hint="eastAsia"/>
                      <w:b/>
                      <w:bCs/>
                      <w:color w:val="FF0000"/>
                      <w:kern w:val="2"/>
                      <w:sz w:val="20"/>
                      <w:szCs w:val="20"/>
                      <w:lang w:val="en-US" w:eastAsia="zh-CN"/>
                    </w:rPr>
                    <w:t>1级指标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FF0000"/>
                      <w:kern w:val="2"/>
                      <w:sz w:val="20"/>
                      <w:szCs w:val="20"/>
                      <w:lang w:val="en-US" w:eastAsia="zh-CN"/>
                    </w:rPr>
                  </w:pPr>
                  <w:r>
                    <w:rPr>
                      <w:rFonts w:hint="eastAsia"/>
                      <w:color w:val="FF0000"/>
                      <w:kern w:val="2"/>
                      <w:sz w:val="20"/>
                      <w:szCs w:val="20"/>
                      <w:lang w:val="en-US" w:eastAsia="zh-CN"/>
                    </w:rPr>
                    <w:t>密度</w:t>
                  </w:r>
                </w:p>
              </w:tc>
              <w:tc>
                <w:tcPr>
                  <w:tcW w:w="1824"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FF0000"/>
                      <w:kern w:val="2"/>
                      <w:sz w:val="20"/>
                      <w:szCs w:val="20"/>
                      <w:lang w:val="en-US" w:eastAsia="zh-CN"/>
                    </w:rPr>
                  </w:pPr>
                  <w:r>
                    <w:rPr>
                      <w:rFonts w:hint="eastAsia"/>
                      <w:color w:val="FF0000"/>
                      <w:kern w:val="2"/>
                      <w:sz w:val="20"/>
                      <w:szCs w:val="20"/>
                      <w:lang w:val="en-US" w:eastAsia="zh-CN"/>
                    </w:rPr>
                    <w:t>kg/m</w:t>
                  </w:r>
                  <w:r>
                    <w:rPr>
                      <w:rFonts w:hint="eastAsia"/>
                      <w:color w:val="FF0000"/>
                      <w:kern w:val="2"/>
                      <w:sz w:val="20"/>
                      <w:szCs w:val="20"/>
                      <w:vertAlign w:val="superscript"/>
                      <w:lang w:val="en-US" w:eastAsia="zh-CN"/>
                    </w:rPr>
                    <w:t>3</w:t>
                  </w:r>
                </w:p>
              </w:tc>
              <w:tc>
                <w:tcPr>
                  <w:tcW w:w="1695"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kern w:val="2"/>
                      <w:sz w:val="20"/>
                      <w:szCs w:val="20"/>
                      <w:lang w:val="en-US" w:eastAsia="zh-CN"/>
                    </w:rPr>
                  </w:pPr>
                  <w:r>
                    <w:rPr>
                      <w:rFonts w:hint="default" w:ascii="Times New Roman" w:hAnsi="Times New Roman" w:cs="Times New Roman"/>
                      <w:color w:val="FF0000"/>
                      <w:kern w:val="2"/>
                      <w:sz w:val="20"/>
                      <w:szCs w:val="20"/>
                      <w:lang w:val="en-US" w:eastAsia="zh-CN"/>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0"/>
                      <w:szCs w:val="20"/>
                      <w:lang w:val="en-US" w:eastAsia="zh-CN"/>
                    </w:rPr>
                  </w:pPr>
                  <w:r>
                    <w:rPr>
                      <w:rFonts w:hint="eastAsia"/>
                      <w:color w:val="FF0000"/>
                      <w:kern w:val="2"/>
                      <w:sz w:val="20"/>
                      <w:szCs w:val="20"/>
                      <w:lang w:val="en-US" w:eastAsia="zh-CN"/>
                    </w:rPr>
                    <w:t>机械耐久性</w:t>
                  </w:r>
                </w:p>
              </w:tc>
              <w:tc>
                <w:tcPr>
                  <w:tcW w:w="18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0"/>
                      <w:szCs w:val="20"/>
                      <w:lang w:val="en-US" w:eastAsia="zh-CN"/>
                    </w:rPr>
                  </w:pPr>
                  <w:r>
                    <w:rPr>
                      <w:rFonts w:hint="eastAsia"/>
                      <w:color w:val="FF0000"/>
                      <w:kern w:val="2"/>
                      <w:sz w:val="20"/>
                      <w:szCs w:val="20"/>
                      <w:lang w:val="en-US" w:eastAsia="zh-CN"/>
                    </w:rPr>
                    <w:t>%</w:t>
                  </w:r>
                </w:p>
              </w:tc>
              <w:tc>
                <w:tcPr>
                  <w:tcW w:w="16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FF0000"/>
                      <w:kern w:val="2"/>
                      <w:sz w:val="20"/>
                      <w:szCs w:val="20"/>
                      <w:lang w:val="en-US"/>
                    </w:rPr>
                  </w:pPr>
                  <w:r>
                    <w:rPr>
                      <w:rFonts w:hint="default" w:ascii="Times New Roman" w:hAnsi="Times New Roman" w:cs="Times New Roman"/>
                      <w:color w:val="FF0000"/>
                      <w:kern w:val="2"/>
                      <w:sz w:val="20"/>
                      <w:szCs w:val="20"/>
                      <w:lang w:val="en-US" w:eastAsia="zh-CN"/>
                    </w:rPr>
                    <w:t>≥97.5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0"/>
                      <w:szCs w:val="20"/>
                      <w:lang w:val="en-US" w:eastAsia="zh-CN"/>
                    </w:rPr>
                  </w:pPr>
                  <w:r>
                    <w:rPr>
                      <w:rFonts w:hint="eastAsia"/>
                      <w:color w:val="FF0000"/>
                      <w:kern w:val="2"/>
                      <w:sz w:val="20"/>
                      <w:szCs w:val="20"/>
                      <w:lang w:val="en-US" w:eastAsia="zh-CN"/>
                    </w:rPr>
                    <w:t>全水分</w:t>
                  </w:r>
                </w:p>
              </w:tc>
              <w:tc>
                <w:tcPr>
                  <w:tcW w:w="18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0"/>
                      <w:szCs w:val="20"/>
                      <w:lang w:val="en-US" w:eastAsia="zh-CN"/>
                    </w:rPr>
                  </w:pPr>
                  <w:r>
                    <w:rPr>
                      <w:rFonts w:hint="eastAsia"/>
                      <w:color w:val="FF0000"/>
                      <w:kern w:val="2"/>
                      <w:sz w:val="20"/>
                      <w:szCs w:val="20"/>
                      <w:lang w:val="en-US" w:eastAsia="zh-CN"/>
                    </w:rPr>
                    <w:t>%</w:t>
                  </w:r>
                </w:p>
              </w:tc>
              <w:tc>
                <w:tcPr>
                  <w:tcW w:w="16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FF0000"/>
                      <w:kern w:val="2"/>
                      <w:sz w:val="20"/>
                      <w:szCs w:val="20"/>
                    </w:rPr>
                  </w:pPr>
                  <w:r>
                    <w:rPr>
                      <w:rFonts w:hint="default" w:ascii="Times New Roman" w:hAnsi="Times New Roman" w:cs="Times New Roman"/>
                      <w:color w:val="FF0000"/>
                      <w:kern w:val="2"/>
                      <w:sz w:val="20"/>
                      <w:szCs w:val="20"/>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0"/>
                      <w:szCs w:val="20"/>
                      <w:lang w:val="en-US" w:eastAsia="zh-CN"/>
                    </w:rPr>
                  </w:pPr>
                  <w:r>
                    <w:rPr>
                      <w:rFonts w:hint="eastAsia"/>
                      <w:color w:val="FF0000"/>
                      <w:kern w:val="2"/>
                      <w:sz w:val="20"/>
                      <w:szCs w:val="20"/>
                      <w:lang w:val="en-US" w:eastAsia="zh-CN"/>
                    </w:rPr>
                    <w:t>灰分</w:t>
                  </w:r>
                </w:p>
              </w:tc>
              <w:tc>
                <w:tcPr>
                  <w:tcW w:w="18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0"/>
                      <w:szCs w:val="20"/>
                      <w:lang w:val="en-US" w:eastAsia="zh-CN"/>
                    </w:rPr>
                  </w:pPr>
                  <w:r>
                    <w:rPr>
                      <w:rFonts w:hint="eastAsia"/>
                      <w:color w:val="FF0000"/>
                      <w:kern w:val="2"/>
                      <w:sz w:val="20"/>
                      <w:szCs w:val="20"/>
                      <w:lang w:val="en-US" w:eastAsia="zh-CN"/>
                    </w:rPr>
                    <w:t>%</w:t>
                  </w:r>
                </w:p>
              </w:tc>
              <w:tc>
                <w:tcPr>
                  <w:tcW w:w="16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FF0000"/>
                      <w:kern w:val="2"/>
                      <w:sz w:val="20"/>
                      <w:szCs w:val="20"/>
                    </w:rPr>
                  </w:pPr>
                  <w:r>
                    <w:rPr>
                      <w:rFonts w:hint="default" w:ascii="Times New Roman" w:hAnsi="Times New Roman" w:cs="Times New Roman"/>
                      <w:color w:val="FF0000"/>
                      <w:kern w:val="2"/>
                      <w:sz w:val="20"/>
                      <w:szCs w:val="20"/>
                      <w:lang w:val="en-US" w:eastAsia="zh-CN"/>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0"/>
                      <w:szCs w:val="20"/>
                      <w:lang w:val="en-US" w:eastAsia="zh-CN"/>
                    </w:rPr>
                  </w:pPr>
                  <w:r>
                    <w:rPr>
                      <w:rFonts w:hint="eastAsia"/>
                      <w:color w:val="FF0000"/>
                      <w:kern w:val="2"/>
                      <w:sz w:val="20"/>
                      <w:szCs w:val="20"/>
                      <w:lang w:val="en-US" w:eastAsia="zh-CN"/>
                    </w:rPr>
                    <w:t>收到基低位发热量</w:t>
                  </w:r>
                </w:p>
              </w:tc>
              <w:tc>
                <w:tcPr>
                  <w:tcW w:w="18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FF0000"/>
                      <w:kern w:val="2"/>
                      <w:sz w:val="20"/>
                      <w:szCs w:val="20"/>
                      <w:lang w:val="en-US" w:eastAsia="zh-CN"/>
                    </w:rPr>
                  </w:pPr>
                  <w:r>
                    <w:rPr>
                      <w:rFonts w:hint="eastAsia"/>
                      <w:color w:val="FF0000"/>
                      <w:kern w:val="2"/>
                      <w:sz w:val="20"/>
                      <w:szCs w:val="20"/>
                      <w:lang w:val="en-US" w:eastAsia="zh-CN"/>
                    </w:rPr>
                    <w:t>MJ/kg</w:t>
                  </w:r>
                </w:p>
              </w:tc>
              <w:tc>
                <w:tcPr>
                  <w:tcW w:w="16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cs="Times New Roman"/>
                      <w:color w:val="FF0000"/>
                      <w:kern w:val="2"/>
                      <w:sz w:val="20"/>
                      <w:szCs w:val="20"/>
                      <w:lang w:val="en-US"/>
                    </w:rPr>
                  </w:pPr>
                  <w:r>
                    <w:rPr>
                      <w:rFonts w:hint="default" w:ascii="Times New Roman" w:hAnsi="Times New Roman" w:cs="Times New Roman"/>
                      <w:color w:val="FF0000"/>
                      <w:kern w:val="2"/>
                      <w:sz w:val="20"/>
                      <w:szCs w:val="20"/>
                      <w:lang w:val="en-US" w:eastAsia="zh-CN"/>
                    </w:rPr>
                    <w:t>≥14.6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0"/>
                      <w:szCs w:val="20"/>
                      <w:lang w:val="en-US" w:eastAsia="zh-CN"/>
                    </w:rPr>
                  </w:pPr>
                  <w:r>
                    <w:rPr>
                      <w:rFonts w:hint="eastAsia"/>
                      <w:color w:val="FF0000"/>
                      <w:kern w:val="2"/>
                      <w:sz w:val="20"/>
                      <w:szCs w:val="20"/>
                      <w:lang w:val="en-US" w:eastAsia="zh-CN"/>
                    </w:rPr>
                    <w:t>氨</w:t>
                  </w:r>
                </w:p>
              </w:tc>
              <w:tc>
                <w:tcPr>
                  <w:tcW w:w="18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rFonts w:hint="eastAsia"/>
                      <w:color w:val="FF0000"/>
                      <w:kern w:val="2"/>
                      <w:sz w:val="20"/>
                      <w:szCs w:val="20"/>
                      <w:lang w:val="en-US" w:eastAsia="zh-CN"/>
                    </w:rPr>
                    <w:t>%</w:t>
                  </w:r>
                </w:p>
              </w:tc>
              <w:tc>
                <w:tcPr>
                  <w:tcW w:w="16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kern w:val="2"/>
                      <w:sz w:val="20"/>
                      <w:szCs w:val="20"/>
                      <w:lang w:val="en-US" w:eastAsia="zh-CN"/>
                    </w:rPr>
                  </w:pPr>
                  <w:r>
                    <w:rPr>
                      <w:rFonts w:hint="default" w:ascii="Times New Roman" w:hAnsi="Times New Roman" w:cs="Times New Roman"/>
                      <w:color w:val="FF0000"/>
                      <w:kern w:val="2"/>
                      <w:sz w:val="20"/>
                      <w:szCs w:val="20"/>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0"/>
                      <w:szCs w:val="20"/>
                      <w:lang w:val="en-US" w:eastAsia="zh-CN"/>
                    </w:rPr>
                  </w:pPr>
                  <w:r>
                    <w:rPr>
                      <w:rFonts w:hint="eastAsia"/>
                      <w:color w:val="FF0000"/>
                      <w:kern w:val="2"/>
                      <w:sz w:val="20"/>
                      <w:szCs w:val="20"/>
                      <w:lang w:val="en-US" w:eastAsia="zh-CN"/>
                    </w:rPr>
                    <w:t>硫</w:t>
                  </w:r>
                </w:p>
              </w:tc>
              <w:tc>
                <w:tcPr>
                  <w:tcW w:w="18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rFonts w:hint="eastAsia"/>
                      <w:color w:val="FF0000"/>
                      <w:kern w:val="2"/>
                      <w:sz w:val="20"/>
                      <w:szCs w:val="20"/>
                      <w:lang w:val="en-US" w:eastAsia="zh-CN"/>
                    </w:rPr>
                    <w:t>%</w:t>
                  </w:r>
                </w:p>
              </w:tc>
              <w:tc>
                <w:tcPr>
                  <w:tcW w:w="16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kern w:val="2"/>
                      <w:sz w:val="20"/>
                      <w:szCs w:val="20"/>
                      <w:lang w:val="en-US" w:eastAsia="zh-CN"/>
                    </w:rPr>
                  </w:pPr>
                  <w:r>
                    <w:rPr>
                      <w:rFonts w:hint="default" w:ascii="Times New Roman" w:hAnsi="Times New Roman" w:cs="Times New Roman"/>
                      <w:color w:val="FF0000"/>
                      <w:kern w:val="2"/>
                      <w:sz w:val="20"/>
                      <w:szCs w:val="20"/>
                      <w:lang w:val="en-US" w:eastAsia="zh-CN"/>
                    </w:rPr>
                    <w:t>≤0.1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8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0"/>
                      <w:szCs w:val="20"/>
                      <w:lang w:val="en-US" w:eastAsia="zh-CN"/>
                    </w:rPr>
                  </w:pPr>
                  <w:r>
                    <w:rPr>
                      <w:rFonts w:hint="eastAsia"/>
                      <w:color w:val="FF0000"/>
                      <w:kern w:val="2"/>
                      <w:sz w:val="20"/>
                      <w:szCs w:val="20"/>
                      <w:lang w:val="en-US" w:eastAsia="zh-CN"/>
                    </w:rPr>
                    <w:t>氯</w:t>
                  </w:r>
                </w:p>
              </w:tc>
              <w:tc>
                <w:tcPr>
                  <w:tcW w:w="1824"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rFonts w:hint="eastAsia"/>
                      <w:color w:val="FF0000"/>
                      <w:kern w:val="2"/>
                      <w:sz w:val="20"/>
                      <w:szCs w:val="20"/>
                      <w:lang w:val="en-US" w:eastAsia="zh-CN"/>
                    </w:rPr>
                    <w:t>%</w:t>
                  </w:r>
                </w:p>
              </w:tc>
              <w:tc>
                <w:tcPr>
                  <w:tcW w:w="1695"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FF0000"/>
                      <w:kern w:val="2"/>
                      <w:sz w:val="20"/>
                      <w:szCs w:val="20"/>
                      <w:lang w:val="en-US" w:eastAsia="zh-CN"/>
                    </w:rPr>
                  </w:pPr>
                  <w:r>
                    <w:rPr>
                      <w:rFonts w:hint="default" w:ascii="Times New Roman" w:hAnsi="Times New Roman" w:cs="Times New Roman"/>
                      <w:color w:val="FF0000"/>
                      <w:kern w:val="2"/>
                      <w:sz w:val="20"/>
                      <w:szCs w:val="20"/>
                      <w:lang w:val="en-US" w:eastAsia="zh-CN"/>
                    </w:rPr>
                    <w:t>≤0.2</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rPr>
                <w:rFonts w:hint="eastAsia" w:ascii="Times New Roman" w:hAnsi="Times New Roman" w:eastAsia="宋体" w:cs="Times New Roman"/>
                <w:b/>
                <w:color w:val="FF0000"/>
                <w:kern w:val="24"/>
                <w:lang w:val="en-US" w:eastAsia="zh-CN"/>
              </w:rPr>
            </w:pPr>
            <w:r>
              <w:rPr>
                <w:rFonts w:hint="eastAsia" w:ascii="Times New Roman" w:hAnsi="Times New Roman" w:eastAsia="宋体" w:cs="Times New Roman"/>
                <w:b/>
                <w:color w:val="FF0000"/>
                <w:kern w:val="24"/>
                <w:lang w:val="en-US" w:eastAsia="zh-CN"/>
              </w:rPr>
              <w:t>表2-5  本项目主要原辅材料理化特性及危险特性</w:t>
            </w:r>
          </w:p>
          <w:tbl>
            <w:tblPr>
              <w:tblStyle w:val="90"/>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29"/>
              <w:gridCol w:w="1349"/>
              <w:gridCol w:w="876"/>
              <w:gridCol w:w="3941"/>
              <w:gridCol w:w="689"/>
              <w:gridCol w:w="11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254" w:type="pct"/>
                  <w:tcBorders>
                    <w:top w:val="single" w:color="auto" w:sz="12" w:space="0"/>
                    <w:bottom w:val="single" w:color="auto" w:sz="12" w:space="0"/>
                  </w:tcBorders>
                  <w:noWrap w:val="0"/>
                  <w:vAlign w:val="center"/>
                </w:tcPr>
                <w:p>
                  <w:pPr>
                    <w:jc w:val="center"/>
                    <w:rPr>
                      <w:b/>
                      <w:color w:val="FF0000"/>
                      <w:sz w:val="20"/>
                      <w:szCs w:val="20"/>
                    </w:rPr>
                  </w:pPr>
                  <w:r>
                    <w:rPr>
                      <w:rFonts w:hint="eastAsia"/>
                      <w:b/>
                      <w:color w:val="FF0000"/>
                      <w:sz w:val="20"/>
                      <w:szCs w:val="20"/>
                    </w:rPr>
                    <w:t>名称</w:t>
                  </w:r>
                </w:p>
              </w:tc>
              <w:tc>
                <w:tcPr>
                  <w:tcW w:w="798" w:type="pct"/>
                  <w:tcBorders>
                    <w:top w:val="single" w:color="auto" w:sz="12" w:space="0"/>
                    <w:bottom w:val="single" w:color="auto" w:sz="12" w:space="0"/>
                  </w:tcBorders>
                  <w:noWrap w:val="0"/>
                  <w:vAlign w:val="center"/>
                </w:tcPr>
                <w:p>
                  <w:pPr>
                    <w:jc w:val="center"/>
                    <w:rPr>
                      <w:b/>
                      <w:color w:val="FF0000"/>
                      <w:sz w:val="20"/>
                      <w:szCs w:val="20"/>
                    </w:rPr>
                  </w:pPr>
                  <w:r>
                    <w:rPr>
                      <w:rFonts w:hint="eastAsia"/>
                      <w:b/>
                      <w:color w:val="FF0000"/>
                      <w:sz w:val="20"/>
                      <w:szCs w:val="20"/>
                    </w:rPr>
                    <w:t>分子式</w:t>
                  </w:r>
                </w:p>
              </w:tc>
              <w:tc>
                <w:tcPr>
                  <w:tcW w:w="518" w:type="pct"/>
                  <w:tcBorders>
                    <w:top w:val="single" w:color="auto" w:sz="12" w:space="0"/>
                    <w:bottom w:val="single" w:color="auto" w:sz="12" w:space="0"/>
                  </w:tcBorders>
                  <w:noWrap w:val="0"/>
                  <w:vAlign w:val="center"/>
                </w:tcPr>
                <w:p>
                  <w:pPr>
                    <w:jc w:val="center"/>
                    <w:rPr>
                      <w:b/>
                      <w:color w:val="FF0000"/>
                      <w:sz w:val="20"/>
                      <w:szCs w:val="20"/>
                    </w:rPr>
                  </w:pPr>
                  <w:r>
                    <w:rPr>
                      <w:b/>
                      <w:color w:val="FF0000"/>
                      <w:sz w:val="20"/>
                      <w:szCs w:val="20"/>
                    </w:rPr>
                    <w:t>CAS</w:t>
                  </w:r>
                  <w:r>
                    <w:rPr>
                      <w:rFonts w:hint="eastAsia"/>
                      <w:b/>
                      <w:color w:val="FF0000"/>
                      <w:sz w:val="20"/>
                      <w:szCs w:val="20"/>
                    </w:rPr>
                    <w:t>号</w:t>
                  </w:r>
                </w:p>
              </w:tc>
              <w:tc>
                <w:tcPr>
                  <w:tcW w:w="2333" w:type="pct"/>
                  <w:tcBorders>
                    <w:top w:val="single" w:color="auto" w:sz="12" w:space="0"/>
                    <w:bottom w:val="single" w:color="auto" w:sz="12" w:space="0"/>
                  </w:tcBorders>
                  <w:noWrap w:val="0"/>
                  <w:vAlign w:val="center"/>
                </w:tcPr>
                <w:p>
                  <w:pPr>
                    <w:jc w:val="center"/>
                    <w:rPr>
                      <w:b/>
                      <w:color w:val="FF0000"/>
                      <w:sz w:val="20"/>
                      <w:szCs w:val="20"/>
                    </w:rPr>
                  </w:pPr>
                  <w:r>
                    <w:rPr>
                      <w:rFonts w:hint="eastAsia"/>
                      <w:b/>
                      <w:color w:val="FF0000"/>
                      <w:sz w:val="20"/>
                      <w:szCs w:val="20"/>
                    </w:rPr>
                    <w:t>理化特性</w:t>
                  </w:r>
                </w:p>
              </w:tc>
              <w:tc>
                <w:tcPr>
                  <w:tcW w:w="408" w:type="pct"/>
                  <w:tcBorders>
                    <w:top w:val="single" w:color="auto" w:sz="12" w:space="0"/>
                    <w:bottom w:val="single" w:color="auto" w:sz="12" w:space="0"/>
                  </w:tcBorders>
                  <w:noWrap w:val="0"/>
                  <w:vAlign w:val="center"/>
                </w:tcPr>
                <w:p>
                  <w:pPr>
                    <w:jc w:val="center"/>
                    <w:rPr>
                      <w:b/>
                      <w:color w:val="FF0000"/>
                      <w:sz w:val="20"/>
                      <w:szCs w:val="20"/>
                    </w:rPr>
                  </w:pPr>
                  <w:r>
                    <w:rPr>
                      <w:rFonts w:hint="eastAsia"/>
                      <w:b/>
                      <w:color w:val="FF0000"/>
                      <w:sz w:val="20"/>
                      <w:szCs w:val="20"/>
                    </w:rPr>
                    <w:t>燃烧爆炸性</w:t>
                  </w:r>
                </w:p>
              </w:tc>
              <w:tc>
                <w:tcPr>
                  <w:tcW w:w="686" w:type="pct"/>
                  <w:tcBorders>
                    <w:top w:val="single" w:color="auto" w:sz="12" w:space="0"/>
                    <w:bottom w:val="single" w:color="auto" w:sz="12" w:space="0"/>
                  </w:tcBorders>
                  <w:noWrap w:val="0"/>
                  <w:vAlign w:val="center"/>
                </w:tcPr>
                <w:p>
                  <w:pPr>
                    <w:jc w:val="center"/>
                    <w:rPr>
                      <w:b/>
                      <w:color w:val="FF0000"/>
                      <w:sz w:val="20"/>
                      <w:szCs w:val="20"/>
                    </w:rPr>
                  </w:pPr>
                  <w:r>
                    <w:rPr>
                      <w:rFonts w:hint="eastAsia"/>
                      <w:b/>
                      <w:color w:val="FF0000"/>
                      <w:sz w:val="20"/>
                      <w:szCs w:val="20"/>
                    </w:rPr>
                    <w:t>毒性毒理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254" w:type="pct"/>
                  <w:tcBorders>
                    <w:top w:val="single" w:color="auto" w:sz="12" w:space="0"/>
                  </w:tcBorders>
                  <w:noWrap w:val="0"/>
                  <w:vAlign w:val="center"/>
                </w:tcPr>
                <w:p>
                  <w:pPr>
                    <w:jc w:val="center"/>
                    <w:rPr>
                      <w:rFonts w:hint="eastAsia" w:eastAsia="宋体"/>
                      <w:bCs/>
                      <w:color w:val="FF0000"/>
                      <w:sz w:val="20"/>
                      <w:szCs w:val="20"/>
                      <w:lang w:eastAsia="zh-CN"/>
                    </w:rPr>
                  </w:pPr>
                  <w:r>
                    <w:rPr>
                      <w:rFonts w:hint="eastAsia"/>
                      <w:bCs/>
                      <w:color w:val="FF0000"/>
                      <w:sz w:val="20"/>
                      <w:szCs w:val="20"/>
                      <w:lang w:val="en-US" w:eastAsia="zh-CN"/>
                    </w:rPr>
                    <w:t>柔软剂</w:t>
                  </w:r>
                </w:p>
              </w:tc>
              <w:tc>
                <w:tcPr>
                  <w:tcW w:w="798" w:type="pct"/>
                  <w:tcBorders>
                    <w:top w:val="single" w:color="auto" w:sz="12" w:space="0"/>
                  </w:tcBorders>
                  <w:noWrap w:val="0"/>
                  <w:vAlign w:val="center"/>
                </w:tcPr>
                <w:p>
                  <w:pPr>
                    <w:jc w:val="center"/>
                    <w:rPr>
                      <w:bCs/>
                      <w:color w:val="FF0000"/>
                      <w:sz w:val="20"/>
                      <w:szCs w:val="20"/>
                    </w:rPr>
                  </w:pPr>
                  <w:r>
                    <w:rPr>
                      <w:bCs/>
                      <w:color w:val="FF0000"/>
                      <w:sz w:val="20"/>
                      <w:szCs w:val="20"/>
                    </w:rPr>
                    <w:t>/</w:t>
                  </w:r>
                </w:p>
              </w:tc>
              <w:tc>
                <w:tcPr>
                  <w:tcW w:w="518" w:type="pct"/>
                  <w:tcBorders>
                    <w:top w:val="single" w:color="auto" w:sz="12" w:space="0"/>
                  </w:tcBorders>
                  <w:noWrap w:val="0"/>
                  <w:vAlign w:val="center"/>
                </w:tcPr>
                <w:p>
                  <w:pPr>
                    <w:jc w:val="center"/>
                    <w:rPr>
                      <w:rFonts w:hint="eastAsia"/>
                      <w:bCs/>
                      <w:color w:val="FF0000"/>
                      <w:sz w:val="20"/>
                      <w:szCs w:val="20"/>
                      <w:lang w:val="en-US" w:eastAsia="zh-CN"/>
                    </w:rPr>
                  </w:pPr>
                  <w:r>
                    <w:rPr>
                      <w:rFonts w:hint="eastAsia"/>
                      <w:bCs/>
                      <w:color w:val="FF0000"/>
                      <w:sz w:val="20"/>
                      <w:szCs w:val="20"/>
                      <w:lang w:val="en-US" w:eastAsia="zh-CN"/>
                    </w:rPr>
                    <w:t>/</w:t>
                  </w:r>
                </w:p>
              </w:tc>
              <w:tc>
                <w:tcPr>
                  <w:tcW w:w="2333" w:type="pct"/>
                  <w:tcBorders>
                    <w:top w:val="single" w:color="auto" w:sz="12" w:space="0"/>
                  </w:tcBorders>
                  <w:noWrap w:val="0"/>
                  <w:vAlign w:val="center"/>
                </w:tcPr>
                <w:p>
                  <w:pPr>
                    <w:jc w:val="center"/>
                    <w:rPr>
                      <w:rFonts w:hint="default"/>
                      <w:bCs/>
                      <w:color w:val="FF0000"/>
                      <w:sz w:val="20"/>
                      <w:szCs w:val="20"/>
                      <w:lang w:val="en-US" w:eastAsia="zh-CN"/>
                    </w:rPr>
                  </w:pPr>
                  <w:r>
                    <w:rPr>
                      <w:rFonts w:hint="eastAsia"/>
                      <w:bCs/>
                      <w:color w:val="FF0000"/>
                      <w:sz w:val="20"/>
                      <w:szCs w:val="20"/>
                      <w:lang w:val="en-US" w:eastAsia="zh-CN"/>
                    </w:rPr>
                    <w:t>外观为乳白色液体，主要成分为15%聚硅氧烷高分子聚合物和85%水，pH 值为 5.0~6.0，热稳定性好，含固量一般为20%–30%</w:t>
                  </w:r>
                  <w:r>
                    <w:rPr>
                      <w:rFonts w:hint="default"/>
                      <w:bCs/>
                      <w:color w:val="FF0000"/>
                      <w:sz w:val="20"/>
                      <w:szCs w:val="20"/>
                      <w:lang w:val="en-US" w:eastAsia="zh-CN"/>
                    </w:rPr>
                    <w:t>‌，‌粘度在25℃时约为300–600 mPa·s</w:t>
                  </w:r>
                </w:p>
              </w:tc>
              <w:tc>
                <w:tcPr>
                  <w:tcW w:w="408" w:type="pct"/>
                  <w:tcBorders>
                    <w:top w:val="single" w:color="auto" w:sz="12" w:space="0"/>
                  </w:tcBorders>
                  <w:noWrap w:val="0"/>
                  <w:vAlign w:val="center"/>
                </w:tcPr>
                <w:p>
                  <w:pPr>
                    <w:jc w:val="center"/>
                    <w:rPr>
                      <w:rFonts w:hint="eastAsia" w:eastAsia="宋体"/>
                      <w:bCs/>
                      <w:color w:val="FF0000"/>
                      <w:sz w:val="20"/>
                      <w:szCs w:val="20"/>
                      <w:lang w:eastAsia="zh-CN"/>
                    </w:rPr>
                  </w:pPr>
                  <w:r>
                    <w:rPr>
                      <w:rFonts w:hint="eastAsia"/>
                      <w:bCs/>
                      <w:color w:val="FF0000"/>
                      <w:sz w:val="20"/>
                      <w:szCs w:val="20"/>
                      <w:lang w:val="en-US" w:eastAsia="zh-CN"/>
                    </w:rPr>
                    <w:t>不燃</w:t>
                  </w:r>
                </w:p>
              </w:tc>
              <w:tc>
                <w:tcPr>
                  <w:tcW w:w="686" w:type="pct"/>
                  <w:tcBorders>
                    <w:top w:val="single" w:color="auto" w:sz="12" w:space="0"/>
                  </w:tcBorders>
                  <w:noWrap w:val="0"/>
                  <w:vAlign w:val="center"/>
                </w:tcPr>
                <w:p>
                  <w:pPr>
                    <w:jc w:val="center"/>
                    <w:rPr>
                      <w:bCs/>
                      <w:color w:val="FF0000"/>
                      <w:sz w:val="20"/>
                      <w:szCs w:val="20"/>
                    </w:rPr>
                  </w:pPr>
                  <w:r>
                    <w:rPr>
                      <w:rFonts w:hint="eastAsia"/>
                      <w:bCs/>
                      <w:color w:val="FF0000"/>
                      <w:sz w:val="20"/>
                      <w:szCs w:val="20"/>
                    </w:rPr>
                    <w:t>无资料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631" w:hRule="atLeast"/>
              </w:trPr>
              <w:tc>
                <w:tcPr>
                  <w:tcW w:w="254" w:type="pct"/>
                  <w:noWrap w:val="0"/>
                  <w:vAlign w:val="center"/>
                </w:tcPr>
                <w:p>
                  <w:pPr>
                    <w:jc w:val="center"/>
                    <w:rPr>
                      <w:bCs/>
                      <w:color w:val="FF0000"/>
                      <w:sz w:val="20"/>
                      <w:szCs w:val="20"/>
                    </w:rPr>
                  </w:pPr>
                  <w:r>
                    <w:rPr>
                      <w:rFonts w:hint="eastAsia"/>
                      <w:bCs/>
                      <w:color w:val="FF0000"/>
                      <w:sz w:val="20"/>
                      <w:szCs w:val="20"/>
                      <w:lang w:val="en-US" w:eastAsia="zh-CN"/>
                    </w:rPr>
                    <w:t>矿物</w:t>
                  </w:r>
                  <w:r>
                    <w:rPr>
                      <w:rFonts w:hint="eastAsia"/>
                      <w:bCs/>
                      <w:color w:val="FF0000"/>
                      <w:sz w:val="20"/>
                      <w:szCs w:val="20"/>
                    </w:rPr>
                    <w:t>油</w:t>
                  </w:r>
                </w:p>
              </w:tc>
              <w:tc>
                <w:tcPr>
                  <w:tcW w:w="798" w:type="pct"/>
                  <w:noWrap w:val="0"/>
                  <w:vAlign w:val="center"/>
                </w:tcPr>
                <w:p>
                  <w:pPr>
                    <w:jc w:val="center"/>
                    <w:rPr>
                      <w:bCs/>
                      <w:color w:val="FF0000"/>
                      <w:sz w:val="20"/>
                      <w:szCs w:val="20"/>
                    </w:rPr>
                  </w:pPr>
                  <w:r>
                    <w:rPr>
                      <w:bCs/>
                      <w:color w:val="FF0000"/>
                      <w:sz w:val="20"/>
                      <w:szCs w:val="20"/>
                    </w:rPr>
                    <w:t>/</w:t>
                  </w:r>
                </w:p>
              </w:tc>
              <w:tc>
                <w:tcPr>
                  <w:tcW w:w="518" w:type="pct"/>
                  <w:noWrap w:val="0"/>
                  <w:vAlign w:val="center"/>
                </w:tcPr>
                <w:p>
                  <w:pPr>
                    <w:jc w:val="center"/>
                    <w:rPr>
                      <w:bCs/>
                      <w:color w:val="FF0000"/>
                      <w:sz w:val="20"/>
                      <w:szCs w:val="20"/>
                    </w:rPr>
                  </w:pPr>
                  <w:r>
                    <w:rPr>
                      <w:bCs/>
                      <w:color w:val="FF0000"/>
                      <w:sz w:val="20"/>
                      <w:szCs w:val="20"/>
                    </w:rPr>
                    <w:t>/</w:t>
                  </w:r>
                </w:p>
              </w:tc>
              <w:tc>
                <w:tcPr>
                  <w:tcW w:w="2333" w:type="pct"/>
                  <w:noWrap w:val="0"/>
                  <w:vAlign w:val="center"/>
                </w:tcPr>
                <w:p>
                  <w:pPr>
                    <w:jc w:val="center"/>
                    <w:rPr>
                      <w:bCs/>
                      <w:color w:val="FF0000"/>
                      <w:sz w:val="20"/>
                      <w:szCs w:val="20"/>
                    </w:rPr>
                  </w:pPr>
                  <w:r>
                    <w:rPr>
                      <w:rFonts w:ascii="Times New Roman" w:hAnsi="Times New Roman" w:eastAsia="宋体" w:cs="Times New Roman"/>
                      <w:bCs/>
                      <w:color w:val="FF0000"/>
                      <w:sz w:val="20"/>
                      <w:szCs w:val="20"/>
                    </w:rPr>
                    <w:t>无色或淡黄色透明油状液体，室温下无味或略带石油气味，加热后气味明显。</w:t>
                  </w:r>
                  <w:r>
                    <w:rPr>
                      <w:rFonts w:hint="default" w:ascii="Times New Roman" w:hAnsi="Times New Roman" w:eastAsia="宋体" w:cs="Times New Roman"/>
                      <w:bCs/>
                      <w:color w:val="FF0000"/>
                      <w:sz w:val="20"/>
                      <w:szCs w:val="20"/>
                    </w:rPr>
                    <w:t>‌密度‌：20℃时约为 ‌0.83–0.90 g/mL‌</w:t>
                  </w:r>
                  <w:r>
                    <w:rPr>
                      <w:rFonts w:hint="eastAsia" w:ascii="Times New Roman" w:hAnsi="Times New Roman" w:eastAsia="宋体" w:cs="Times New Roman"/>
                      <w:bCs/>
                      <w:color w:val="FF0000"/>
                      <w:sz w:val="20"/>
                      <w:szCs w:val="20"/>
                      <w:lang w:eastAsia="zh-CN"/>
                    </w:rPr>
                    <w:t>；</w:t>
                  </w:r>
                  <w:r>
                    <w:rPr>
                      <w:rFonts w:hint="eastAsia" w:ascii="Times New Roman" w:hAnsi="Times New Roman" w:eastAsia="宋体" w:cs="Times New Roman"/>
                      <w:bCs/>
                      <w:color w:val="FF0000"/>
                      <w:sz w:val="20"/>
                      <w:szCs w:val="20"/>
                      <w:lang w:val="en-US" w:eastAsia="zh-CN"/>
                    </w:rPr>
                    <w:t>闪电164-228</w:t>
                  </w:r>
                  <w:r>
                    <w:rPr>
                      <w:rFonts w:hint="default" w:ascii="Times New Roman" w:hAnsi="Times New Roman" w:eastAsia="宋体" w:cs="Times New Roman"/>
                      <w:bCs/>
                      <w:color w:val="FF0000"/>
                      <w:sz w:val="20"/>
                      <w:szCs w:val="20"/>
                    </w:rPr>
                    <w:t>5℃‌，熔点：轻质油约 ‌-24℃ 至 5℃‌，重质油更低（如-15℃）；沸点：轻质油（C10–C20）‌&lt;250℃‌，重质油（C35–C50）‌&gt;400℃‌。‌不溶于水、甘油、冷乙醇‌；‌可溶于苯、乙醚、氯仿、二硫化碳、热乙醇及石油醚‌。</w:t>
                  </w:r>
                </w:p>
              </w:tc>
              <w:tc>
                <w:tcPr>
                  <w:tcW w:w="408" w:type="pct"/>
                  <w:noWrap w:val="0"/>
                  <w:vAlign w:val="center"/>
                </w:tcPr>
                <w:p>
                  <w:pPr>
                    <w:jc w:val="center"/>
                    <w:rPr>
                      <w:rFonts w:ascii="Times New Roman" w:hAnsi="Times New Roman" w:eastAsia="宋体" w:cs="Times New Roman"/>
                      <w:bCs/>
                      <w:color w:val="FF0000"/>
                      <w:sz w:val="20"/>
                      <w:szCs w:val="20"/>
                    </w:rPr>
                  </w:pPr>
                  <w:r>
                    <w:rPr>
                      <w:rFonts w:hint="eastAsia" w:ascii="Times New Roman" w:hAnsi="Times New Roman" w:eastAsia="宋体" w:cs="Times New Roman"/>
                      <w:bCs/>
                      <w:color w:val="FF0000"/>
                      <w:sz w:val="20"/>
                      <w:szCs w:val="20"/>
                    </w:rPr>
                    <w:t>遇明火高热可燃。</w:t>
                  </w:r>
                </w:p>
              </w:tc>
              <w:tc>
                <w:tcPr>
                  <w:tcW w:w="686" w:type="pct"/>
                  <w:noWrap w:val="0"/>
                  <w:vAlign w:val="center"/>
                </w:tcPr>
                <w:p>
                  <w:pPr>
                    <w:jc w:val="center"/>
                    <w:rPr>
                      <w:rFonts w:ascii="Times New Roman" w:hAnsi="Times New Roman" w:eastAsia="宋体" w:cs="Times New Roman"/>
                      <w:bCs/>
                      <w:color w:val="FF0000"/>
                      <w:sz w:val="20"/>
                      <w:szCs w:val="20"/>
                    </w:rPr>
                  </w:pPr>
                  <w:r>
                    <w:rPr>
                      <w:rFonts w:ascii="Times New Roman" w:hAnsi="Times New Roman" w:eastAsia="宋体" w:cs="Times New Roman"/>
                      <w:bCs/>
                      <w:color w:val="FF0000"/>
                      <w:sz w:val="20"/>
                      <w:szCs w:val="20"/>
                    </w:rPr>
                    <w:t>大鼠经口LD50 &gt;5000 mg/kg</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454" w:hRule="atLeast"/>
              </w:trPr>
              <w:tc>
                <w:tcPr>
                  <w:tcW w:w="254" w:type="pct"/>
                  <w:shd w:val="clear" w:color="auto" w:fill="auto"/>
                  <w:noWrap w:val="0"/>
                  <w:vAlign w:val="center"/>
                </w:tcPr>
                <w:p>
                  <w:pPr>
                    <w:jc w:val="center"/>
                    <w:rPr>
                      <w:rFonts w:hint="eastAsia" w:ascii="Times New Roman" w:hAnsi="Times New Roman" w:eastAsia="宋体" w:cs="Times New Roman"/>
                      <w:bCs/>
                      <w:color w:val="FF0000"/>
                      <w:kern w:val="2"/>
                      <w:sz w:val="20"/>
                      <w:szCs w:val="20"/>
                      <w:lang w:val="en-US" w:eastAsia="zh-CN" w:bidi="ar-SA"/>
                    </w:rPr>
                  </w:pPr>
                  <w:r>
                    <w:rPr>
                      <w:rFonts w:hint="eastAsia"/>
                      <w:bCs/>
                      <w:color w:val="FF0000"/>
                      <w:sz w:val="20"/>
                      <w:szCs w:val="20"/>
                    </w:rPr>
                    <w:t>尿素</w:t>
                  </w:r>
                </w:p>
              </w:tc>
              <w:tc>
                <w:tcPr>
                  <w:tcW w:w="798" w:type="pct"/>
                  <w:shd w:val="clear" w:color="auto" w:fill="auto"/>
                  <w:noWrap w:val="0"/>
                  <w:vAlign w:val="center"/>
                </w:tcPr>
                <w:p>
                  <w:pPr>
                    <w:jc w:val="center"/>
                    <w:rPr>
                      <w:rFonts w:hint="eastAsia" w:ascii="Times New Roman" w:hAnsi="Times New Roman" w:eastAsia="宋体" w:cs="Times New Roman"/>
                      <w:bCs/>
                      <w:color w:val="FF0000"/>
                      <w:kern w:val="2"/>
                      <w:sz w:val="20"/>
                      <w:szCs w:val="20"/>
                      <w:lang w:val="en-US" w:eastAsia="zh-CN" w:bidi="ar-SA"/>
                    </w:rPr>
                  </w:pPr>
                  <w:r>
                    <w:rPr>
                      <w:bCs/>
                      <w:color w:val="FF0000"/>
                      <w:sz w:val="20"/>
                      <w:szCs w:val="20"/>
                    </w:rPr>
                    <w:t>CO(NH</w:t>
                  </w:r>
                  <w:r>
                    <w:rPr>
                      <w:bCs/>
                      <w:color w:val="FF0000"/>
                      <w:sz w:val="20"/>
                      <w:szCs w:val="20"/>
                      <w:vertAlign w:val="subscript"/>
                    </w:rPr>
                    <w:t>2</w:t>
                  </w:r>
                  <w:r>
                    <w:rPr>
                      <w:bCs/>
                      <w:color w:val="FF0000"/>
                      <w:sz w:val="20"/>
                      <w:szCs w:val="20"/>
                    </w:rPr>
                    <w:t>)</w:t>
                  </w:r>
                  <w:r>
                    <w:rPr>
                      <w:bCs/>
                      <w:color w:val="FF0000"/>
                      <w:sz w:val="20"/>
                      <w:szCs w:val="20"/>
                      <w:vertAlign w:val="subscript"/>
                    </w:rPr>
                    <w:t>2</w:t>
                  </w:r>
                </w:p>
              </w:tc>
              <w:tc>
                <w:tcPr>
                  <w:tcW w:w="518" w:type="pct"/>
                  <w:shd w:val="clear" w:color="auto" w:fill="auto"/>
                  <w:noWrap w:val="0"/>
                  <w:vAlign w:val="center"/>
                </w:tcPr>
                <w:p>
                  <w:pPr>
                    <w:jc w:val="center"/>
                    <w:rPr>
                      <w:rFonts w:hint="eastAsia" w:ascii="Times New Roman" w:hAnsi="Times New Roman" w:eastAsia="宋体" w:cs="Times New Roman"/>
                      <w:bCs/>
                      <w:color w:val="FF0000"/>
                      <w:kern w:val="2"/>
                      <w:sz w:val="20"/>
                      <w:szCs w:val="20"/>
                      <w:lang w:val="en-US" w:eastAsia="zh-CN" w:bidi="ar-SA"/>
                    </w:rPr>
                  </w:pPr>
                  <w:r>
                    <w:rPr>
                      <w:rFonts w:hint="eastAsia"/>
                      <w:bCs/>
                      <w:color w:val="FF0000"/>
                      <w:sz w:val="20"/>
                      <w:szCs w:val="20"/>
                    </w:rPr>
                    <w:t>57-13-6</w:t>
                  </w:r>
                </w:p>
              </w:tc>
              <w:tc>
                <w:tcPr>
                  <w:tcW w:w="2333" w:type="pct"/>
                  <w:shd w:val="clear" w:color="auto" w:fill="auto"/>
                  <w:noWrap w:val="0"/>
                  <w:vAlign w:val="center"/>
                </w:tcPr>
                <w:p>
                  <w:pPr>
                    <w:jc w:val="center"/>
                    <w:rPr>
                      <w:rFonts w:hint="eastAsia" w:ascii="Times New Roman" w:hAnsi="Times New Roman" w:eastAsia="宋体" w:cs="Times New Roman"/>
                      <w:bCs/>
                      <w:color w:val="FF0000"/>
                      <w:kern w:val="2"/>
                      <w:sz w:val="20"/>
                      <w:szCs w:val="20"/>
                      <w:lang w:val="en-US" w:eastAsia="zh-CN" w:bidi="ar-SA"/>
                    </w:rPr>
                  </w:pPr>
                  <w:r>
                    <w:rPr>
                      <w:rFonts w:hint="eastAsia"/>
                      <w:bCs/>
                      <w:color w:val="FF0000"/>
                      <w:sz w:val="20"/>
                      <w:szCs w:val="20"/>
                    </w:rPr>
                    <w:t>尿素是一种白色晶体，无味无臭，易溶于水、乙醇和苯，微溶于乙醚、氯仿。是哺乳动物和某些鱼类体内蛋白质代谢分解的主要含氮终产物，可以用作化肥、动物饲料、炸药、胶水稳定剂和化工原料等。密度1.335</w:t>
                  </w:r>
                  <w:r>
                    <w:rPr>
                      <w:bCs/>
                      <w:color w:val="FF0000"/>
                      <w:sz w:val="20"/>
                      <w:szCs w:val="20"/>
                    </w:rPr>
                    <w:t>g/</w:t>
                  </w:r>
                  <w:r>
                    <w:rPr>
                      <w:rFonts w:hint="eastAsia"/>
                      <w:bCs/>
                      <w:color w:val="FF0000"/>
                      <w:sz w:val="20"/>
                      <w:szCs w:val="20"/>
                    </w:rPr>
                    <w:t>cm</w:t>
                  </w:r>
                  <w:r>
                    <w:rPr>
                      <w:rFonts w:hint="eastAsia"/>
                      <w:bCs/>
                      <w:color w:val="FF0000"/>
                      <w:sz w:val="20"/>
                      <w:szCs w:val="20"/>
                      <w:vertAlign w:val="superscript"/>
                    </w:rPr>
                    <w:t>3</w:t>
                  </w:r>
                  <w:r>
                    <w:rPr>
                      <w:rFonts w:hint="eastAsia"/>
                      <w:bCs/>
                      <w:color w:val="FF0000"/>
                      <w:sz w:val="20"/>
                      <w:szCs w:val="20"/>
                    </w:rPr>
                    <w:t>，熔</w:t>
                  </w:r>
                  <w:r>
                    <w:rPr>
                      <w:bCs/>
                      <w:color w:val="FF0000"/>
                      <w:sz w:val="20"/>
                      <w:szCs w:val="20"/>
                    </w:rPr>
                    <w:t>点</w:t>
                  </w:r>
                  <w:r>
                    <w:rPr>
                      <w:rFonts w:hint="eastAsia"/>
                      <w:bCs/>
                      <w:color w:val="FF0000"/>
                      <w:sz w:val="20"/>
                      <w:szCs w:val="20"/>
                    </w:rPr>
                    <w:t>131至135</w:t>
                  </w:r>
                  <w:r>
                    <w:rPr>
                      <w:bCs/>
                      <w:color w:val="FF0000"/>
                      <w:sz w:val="20"/>
                      <w:szCs w:val="20"/>
                    </w:rPr>
                    <w:t>℃，沸点</w:t>
                  </w:r>
                  <w:r>
                    <w:rPr>
                      <w:rFonts w:hint="eastAsia"/>
                      <w:bCs/>
                      <w:color w:val="FF0000"/>
                      <w:sz w:val="20"/>
                      <w:szCs w:val="20"/>
                    </w:rPr>
                    <w:t>332.48</w:t>
                  </w:r>
                  <w:r>
                    <w:rPr>
                      <w:bCs/>
                      <w:color w:val="FF0000"/>
                      <w:sz w:val="20"/>
                      <w:szCs w:val="20"/>
                    </w:rPr>
                    <w:t>℃。</w:t>
                  </w:r>
                </w:p>
              </w:tc>
              <w:tc>
                <w:tcPr>
                  <w:tcW w:w="408" w:type="pct"/>
                  <w:shd w:val="clear" w:color="auto" w:fill="auto"/>
                  <w:noWrap w:val="0"/>
                  <w:vAlign w:val="center"/>
                </w:tcPr>
                <w:p>
                  <w:pPr>
                    <w:jc w:val="center"/>
                    <w:rPr>
                      <w:rFonts w:hint="eastAsia" w:ascii="Times New Roman" w:hAnsi="Times New Roman" w:eastAsia="宋体" w:cs="Times New Roman"/>
                      <w:bCs/>
                      <w:color w:val="FF0000"/>
                      <w:kern w:val="2"/>
                      <w:sz w:val="20"/>
                      <w:szCs w:val="20"/>
                      <w:lang w:val="en-US" w:eastAsia="zh-CN" w:bidi="ar-SA"/>
                    </w:rPr>
                  </w:pPr>
                  <w:r>
                    <w:rPr>
                      <w:rFonts w:hint="eastAsia"/>
                      <w:bCs/>
                      <w:color w:val="FF0000"/>
                      <w:sz w:val="20"/>
                      <w:szCs w:val="20"/>
                    </w:rPr>
                    <w:t>不易燃易爆</w:t>
                  </w:r>
                </w:p>
              </w:tc>
              <w:tc>
                <w:tcPr>
                  <w:tcW w:w="686" w:type="pct"/>
                  <w:shd w:val="clear" w:color="auto" w:fill="auto"/>
                  <w:noWrap w:val="0"/>
                  <w:vAlign w:val="center"/>
                </w:tcPr>
                <w:p>
                  <w:pPr>
                    <w:jc w:val="center"/>
                    <w:rPr>
                      <w:rFonts w:hint="eastAsia" w:ascii="Times New Roman" w:hAnsi="Times New Roman" w:eastAsia="宋体" w:cs="Times New Roman"/>
                      <w:bCs/>
                      <w:color w:val="FF0000"/>
                      <w:kern w:val="2"/>
                      <w:sz w:val="20"/>
                      <w:szCs w:val="20"/>
                      <w:lang w:val="en-US" w:eastAsia="zh-CN" w:bidi="ar-SA"/>
                    </w:rPr>
                  </w:pPr>
                  <w:r>
                    <w:rPr>
                      <w:bCs/>
                      <w:color w:val="FF0000"/>
                      <w:sz w:val="20"/>
                      <w:szCs w:val="20"/>
                    </w:rPr>
                    <w:t>LD50</w:t>
                  </w:r>
                  <w:r>
                    <w:rPr>
                      <w:rFonts w:hint="eastAsia"/>
                      <w:bCs/>
                      <w:color w:val="FF0000"/>
                      <w:sz w:val="20"/>
                      <w:szCs w:val="20"/>
                    </w:rPr>
                    <w:t>：8-15</w:t>
                  </w:r>
                  <w:r>
                    <w:rPr>
                      <w:bCs/>
                      <w:color w:val="FF0000"/>
                      <w:sz w:val="20"/>
                      <w:szCs w:val="20"/>
                    </w:rPr>
                    <w:t>g/kg</w:t>
                  </w:r>
                  <w:r>
                    <w:rPr>
                      <w:rFonts w:hint="eastAsia"/>
                      <w:bCs/>
                      <w:color w:val="FF0000"/>
                      <w:sz w:val="20"/>
                      <w:szCs w:val="20"/>
                    </w:rPr>
                    <w:t>（大鼠经口）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254" w:type="pct"/>
                  <w:shd w:val="clear" w:color="auto" w:fill="auto"/>
                  <w:noWrap w:val="0"/>
                  <w:vAlign w:val="center"/>
                </w:tcPr>
                <w:p>
                  <w:pPr>
                    <w:jc w:val="center"/>
                    <w:rPr>
                      <w:rFonts w:hint="eastAsia" w:eastAsia="宋体"/>
                      <w:bCs/>
                      <w:color w:val="FF0000"/>
                      <w:sz w:val="20"/>
                      <w:szCs w:val="20"/>
                      <w:lang w:val="en-US" w:eastAsia="zh-CN"/>
                    </w:rPr>
                  </w:pPr>
                  <w:bookmarkStart w:id="8" w:name="_Hlk199147833"/>
                  <w:bookmarkStart w:id="9" w:name="_Hlk200375531"/>
                  <w:r>
                    <w:rPr>
                      <w:rFonts w:hint="eastAsia"/>
                      <w:bCs/>
                      <w:color w:val="FF0000"/>
                      <w:sz w:val="20"/>
                      <w:szCs w:val="20"/>
                      <w:lang w:val="en-US" w:eastAsia="zh-CN"/>
                    </w:rPr>
                    <w:t>汞</w:t>
                  </w:r>
                </w:p>
              </w:tc>
              <w:tc>
                <w:tcPr>
                  <w:tcW w:w="798" w:type="pct"/>
                  <w:shd w:val="clear" w:color="auto" w:fill="auto"/>
                  <w:noWrap w:val="0"/>
                  <w:vAlign w:val="center"/>
                </w:tcPr>
                <w:p>
                  <w:pPr>
                    <w:jc w:val="center"/>
                    <w:rPr>
                      <w:rFonts w:hint="default" w:eastAsia="宋体"/>
                      <w:bCs/>
                      <w:color w:val="FF0000"/>
                      <w:sz w:val="20"/>
                      <w:szCs w:val="20"/>
                      <w:lang w:val="en-US" w:eastAsia="zh-CN"/>
                    </w:rPr>
                  </w:pPr>
                  <w:r>
                    <w:rPr>
                      <w:rFonts w:hint="eastAsia"/>
                      <w:bCs/>
                      <w:color w:val="FF0000"/>
                      <w:sz w:val="20"/>
                      <w:szCs w:val="20"/>
                      <w:lang w:val="en-US" w:eastAsia="zh-CN"/>
                    </w:rPr>
                    <w:t>Hg</w:t>
                  </w:r>
                </w:p>
              </w:tc>
              <w:tc>
                <w:tcPr>
                  <w:tcW w:w="518" w:type="pct"/>
                  <w:shd w:val="clear" w:color="auto" w:fill="auto"/>
                  <w:noWrap w:val="0"/>
                  <w:vAlign w:val="center"/>
                </w:tcPr>
                <w:p>
                  <w:pPr>
                    <w:jc w:val="center"/>
                    <w:rPr>
                      <w:rFonts w:hint="default" w:eastAsia="宋体"/>
                      <w:bCs/>
                      <w:color w:val="FF0000"/>
                      <w:sz w:val="20"/>
                      <w:szCs w:val="20"/>
                      <w:lang w:val="en-US" w:eastAsia="zh-CN"/>
                    </w:rPr>
                  </w:pPr>
                  <w:r>
                    <w:rPr>
                      <w:rFonts w:hint="eastAsia"/>
                      <w:bCs/>
                      <w:color w:val="FF0000"/>
                      <w:sz w:val="20"/>
                      <w:szCs w:val="20"/>
                      <w:lang w:val="en-US" w:eastAsia="zh-CN"/>
                    </w:rPr>
                    <w:t>7439-96-6</w:t>
                  </w:r>
                </w:p>
              </w:tc>
              <w:tc>
                <w:tcPr>
                  <w:tcW w:w="2333" w:type="pct"/>
                  <w:shd w:val="clear" w:color="auto" w:fill="auto"/>
                  <w:noWrap w:val="0"/>
                  <w:vAlign w:val="center"/>
                </w:tcPr>
                <w:p>
                  <w:pPr>
                    <w:jc w:val="center"/>
                    <w:rPr>
                      <w:rFonts w:hint="eastAsia"/>
                      <w:bCs/>
                      <w:color w:val="FF0000"/>
                      <w:sz w:val="20"/>
                      <w:szCs w:val="20"/>
                    </w:rPr>
                  </w:pPr>
                  <w:r>
                    <w:rPr>
                      <w:rFonts w:hint="eastAsia"/>
                      <w:bCs/>
                      <w:color w:val="FF0000"/>
                      <w:sz w:val="20"/>
                      <w:szCs w:val="20"/>
                    </w:rPr>
                    <w:t>在常温常压下为‌银白色液态金属‌，熔点-38.87℃，沸点356.6℃，密度13.59 g/cm³，蒸气压低，水溶性极微</w:t>
                  </w:r>
                </w:p>
              </w:tc>
              <w:tc>
                <w:tcPr>
                  <w:tcW w:w="408" w:type="pct"/>
                  <w:shd w:val="clear" w:color="auto" w:fill="auto"/>
                  <w:noWrap w:val="0"/>
                  <w:vAlign w:val="center"/>
                </w:tcPr>
                <w:p>
                  <w:pPr>
                    <w:jc w:val="center"/>
                    <w:rPr>
                      <w:rFonts w:hint="eastAsia"/>
                      <w:bCs/>
                      <w:color w:val="FF0000"/>
                      <w:sz w:val="20"/>
                      <w:szCs w:val="20"/>
                    </w:rPr>
                  </w:pPr>
                  <w:r>
                    <w:rPr>
                      <w:rFonts w:hint="eastAsia"/>
                      <w:bCs/>
                      <w:color w:val="FF0000"/>
                      <w:sz w:val="20"/>
                      <w:szCs w:val="20"/>
                    </w:rPr>
                    <w:t>不易燃易爆</w:t>
                  </w:r>
                </w:p>
              </w:tc>
              <w:tc>
                <w:tcPr>
                  <w:tcW w:w="686" w:type="pct"/>
                  <w:shd w:val="clear" w:color="auto" w:fill="auto"/>
                  <w:noWrap w:val="0"/>
                  <w:vAlign w:val="center"/>
                </w:tcPr>
                <w:p>
                  <w:pPr>
                    <w:jc w:val="center"/>
                    <w:rPr>
                      <w:rFonts w:hint="eastAsia" w:eastAsia="宋体"/>
                      <w:bCs/>
                      <w:color w:val="FF0000"/>
                      <w:sz w:val="20"/>
                      <w:szCs w:val="20"/>
                      <w:lang w:val="en-US" w:eastAsia="zh-CN"/>
                    </w:rPr>
                  </w:pPr>
                  <w:r>
                    <w:rPr>
                      <w:rFonts w:hint="eastAsia"/>
                      <w:bCs/>
                      <w:color w:val="FF0000"/>
                      <w:sz w:val="20"/>
                      <w:szCs w:val="20"/>
                      <w:lang w:val="en-US" w:eastAsia="zh-CN"/>
                    </w:rPr>
                    <w:t>剧毒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254" w:type="pct"/>
                  <w:shd w:val="clear" w:color="auto" w:fill="auto"/>
                  <w:noWrap w:val="0"/>
                  <w:vAlign w:val="center"/>
                </w:tcPr>
                <w:p>
                  <w:pPr>
                    <w:jc w:val="center"/>
                    <w:rPr>
                      <w:rFonts w:hint="default"/>
                      <w:bCs/>
                      <w:color w:val="FF0000"/>
                      <w:sz w:val="20"/>
                      <w:szCs w:val="20"/>
                      <w:lang w:val="en-US" w:eastAsia="zh-CN"/>
                    </w:rPr>
                  </w:pPr>
                  <w:r>
                    <w:rPr>
                      <w:rFonts w:hint="eastAsia"/>
                      <w:bCs/>
                      <w:color w:val="FF0000"/>
                      <w:sz w:val="20"/>
                      <w:szCs w:val="20"/>
                      <w:lang w:val="en-US" w:eastAsia="zh-CN"/>
                    </w:rPr>
                    <w:t>生石灰</w:t>
                  </w:r>
                </w:p>
              </w:tc>
              <w:tc>
                <w:tcPr>
                  <w:tcW w:w="798" w:type="pct"/>
                  <w:shd w:val="clear" w:color="auto" w:fill="auto"/>
                  <w:noWrap w:val="0"/>
                  <w:vAlign w:val="center"/>
                </w:tcPr>
                <w:p>
                  <w:pPr>
                    <w:jc w:val="center"/>
                    <w:rPr>
                      <w:rFonts w:hint="default"/>
                      <w:bCs/>
                      <w:color w:val="FF0000"/>
                      <w:sz w:val="20"/>
                      <w:szCs w:val="20"/>
                      <w:lang w:val="en-US" w:eastAsia="zh-CN"/>
                    </w:rPr>
                  </w:pPr>
                  <w:r>
                    <w:rPr>
                      <w:rFonts w:hint="eastAsia"/>
                      <w:bCs/>
                      <w:color w:val="FF0000"/>
                      <w:sz w:val="20"/>
                      <w:szCs w:val="20"/>
                      <w:lang w:val="en-US" w:eastAsia="zh-CN"/>
                    </w:rPr>
                    <w:t>CaO</w:t>
                  </w:r>
                </w:p>
              </w:tc>
              <w:tc>
                <w:tcPr>
                  <w:tcW w:w="518" w:type="pct"/>
                  <w:shd w:val="clear" w:color="auto" w:fill="auto"/>
                  <w:noWrap w:val="0"/>
                  <w:vAlign w:val="center"/>
                </w:tcPr>
                <w:p>
                  <w:pPr>
                    <w:jc w:val="center"/>
                    <w:rPr>
                      <w:rFonts w:hint="eastAsia"/>
                      <w:bCs/>
                      <w:color w:val="FF0000"/>
                      <w:sz w:val="20"/>
                      <w:szCs w:val="20"/>
                      <w:lang w:val="en-US" w:eastAsia="zh-CN"/>
                    </w:rPr>
                  </w:pPr>
                  <w:r>
                    <w:rPr>
                      <w:rFonts w:hint="eastAsia"/>
                      <w:bCs/>
                      <w:color w:val="FF0000"/>
                      <w:sz w:val="20"/>
                      <w:szCs w:val="20"/>
                      <w:lang w:val="en-US" w:eastAsia="zh-CN"/>
                    </w:rPr>
                    <w:t>1305-78-8</w:t>
                  </w:r>
                </w:p>
              </w:tc>
              <w:tc>
                <w:tcPr>
                  <w:tcW w:w="2333" w:type="pct"/>
                  <w:shd w:val="clear" w:color="auto" w:fill="auto"/>
                  <w:noWrap w:val="0"/>
                  <w:vAlign w:val="center"/>
                </w:tcPr>
                <w:p>
                  <w:pPr>
                    <w:jc w:val="center"/>
                    <w:rPr>
                      <w:rFonts w:hint="eastAsia"/>
                      <w:bCs/>
                      <w:color w:val="FF0000"/>
                      <w:sz w:val="20"/>
                      <w:szCs w:val="20"/>
                    </w:rPr>
                  </w:pPr>
                  <w:r>
                    <w:rPr>
                      <w:rFonts w:hint="eastAsia"/>
                      <w:bCs/>
                      <w:color w:val="FF0000"/>
                      <w:sz w:val="20"/>
                      <w:szCs w:val="20"/>
                    </w:rPr>
                    <w:t>白色至灰色固体粉末，化学式CaO，密度3.35 g/cm</w:t>
                  </w:r>
                  <w:r>
                    <w:rPr>
                      <w:rFonts w:hint="eastAsia"/>
                      <w:bCs/>
                      <w:color w:val="FF0000"/>
                      <w:sz w:val="20"/>
                      <w:szCs w:val="20"/>
                      <w:vertAlign w:val="superscript"/>
                      <w:lang w:val="en-US" w:eastAsia="zh-CN"/>
                    </w:rPr>
                    <w:t>2</w:t>
                  </w:r>
                  <w:r>
                    <w:rPr>
                      <w:rFonts w:hint="eastAsia"/>
                      <w:bCs/>
                      <w:color w:val="FF0000"/>
                      <w:sz w:val="20"/>
                      <w:szCs w:val="20"/>
                    </w:rPr>
                    <w:t>，熔点2572℃，沸点2850℃。不溶于乙醇，溶于甘油、酸，具有吸湿性，与水反应，生成微溶的氢氧化钙。</w:t>
                  </w:r>
                </w:p>
              </w:tc>
              <w:tc>
                <w:tcPr>
                  <w:tcW w:w="408" w:type="pct"/>
                  <w:shd w:val="clear" w:color="auto" w:fill="auto"/>
                  <w:noWrap w:val="0"/>
                  <w:vAlign w:val="center"/>
                </w:tcPr>
                <w:p>
                  <w:pPr>
                    <w:jc w:val="center"/>
                    <w:rPr>
                      <w:rFonts w:hint="eastAsia" w:eastAsia="宋体"/>
                      <w:bCs/>
                      <w:color w:val="FF0000"/>
                      <w:sz w:val="20"/>
                      <w:szCs w:val="20"/>
                      <w:lang w:val="en-US" w:eastAsia="zh-CN"/>
                    </w:rPr>
                  </w:pPr>
                  <w:r>
                    <w:rPr>
                      <w:rFonts w:hint="eastAsia"/>
                      <w:bCs/>
                      <w:color w:val="FF0000"/>
                      <w:sz w:val="20"/>
                      <w:szCs w:val="20"/>
                      <w:lang w:val="en-US" w:eastAsia="zh-CN"/>
                    </w:rPr>
                    <w:t>不可燃</w:t>
                  </w:r>
                </w:p>
              </w:tc>
              <w:tc>
                <w:tcPr>
                  <w:tcW w:w="686" w:type="pct"/>
                  <w:shd w:val="clear" w:color="auto" w:fill="auto"/>
                  <w:noWrap w:val="0"/>
                  <w:vAlign w:val="center"/>
                </w:tcPr>
                <w:p>
                  <w:pPr>
                    <w:jc w:val="center"/>
                    <w:rPr>
                      <w:rFonts w:hint="default"/>
                      <w:bCs/>
                      <w:color w:val="FF0000"/>
                      <w:sz w:val="20"/>
                      <w:szCs w:val="20"/>
                      <w:lang w:val="en-US" w:eastAsia="zh-CN"/>
                    </w:rPr>
                  </w:pPr>
                  <w:r>
                    <w:rPr>
                      <w:rFonts w:hint="eastAsia"/>
                      <w:bCs/>
                      <w:color w:val="FF0000"/>
                      <w:sz w:val="20"/>
                      <w:szCs w:val="20"/>
                      <w:lang w:val="en-US" w:eastAsia="zh-CN"/>
                    </w:rPr>
                    <w:t>有毒</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eastAsia="宋体"/>
                <w:b/>
                <w:bCs/>
                <w:color w:val="FF0000"/>
                <w:sz w:val="18"/>
                <w:szCs w:val="18"/>
                <w:lang w:val="en-US" w:eastAsia="zh-CN"/>
              </w:rPr>
            </w:pPr>
            <w:r>
              <w:rPr>
                <w:rFonts w:hint="eastAsia"/>
                <w:b/>
                <w:bCs/>
                <w:color w:val="FF0000"/>
                <w:sz w:val="18"/>
                <w:szCs w:val="18"/>
                <w:lang w:val="en-US" w:eastAsia="zh-CN"/>
              </w:rPr>
              <w:t>注：评价因子的选择是根据建设项目的特点、环境影响的主要特征，结合区域环境功能要求、环境保护目标、评价标准和环境制约因素从而筛选确定；本项目涉及生物质锅炉，</w:t>
            </w:r>
            <w:r>
              <w:rPr>
                <w:rFonts w:hint="eastAsia" w:ascii="Times New Roman" w:hAnsi="Times New Roman" w:eastAsia="宋体" w:cs="Times New Roman"/>
                <w:b/>
                <w:bCs/>
                <w:color w:val="FF0000"/>
                <w:sz w:val="18"/>
                <w:szCs w:val="18"/>
                <w:lang w:val="en-US" w:eastAsia="zh-CN"/>
              </w:rPr>
              <w:t>根据</w:t>
            </w:r>
            <w:r>
              <w:rPr>
                <w:b/>
                <w:bCs/>
                <w:color w:val="FF0000"/>
                <w:kern w:val="24"/>
                <w:sz w:val="18"/>
                <w:szCs w:val="21"/>
              </w:rPr>
              <w:t>《</w:t>
            </w:r>
            <w:r>
              <w:rPr>
                <w:rFonts w:hint="eastAsia" w:ascii="Times New Roman" w:hAnsi="Times New Roman" w:eastAsia="宋体" w:cs="Times New Roman"/>
                <w:b/>
                <w:bCs/>
                <w:color w:val="FF0000"/>
                <w:sz w:val="18"/>
                <w:szCs w:val="18"/>
                <w:lang w:val="en-US" w:eastAsia="zh-CN"/>
              </w:rPr>
              <w:t>锅炉大气污染物排放标准》（DB32/4385-2022）表1</w:t>
            </w:r>
            <w:r>
              <w:rPr>
                <w:rFonts w:hint="eastAsia"/>
                <w:b/>
                <w:bCs/>
                <w:color w:val="FF0000"/>
                <w:kern w:val="24"/>
                <w:sz w:val="18"/>
                <w:szCs w:val="21"/>
              </w:rPr>
              <w:t>中城市建成区燃生物质锅炉排放浓度限值</w:t>
            </w:r>
            <w:r>
              <w:rPr>
                <w:rFonts w:hint="eastAsia"/>
                <w:b/>
                <w:bCs/>
                <w:color w:val="FF0000"/>
                <w:kern w:val="24"/>
                <w:sz w:val="18"/>
                <w:szCs w:val="21"/>
                <w:lang w:val="en-US" w:eastAsia="zh-CN"/>
              </w:rPr>
              <w:t>提及汞因子</w:t>
            </w:r>
            <w:r>
              <w:rPr>
                <w:rFonts w:hint="eastAsia"/>
                <w:b/>
                <w:bCs/>
                <w:color w:val="FF0000"/>
                <w:kern w:val="24"/>
                <w:sz w:val="18"/>
                <w:szCs w:val="21"/>
                <w:lang w:eastAsia="zh-CN"/>
              </w:rPr>
              <w:t>，</w:t>
            </w:r>
            <w:r>
              <w:rPr>
                <w:rFonts w:hint="eastAsia"/>
                <w:b/>
                <w:bCs/>
                <w:color w:val="FF0000"/>
                <w:kern w:val="24"/>
                <w:sz w:val="18"/>
                <w:szCs w:val="21"/>
                <w:lang w:val="en-US" w:eastAsia="zh-CN"/>
              </w:rPr>
              <w:t>因此本项目废气因子考虑汞。</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rFonts w:hint="eastAsia" w:eastAsia="宋体"/>
                <w:b/>
                <w:lang w:val="en-US" w:eastAsia="zh-CN"/>
              </w:rPr>
            </w:pPr>
            <w:r>
              <w:rPr>
                <w:rFonts w:hint="eastAsia"/>
                <w:b/>
                <w:bCs/>
                <w:color w:val="auto"/>
                <w:szCs w:val="21"/>
              </w:rPr>
              <w:t>2.4 主要生产</w:t>
            </w:r>
            <w:r>
              <w:rPr>
                <w:rFonts w:hint="eastAsia"/>
                <w:b/>
                <w:bCs/>
                <w:color w:val="auto"/>
                <w:szCs w:val="21"/>
                <w:lang w:val="en-US" w:eastAsia="zh-CN"/>
              </w:rPr>
              <w:t>设备</w:t>
            </w:r>
          </w:p>
          <w:p>
            <w:pPr>
              <w:pStyle w:val="36"/>
              <w:keepNext w:val="0"/>
              <w:keepLines w:val="0"/>
              <w:pageBreakBefore w:val="0"/>
              <w:kinsoku/>
              <w:wordWrap/>
              <w:overflowPunct/>
              <w:topLinePunct w:val="0"/>
              <w:bidi w:val="0"/>
              <w:snapToGrid w:val="0"/>
              <w:spacing w:before="0" w:after="0" w:line="360" w:lineRule="auto"/>
              <w:ind w:right="0" w:firstLine="420" w:firstLineChars="200"/>
              <w:textAlignment w:val="auto"/>
              <w:rPr>
                <w:rFonts w:hint="eastAsia"/>
                <w:kern w:val="2"/>
                <w:sz w:val="21"/>
                <w:szCs w:val="21"/>
              </w:rPr>
            </w:pPr>
            <w:r>
              <w:rPr>
                <w:rFonts w:hint="eastAsia"/>
                <w:kern w:val="2"/>
                <w:sz w:val="21"/>
                <w:szCs w:val="21"/>
              </w:rPr>
              <w:t>本项目主要设备见表2-</w:t>
            </w:r>
            <w:r>
              <w:rPr>
                <w:rFonts w:hint="eastAsia"/>
                <w:kern w:val="2"/>
                <w:sz w:val="21"/>
                <w:szCs w:val="21"/>
                <w:lang w:val="en-US" w:eastAsia="zh-CN"/>
              </w:rPr>
              <w:t>6</w:t>
            </w:r>
            <w:r>
              <w:rPr>
                <w:rFonts w:hint="eastAsia"/>
                <w:kern w:val="2"/>
                <w:sz w:val="21"/>
                <w:szCs w:val="21"/>
              </w:rPr>
              <w:t>。</w:t>
            </w:r>
          </w:p>
          <w:p>
            <w:pPr>
              <w:keepNext w:val="0"/>
              <w:keepLines w:val="0"/>
              <w:pageBreakBefore w:val="0"/>
              <w:kinsoku/>
              <w:wordWrap/>
              <w:overflowPunct/>
              <w:topLinePunct w:val="0"/>
              <w:bidi w:val="0"/>
              <w:adjustRightInd w:val="0"/>
              <w:snapToGrid w:val="0"/>
              <w:spacing w:line="360" w:lineRule="auto"/>
              <w:jc w:val="center"/>
              <w:textAlignment w:val="auto"/>
              <w:rPr>
                <w:b/>
                <w:color w:val="FF0000"/>
              </w:rPr>
            </w:pPr>
            <w:r>
              <w:rPr>
                <w:b/>
                <w:color w:val="FF0000"/>
              </w:rPr>
              <w:t>表</w:t>
            </w:r>
            <w:r>
              <w:rPr>
                <w:rFonts w:hint="eastAsia"/>
                <w:b/>
                <w:color w:val="FF0000"/>
              </w:rPr>
              <w:t>2-</w:t>
            </w:r>
            <w:r>
              <w:rPr>
                <w:rFonts w:hint="eastAsia"/>
                <w:b/>
                <w:color w:val="FF0000"/>
                <w:lang w:val="en-US" w:eastAsia="zh-CN"/>
              </w:rPr>
              <w:t>6</w:t>
            </w:r>
            <w:r>
              <w:rPr>
                <w:rFonts w:hint="eastAsia"/>
                <w:b/>
                <w:color w:val="FF0000"/>
              </w:rPr>
              <w:t xml:space="preserve">  项目</w:t>
            </w:r>
            <w:r>
              <w:rPr>
                <w:b/>
                <w:color w:val="FF0000"/>
              </w:rPr>
              <w:t>主要设备表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9"/>
              <w:gridCol w:w="1855"/>
              <w:gridCol w:w="1841"/>
              <w:gridCol w:w="1189"/>
              <w:gridCol w:w="1390"/>
              <w:gridCol w:w="138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tcBorders>
                    <w:bottom w:val="single" w:color="auto" w:sz="12" w:space="0"/>
                  </w:tcBorders>
                  <w:noWrap w:val="0"/>
                  <w:vAlign w:val="center"/>
                </w:tcPr>
                <w:p>
                  <w:pPr>
                    <w:widowControl/>
                    <w:jc w:val="center"/>
                    <w:rPr>
                      <w:b/>
                      <w:bCs/>
                      <w:color w:val="FF0000"/>
                      <w:kern w:val="0"/>
                      <w:sz w:val="20"/>
                      <w:szCs w:val="20"/>
                    </w:rPr>
                  </w:pPr>
                  <w:r>
                    <w:rPr>
                      <w:b/>
                      <w:bCs/>
                      <w:color w:val="FF0000"/>
                      <w:kern w:val="0"/>
                      <w:sz w:val="20"/>
                      <w:szCs w:val="20"/>
                    </w:rPr>
                    <w:t>序号</w:t>
                  </w:r>
                </w:p>
              </w:tc>
              <w:tc>
                <w:tcPr>
                  <w:tcW w:w="1099" w:type="pct"/>
                  <w:tcBorders>
                    <w:bottom w:val="single" w:color="auto" w:sz="12" w:space="0"/>
                  </w:tcBorders>
                  <w:noWrap w:val="0"/>
                  <w:vAlign w:val="center"/>
                </w:tcPr>
                <w:p>
                  <w:pPr>
                    <w:widowControl/>
                    <w:jc w:val="center"/>
                    <w:rPr>
                      <w:b/>
                      <w:bCs/>
                      <w:color w:val="FF0000"/>
                      <w:kern w:val="0"/>
                      <w:sz w:val="20"/>
                      <w:szCs w:val="20"/>
                    </w:rPr>
                  </w:pPr>
                  <w:r>
                    <w:rPr>
                      <w:b/>
                      <w:bCs/>
                      <w:color w:val="FF0000"/>
                      <w:kern w:val="0"/>
                      <w:sz w:val="20"/>
                      <w:szCs w:val="20"/>
                    </w:rPr>
                    <w:t>名称</w:t>
                  </w:r>
                </w:p>
              </w:tc>
              <w:tc>
                <w:tcPr>
                  <w:tcW w:w="1090" w:type="pct"/>
                  <w:tcBorders>
                    <w:bottom w:val="single" w:color="auto" w:sz="12" w:space="0"/>
                  </w:tcBorders>
                  <w:noWrap w:val="0"/>
                  <w:vAlign w:val="center"/>
                </w:tcPr>
                <w:p>
                  <w:pPr>
                    <w:widowControl/>
                    <w:jc w:val="center"/>
                    <w:rPr>
                      <w:b/>
                      <w:bCs/>
                      <w:color w:val="FF0000"/>
                      <w:kern w:val="0"/>
                      <w:sz w:val="20"/>
                      <w:szCs w:val="20"/>
                    </w:rPr>
                  </w:pPr>
                  <w:r>
                    <w:rPr>
                      <w:b/>
                      <w:bCs/>
                      <w:color w:val="FF0000"/>
                      <w:kern w:val="0"/>
                      <w:sz w:val="20"/>
                      <w:szCs w:val="20"/>
                    </w:rPr>
                    <w:t>规格（型号）</w:t>
                  </w:r>
                </w:p>
              </w:tc>
              <w:tc>
                <w:tcPr>
                  <w:tcW w:w="704" w:type="pct"/>
                  <w:tcBorders>
                    <w:bottom w:val="single" w:color="auto" w:sz="12" w:space="0"/>
                  </w:tcBorders>
                  <w:noWrap w:val="0"/>
                  <w:vAlign w:val="center"/>
                </w:tcPr>
                <w:p>
                  <w:pPr>
                    <w:widowControl/>
                    <w:jc w:val="center"/>
                    <w:rPr>
                      <w:b/>
                      <w:bCs/>
                      <w:color w:val="FF0000"/>
                      <w:kern w:val="0"/>
                      <w:sz w:val="20"/>
                      <w:szCs w:val="20"/>
                    </w:rPr>
                  </w:pPr>
                  <w:r>
                    <w:rPr>
                      <w:b/>
                      <w:bCs/>
                      <w:color w:val="FF0000"/>
                      <w:kern w:val="0"/>
                      <w:sz w:val="20"/>
                      <w:szCs w:val="20"/>
                    </w:rPr>
                    <w:t>数量（台/套）</w:t>
                  </w:r>
                </w:p>
              </w:tc>
              <w:tc>
                <w:tcPr>
                  <w:tcW w:w="823" w:type="pct"/>
                  <w:tcBorders>
                    <w:bottom w:val="single" w:color="auto" w:sz="12" w:space="0"/>
                  </w:tcBorders>
                  <w:noWrap w:val="0"/>
                  <w:vAlign w:val="center"/>
                </w:tcPr>
                <w:p>
                  <w:pPr>
                    <w:widowControl/>
                    <w:jc w:val="center"/>
                    <w:rPr>
                      <w:b/>
                      <w:bCs/>
                      <w:color w:val="FF0000"/>
                      <w:kern w:val="0"/>
                      <w:sz w:val="20"/>
                      <w:szCs w:val="20"/>
                    </w:rPr>
                  </w:pPr>
                  <w:r>
                    <w:rPr>
                      <w:b/>
                      <w:bCs/>
                      <w:color w:val="FF0000"/>
                      <w:kern w:val="0"/>
                      <w:sz w:val="20"/>
                      <w:szCs w:val="20"/>
                    </w:rPr>
                    <w:t>工序</w:t>
                  </w:r>
                </w:p>
              </w:tc>
              <w:tc>
                <w:tcPr>
                  <w:tcW w:w="821" w:type="pct"/>
                  <w:tcBorders>
                    <w:bottom w:val="single" w:color="auto" w:sz="12" w:space="0"/>
                  </w:tcBorders>
                  <w:noWrap w:val="0"/>
                  <w:vAlign w:val="center"/>
                </w:tcPr>
                <w:p>
                  <w:pPr>
                    <w:widowControl/>
                    <w:jc w:val="center"/>
                    <w:rPr>
                      <w:b/>
                      <w:bCs/>
                      <w:color w:val="FF0000"/>
                      <w:kern w:val="0"/>
                      <w:sz w:val="20"/>
                      <w:szCs w:val="20"/>
                    </w:rPr>
                  </w:pPr>
                  <w:r>
                    <w:rPr>
                      <w:b/>
                      <w:bCs/>
                      <w:color w:val="FF0000"/>
                      <w:kern w:val="0"/>
                      <w:sz w:val="20"/>
                      <w:szCs w:val="20"/>
                    </w:rPr>
                    <w:t>所在位置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tcBorders>
                    <w:top w:val="single" w:color="auto" w:sz="12" w:space="0"/>
                  </w:tcBorders>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1</w:t>
                  </w:r>
                </w:p>
              </w:tc>
              <w:tc>
                <w:tcPr>
                  <w:tcW w:w="1099" w:type="pct"/>
                  <w:tcBorders>
                    <w:top w:val="single" w:color="auto" w:sz="12" w:space="0"/>
                  </w:tcBorders>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定型机</w:t>
                  </w:r>
                </w:p>
              </w:tc>
              <w:tc>
                <w:tcPr>
                  <w:tcW w:w="1090" w:type="pct"/>
                  <w:tcBorders>
                    <w:top w:val="single" w:color="auto" w:sz="12" w:space="0"/>
                  </w:tcBorders>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300-320 型</w:t>
                  </w:r>
                </w:p>
              </w:tc>
              <w:tc>
                <w:tcPr>
                  <w:tcW w:w="704" w:type="pct"/>
                  <w:tcBorders>
                    <w:top w:val="single" w:color="auto" w:sz="12" w:space="0"/>
                  </w:tcBorders>
                  <w:noWrap w:val="0"/>
                  <w:vAlign w:val="center"/>
                </w:tcPr>
                <w:p>
                  <w:pPr>
                    <w:widowControl/>
                    <w:jc w:val="center"/>
                    <w:rPr>
                      <w:rFonts w:hint="eastAsia" w:ascii="Times New Roman" w:hAnsi="Times New Roman" w:eastAsia="宋体" w:cs="Times New Roman"/>
                      <w:color w:val="FF0000"/>
                      <w:kern w:val="0"/>
                      <w:sz w:val="20"/>
                      <w:szCs w:val="20"/>
                      <w:lang w:eastAsia="zh-CN"/>
                    </w:rPr>
                  </w:pPr>
                  <w:r>
                    <w:rPr>
                      <w:rFonts w:hint="eastAsia" w:cs="Times New Roman"/>
                      <w:color w:val="FF0000"/>
                      <w:kern w:val="0"/>
                      <w:sz w:val="20"/>
                      <w:szCs w:val="20"/>
                      <w:lang w:val="en-US" w:eastAsia="zh-CN"/>
                    </w:rPr>
                    <w:t>2</w:t>
                  </w:r>
                </w:p>
              </w:tc>
              <w:tc>
                <w:tcPr>
                  <w:tcW w:w="1390" w:type="dxa"/>
                  <w:tcBorders>
                    <w:top w:val="single" w:color="auto" w:sz="12" w:space="0"/>
                  </w:tcBorders>
                  <w:noWrap w:val="0"/>
                  <w:vAlign w:val="center"/>
                </w:tcPr>
                <w:p>
                  <w:pPr>
                    <w:widowControl/>
                    <w:jc w:val="center"/>
                    <w:rPr>
                      <w:rFonts w:hint="eastAsia" w:ascii="Times New Roman" w:hAnsi="Times New Roman" w:eastAsia="宋体" w:cs="Times New Roman"/>
                      <w:color w:val="FF0000"/>
                      <w:kern w:val="0"/>
                      <w:sz w:val="20"/>
                      <w:szCs w:val="20"/>
                      <w:lang w:eastAsia="zh-CN"/>
                    </w:rPr>
                  </w:pPr>
                  <w:r>
                    <w:rPr>
                      <w:rFonts w:hint="eastAsia" w:ascii="Times New Roman" w:hAnsi="Times New Roman" w:eastAsia="宋体" w:cs="Times New Roman"/>
                      <w:color w:val="FF0000"/>
                      <w:kern w:val="0"/>
                      <w:sz w:val="20"/>
                      <w:szCs w:val="20"/>
                    </w:rPr>
                    <w:t>定型</w:t>
                  </w:r>
                </w:p>
              </w:tc>
              <w:tc>
                <w:tcPr>
                  <w:tcW w:w="821" w:type="pct"/>
                  <w:tcBorders>
                    <w:top w:val="single" w:color="auto" w:sz="12" w:space="0"/>
                  </w:tcBorders>
                  <w:noWrap w:val="0"/>
                  <w:vAlign w:val="center"/>
                </w:tcPr>
                <w:p>
                  <w:pPr>
                    <w:widowControl/>
                    <w:jc w:val="center"/>
                    <w:rPr>
                      <w:rFonts w:hint="eastAsia" w:ascii="Times New Roman" w:hAnsi="Times New Roman" w:eastAsia="宋体" w:cs="Times New Roman"/>
                      <w:color w:val="FF0000"/>
                      <w:kern w:val="0"/>
                      <w:sz w:val="20"/>
                      <w:szCs w:val="20"/>
                      <w:lang w:eastAsia="zh-CN"/>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2</w:t>
                  </w:r>
                </w:p>
              </w:tc>
              <w:tc>
                <w:tcPr>
                  <w:tcW w:w="1099"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预缩机</w:t>
                  </w:r>
                </w:p>
              </w:tc>
              <w:tc>
                <w:tcPr>
                  <w:tcW w:w="1090"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LMH431-340</w:t>
                  </w:r>
                </w:p>
              </w:tc>
              <w:tc>
                <w:tcPr>
                  <w:tcW w:w="704" w:type="pct"/>
                  <w:noWrap w:val="0"/>
                  <w:vAlign w:val="center"/>
                </w:tcPr>
                <w:p>
                  <w:pPr>
                    <w:widowControl/>
                    <w:jc w:val="center"/>
                    <w:rPr>
                      <w:rFonts w:hint="eastAsia" w:ascii="Times New Roman" w:hAnsi="Times New Roman" w:eastAsia="宋体" w:cs="Times New Roman"/>
                      <w:color w:val="FF0000"/>
                      <w:kern w:val="0"/>
                      <w:sz w:val="20"/>
                      <w:szCs w:val="20"/>
                      <w:lang w:eastAsia="zh-CN"/>
                    </w:rPr>
                  </w:pPr>
                  <w:r>
                    <w:rPr>
                      <w:rFonts w:hint="eastAsia" w:cs="Times New Roman"/>
                      <w:color w:val="FF0000"/>
                      <w:kern w:val="0"/>
                      <w:sz w:val="20"/>
                      <w:szCs w:val="20"/>
                      <w:lang w:val="en-US" w:eastAsia="zh-CN"/>
                    </w:rPr>
                    <w:t>2</w:t>
                  </w:r>
                </w:p>
              </w:tc>
              <w:tc>
                <w:tcPr>
                  <w:tcW w:w="1390" w:type="dxa"/>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预缩</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3</w:t>
                  </w:r>
                </w:p>
              </w:tc>
              <w:tc>
                <w:tcPr>
                  <w:tcW w:w="1099"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摇粒机</w:t>
                  </w:r>
                </w:p>
              </w:tc>
              <w:tc>
                <w:tcPr>
                  <w:tcW w:w="1090" w:type="pct"/>
                  <w:noWrap w:val="0"/>
                  <w:vAlign w:val="center"/>
                </w:tcPr>
                <w:p>
                  <w:pPr>
                    <w:widowControl/>
                    <w:jc w:val="center"/>
                    <w:rPr>
                      <w:rFonts w:hint="eastAsia" w:ascii="Times New Roman" w:hAnsi="Times New Roman" w:eastAsia="宋体" w:cs="Times New Roman"/>
                      <w:color w:val="FF0000"/>
                      <w:kern w:val="0"/>
                      <w:sz w:val="20"/>
                      <w:szCs w:val="20"/>
                      <w:lang w:eastAsia="zh-CN"/>
                    </w:rPr>
                  </w:pPr>
                  <w:r>
                    <w:rPr>
                      <w:rFonts w:hint="eastAsia" w:ascii="Times New Roman" w:hAnsi="Times New Roman" w:eastAsia="宋体" w:cs="Times New Roman"/>
                      <w:color w:val="FF0000"/>
                      <w:kern w:val="0"/>
                      <w:sz w:val="20"/>
                      <w:szCs w:val="20"/>
                      <w:lang w:val="en-US" w:eastAsia="zh-CN"/>
                    </w:rPr>
                    <w:t>/</w:t>
                  </w:r>
                </w:p>
              </w:tc>
              <w:tc>
                <w:tcPr>
                  <w:tcW w:w="704"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19</w:t>
                  </w:r>
                </w:p>
              </w:tc>
              <w:tc>
                <w:tcPr>
                  <w:tcW w:w="1390" w:type="dxa"/>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摇粒</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shd w:val="clear" w:color="auto" w:fill="auto"/>
                  <w:noWrap w:val="0"/>
                  <w:vAlign w:val="center"/>
                </w:tcPr>
                <w:p>
                  <w:pPr>
                    <w:widowControl/>
                    <w:jc w:val="center"/>
                    <w:rPr>
                      <w:rFonts w:hint="eastAsia" w:ascii="Times New Roman" w:hAnsi="Times New Roman" w:eastAsia="宋体" w:cs="Times New Roman"/>
                      <w:color w:val="FF0000"/>
                      <w:kern w:val="0"/>
                      <w:sz w:val="20"/>
                      <w:szCs w:val="20"/>
                      <w:lang w:val="en-US" w:eastAsia="zh-CN" w:bidi="ar-SA"/>
                    </w:rPr>
                  </w:pPr>
                  <w:r>
                    <w:rPr>
                      <w:rFonts w:hint="eastAsia" w:ascii="Times New Roman" w:hAnsi="Times New Roman" w:eastAsia="宋体" w:cs="Times New Roman"/>
                      <w:color w:val="FF0000"/>
                      <w:kern w:val="0"/>
                      <w:sz w:val="20"/>
                      <w:szCs w:val="20"/>
                    </w:rPr>
                    <w:t>4</w:t>
                  </w:r>
                </w:p>
              </w:tc>
              <w:tc>
                <w:tcPr>
                  <w:tcW w:w="1099"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烫光机</w:t>
                  </w:r>
                </w:p>
              </w:tc>
              <w:tc>
                <w:tcPr>
                  <w:tcW w:w="1090" w:type="pct"/>
                  <w:shd w:val="clear" w:color="auto" w:fill="auto"/>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SME472YQ</w:t>
                  </w:r>
                </w:p>
              </w:tc>
              <w:tc>
                <w:tcPr>
                  <w:tcW w:w="704"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2</w:t>
                  </w:r>
                </w:p>
              </w:tc>
              <w:tc>
                <w:tcPr>
                  <w:tcW w:w="1390" w:type="dxa"/>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烫光</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shd w:val="clear" w:color="auto" w:fill="auto"/>
                  <w:noWrap w:val="0"/>
                  <w:vAlign w:val="center"/>
                </w:tcPr>
                <w:p>
                  <w:pPr>
                    <w:widowControl/>
                    <w:jc w:val="center"/>
                    <w:rPr>
                      <w:rFonts w:hint="eastAsia" w:ascii="Times New Roman" w:hAnsi="Times New Roman" w:eastAsia="宋体" w:cs="Times New Roman"/>
                      <w:color w:val="FF0000"/>
                      <w:kern w:val="0"/>
                      <w:sz w:val="20"/>
                      <w:szCs w:val="20"/>
                      <w:lang w:val="en-US" w:eastAsia="zh-CN" w:bidi="ar-SA"/>
                    </w:rPr>
                  </w:pPr>
                  <w:r>
                    <w:rPr>
                      <w:rFonts w:hint="eastAsia" w:ascii="Times New Roman" w:hAnsi="Times New Roman" w:eastAsia="宋体" w:cs="Times New Roman"/>
                      <w:color w:val="FF0000"/>
                      <w:kern w:val="0"/>
                      <w:sz w:val="20"/>
                      <w:szCs w:val="20"/>
                    </w:rPr>
                    <w:t>5</w:t>
                  </w:r>
                </w:p>
              </w:tc>
              <w:tc>
                <w:tcPr>
                  <w:tcW w:w="1099"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剪毛机</w:t>
                  </w:r>
                </w:p>
              </w:tc>
              <w:tc>
                <w:tcPr>
                  <w:tcW w:w="1090" w:type="pct"/>
                  <w:shd w:val="clear" w:color="auto" w:fill="auto"/>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w:t>
                  </w:r>
                </w:p>
              </w:tc>
              <w:tc>
                <w:tcPr>
                  <w:tcW w:w="704"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2</w:t>
                  </w:r>
                </w:p>
              </w:tc>
              <w:tc>
                <w:tcPr>
                  <w:tcW w:w="1390" w:type="dxa"/>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剪毛</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6</w:t>
                  </w:r>
                </w:p>
              </w:tc>
              <w:tc>
                <w:tcPr>
                  <w:tcW w:w="1099"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拉毛机</w:t>
                  </w:r>
                </w:p>
              </w:tc>
              <w:tc>
                <w:tcPr>
                  <w:tcW w:w="1090" w:type="pct"/>
                  <w:shd w:val="clear" w:color="auto" w:fill="auto"/>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MB331C</w:t>
                  </w:r>
                </w:p>
              </w:tc>
              <w:tc>
                <w:tcPr>
                  <w:tcW w:w="704"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3</w:t>
                  </w:r>
                </w:p>
              </w:tc>
              <w:tc>
                <w:tcPr>
                  <w:tcW w:w="1390" w:type="dxa"/>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拉毛</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7</w:t>
                  </w:r>
                </w:p>
              </w:tc>
              <w:tc>
                <w:tcPr>
                  <w:tcW w:w="1099"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蒸呢机</w:t>
                  </w:r>
                </w:p>
              </w:tc>
              <w:tc>
                <w:tcPr>
                  <w:tcW w:w="1090"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WPF-120</w:t>
                  </w:r>
                </w:p>
              </w:tc>
              <w:tc>
                <w:tcPr>
                  <w:tcW w:w="704"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3</w:t>
                  </w:r>
                </w:p>
              </w:tc>
              <w:tc>
                <w:tcPr>
                  <w:tcW w:w="1390" w:type="dxa"/>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rPr>
                    <w:t>蒸呢</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shd w:val="clear" w:color="auto" w:fill="auto"/>
                  <w:noWrap w:val="0"/>
                  <w:vAlign w:val="center"/>
                </w:tcPr>
                <w:p>
                  <w:pPr>
                    <w:widowControl/>
                    <w:jc w:val="center"/>
                    <w:rPr>
                      <w:rFonts w:hint="eastAsia" w:ascii="Times New Roman" w:hAnsi="Times New Roman" w:eastAsia="宋体" w:cs="Times New Roman"/>
                      <w:color w:val="FF0000"/>
                      <w:kern w:val="0"/>
                      <w:sz w:val="20"/>
                      <w:szCs w:val="20"/>
                      <w:lang w:val="en-US" w:eastAsia="zh-CN" w:bidi="ar-SA"/>
                    </w:rPr>
                  </w:pPr>
                  <w:r>
                    <w:rPr>
                      <w:rFonts w:hint="eastAsia" w:ascii="Times New Roman" w:hAnsi="Times New Roman" w:eastAsia="宋体" w:cs="Times New Roman"/>
                      <w:color w:val="FF0000"/>
                      <w:kern w:val="0"/>
                      <w:sz w:val="20"/>
                      <w:szCs w:val="20"/>
                      <w:lang w:val="en-US" w:eastAsia="zh-CN"/>
                    </w:rPr>
                    <w:t>8</w:t>
                  </w:r>
                </w:p>
              </w:tc>
              <w:tc>
                <w:tcPr>
                  <w:tcW w:w="1099"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刷呢机</w:t>
                  </w:r>
                </w:p>
              </w:tc>
              <w:tc>
                <w:tcPr>
                  <w:tcW w:w="1090"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w:t>
                  </w:r>
                </w:p>
              </w:tc>
              <w:tc>
                <w:tcPr>
                  <w:tcW w:w="704" w:type="pct"/>
                  <w:noWrap w:val="0"/>
                  <w:vAlign w:val="center"/>
                </w:tcPr>
                <w:p>
                  <w:pPr>
                    <w:widowControl/>
                    <w:jc w:val="center"/>
                    <w:rPr>
                      <w:rFonts w:hint="default" w:cs="Times New Roman"/>
                      <w:color w:val="FF0000"/>
                      <w:kern w:val="0"/>
                      <w:sz w:val="20"/>
                      <w:szCs w:val="20"/>
                      <w:lang w:val="en-US" w:eastAsia="zh-CN"/>
                    </w:rPr>
                  </w:pPr>
                  <w:r>
                    <w:rPr>
                      <w:rFonts w:hint="eastAsia" w:cs="Times New Roman"/>
                      <w:color w:val="FF0000"/>
                      <w:kern w:val="0"/>
                      <w:sz w:val="20"/>
                      <w:szCs w:val="20"/>
                      <w:lang w:val="en-US" w:eastAsia="zh-CN"/>
                    </w:rPr>
                    <w:t>2</w:t>
                  </w:r>
                </w:p>
              </w:tc>
              <w:tc>
                <w:tcPr>
                  <w:tcW w:w="1390" w:type="dxa"/>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刷呢</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shd w:val="clear" w:color="auto" w:fill="auto"/>
                  <w:noWrap w:val="0"/>
                  <w:vAlign w:val="center"/>
                </w:tcPr>
                <w:p>
                  <w:pPr>
                    <w:widowControl/>
                    <w:jc w:val="center"/>
                    <w:rPr>
                      <w:rFonts w:hint="eastAsia" w:ascii="Times New Roman" w:hAnsi="Times New Roman" w:eastAsia="宋体" w:cs="Times New Roman"/>
                      <w:color w:val="FF0000"/>
                      <w:kern w:val="0"/>
                      <w:sz w:val="20"/>
                      <w:szCs w:val="20"/>
                      <w:lang w:val="en-US" w:eastAsia="zh-CN" w:bidi="ar-SA"/>
                    </w:rPr>
                  </w:pPr>
                  <w:r>
                    <w:rPr>
                      <w:rFonts w:hint="eastAsia" w:ascii="Times New Roman" w:hAnsi="Times New Roman" w:eastAsia="宋体" w:cs="Times New Roman"/>
                      <w:color w:val="FF0000"/>
                      <w:kern w:val="0"/>
                      <w:sz w:val="20"/>
                      <w:szCs w:val="20"/>
                      <w:lang w:val="en-US" w:eastAsia="zh-CN"/>
                    </w:rPr>
                    <w:t>9</w:t>
                  </w:r>
                </w:p>
              </w:tc>
              <w:tc>
                <w:tcPr>
                  <w:tcW w:w="1099" w:type="pct"/>
                  <w:noWrap w:val="0"/>
                  <w:vAlign w:val="center"/>
                </w:tcPr>
                <w:p>
                  <w:pPr>
                    <w:widowControl/>
                    <w:jc w:val="center"/>
                    <w:rPr>
                      <w:rFonts w:hint="default" w:ascii="Times New Roman" w:hAnsi="Times New Roman" w:eastAsia="宋体" w:cs="Times New Roman"/>
                      <w:color w:val="FF0000"/>
                      <w:kern w:val="0"/>
                      <w:sz w:val="20"/>
                      <w:szCs w:val="20"/>
                      <w:lang w:val="en-US"/>
                    </w:rPr>
                  </w:pPr>
                  <w:r>
                    <w:rPr>
                      <w:rFonts w:hint="eastAsia" w:cs="Times New Roman"/>
                      <w:color w:val="FF0000"/>
                      <w:kern w:val="0"/>
                      <w:sz w:val="20"/>
                      <w:szCs w:val="20"/>
                      <w:lang w:val="en-US" w:eastAsia="zh-CN"/>
                    </w:rPr>
                    <w:t>生物质</w:t>
                  </w:r>
                  <w:r>
                    <w:rPr>
                      <w:rFonts w:hint="eastAsia" w:ascii="Times New Roman" w:hAnsi="Times New Roman" w:eastAsia="宋体" w:cs="Times New Roman"/>
                      <w:color w:val="FF0000"/>
                      <w:kern w:val="0"/>
                      <w:sz w:val="20"/>
                      <w:szCs w:val="20"/>
                    </w:rPr>
                    <w:t>导热油锅炉</w:t>
                  </w:r>
                  <w:r>
                    <w:rPr>
                      <w:rFonts w:hint="eastAsia"/>
                      <w:color w:val="FF0000"/>
                      <w:vertAlign w:val="superscript"/>
                      <w:lang w:val="en-US" w:eastAsia="zh-CN"/>
                    </w:rPr>
                    <w:t>[1]</w:t>
                  </w:r>
                </w:p>
              </w:tc>
              <w:tc>
                <w:tcPr>
                  <w:tcW w:w="1090"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360wh</w:t>
                  </w:r>
                </w:p>
              </w:tc>
              <w:tc>
                <w:tcPr>
                  <w:tcW w:w="704"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1</w:t>
                  </w:r>
                </w:p>
              </w:tc>
              <w:tc>
                <w:tcPr>
                  <w:tcW w:w="823"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定型供热</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锅炉房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10</w:t>
                  </w:r>
                </w:p>
              </w:tc>
              <w:tc>
                <w:tcPr>
                  <w:tcW w:w="1099"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生物质蒸汽锅炉</w:t>
                  </w:r>
                  <w:r>
                    <w:rPr>
                      <w:rFonts w:hint="eastAsia"/>
                      <w:color w:val="FF0000"/>
                      <w:vertAlign w:val="superscript"/>
                      <w:lang w:val="en-US" w:eastAsia="zh-CN"/>
                    </w:rPr>
                    <w:t>[1]</w:t>
                  </w:r>
                </w:p>
              </w:tc>
              <w:tc>
                <w:tcPr>
                  <w:tcW w:w="1090"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6t/h</w:t>
                  </w:r>
                </w:p>
              </w:tc>
              <w:tc>
                <w:tcPr>
                  <w:tcW w:w="704" w:type="pct"/>
                  <w:noWrap w:val="0"/>
                  <w:vAlign w:val="center"/>
                </w:tcPr>
                <w:p>
                  <w:pPr>
                    <w:widowControl/>
                    <w:jc w:val="center"/>
                    <w:rPr>
                      <w:rFonts w:hint="eastAsia" w:ascii="Times New Roman" w:hAnsi="Times New Roman" w:eastAsia="宋体" w:cs="Times New Roman"/>
                      <w:color w:val="FF0000"/>
                      <w:kern w:val="0"/>
                      <w:sz w:val="20"/>
                      <w:szCs w:val="20"/>
                      <w:lang w:eastAsia="zh-CN"/>
                    </w:rPr>
                  </w:pPr>
                  <w:r>
                    <w:rPr>
                      <w:rFonts w:hint="eastAsia" w:cs="Times New Roman"/>
                      <w:color w:val="FF0000"/>
                      <w:kern w:val="0"/>
                      <w:sz w:val="20"/>
                      <w:szCs w:val="20"/>
                      <w:lang w:val="en-US" w:eastAsia="zh-CN"/>
                    </w:rPr>
                    <w:t>1</w:t>
                  </w:r>
                </w:p>
              </w:tc>
              <w:tc>
                <w:tcPr>
                  <w:tcW w:w="823"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rPr>
                    <w:t>定型</w:t>
                  </w:r>
                  <w:r>
                    <w:rPr>
                      <w:rFonts w:hint="eastAsia" w:ascii="Times New Roman" w:hAnsi="Times New Roman" w:eastAsia="宋体" w:cs="Times New Roman"/>
                      <w:color w:val="FF0000"/>
                      <w:kern w:val="0"/>
                      <w:sz w:val="20"/>
                      <w:szCs w:val="20"/>
                      <w:lang w:val="en-US" w:eastAsia="zh-CN"/>
                    </w:rPr>
                    <w:t>供热</w:t>
                  </w:r>
                </w:p>
              </w:tc>
              <w:tc>
                <w:tcPr>
                  <w:tcW w:w="821" w:type="pct"/>
                  <w:noWrap w:val="0"/>
                  <w:vAlign w:val="center"/>
                </w:tcPr>
                <w:p>
                  <w:pPr>
                    <w:widowControl/>
                    <w:jc w:val="center"/>
                    <w:rPr>
                      <w:rFonts w:hint="eastAsia" w:ascii="Times New Roman" w:hAnsi="Times New Roman" w:eastAsia="宋体" w:cs="Times New Roman"/>
                      <w:color w:val="FF0000"/>
                      <w:kern w:val="0"/>
                      <w:sz w:val="20"/>
                      <w:szCs w:val="20"/>
                    </w:rPr>
                  </w:pPr>
                  <w:r>
                    <w:rPr>
                      <w:rFonts w:hint="eastAsia" w:ascii="Times New Roman" w:hAnsi="Times New Roman" w:eastAsia="宋体" w:cs="Times New Roman"/>
                      <w:color w:val="FF0000"/>
                      <w:kern w:val="0"/>
                      <w:sz w:val="20"/>
                      <w:szCs w:val="20"/>
                      <w:lang w:val="en-US" w:eastAsia="zh-CN"/>
                    </w:rPr>
                    <w:t>锅炉房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noWrap w:val="0"/>
                  <w:vAlign w:val="center"/>
                </w:tcPr>
                <w:p>
                  <w:pPr>
                    <w:widowControl/>
                    <w:jc w:val="center"/>
                    <w:rPr>
                      <w:rFonts w:hint="default" w:cs="Times New Roman"/>
                      <w:color w:val="FF0000"/>
                      <w:kern w:val="0"/>
                      <w:sz w:val="20"/>
                      <w:szCs w:val="20"/>
                      <w:lang w:val="en-US" w:eastAsia="zh-CN"/>
                    </w:rPr>
                  </w:pPr>
                  <w:bookmarkStart w:id="10" w:name="_Hlk199146501"/>
                  <w:r>
                    <w:rPr>
                      <w:rFonts w:hint="eastAsia" w:cs="Times New Roman"/>
                      <w:color w:val="FF0000"/>
                      <w:kern w:val="0"/>
                      <w:sz w:val="20"/>
                      <w:szCs w:val="20"/>
                      <w:lang w:val="en-US" w:eastAsia="zh-CN"/>
                    </w:rPr>
                    <w:t>11</w:t>
                  </w:r>
                </w:p>
              </w:tc>
              <w:tc>
                <w:tcPr>
                  <w:tcW w:w="1099"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纯水制备机</w:t>
                  </w:r>
                </w:p>
              </w:tc>
              <w:tc>
                <w:tcPr>
                  <w:tcW w:w="1090" w:type="pct"/>
                  <w:noWrap w:val="0"/>
                  <w:vAlign w:val="center"/>
                </w:tcPr>
                <w:p>
                  <w:pPr>
                    <w:widowControl/>
                    <w:jc w:val="center"/>
                    <w:rPr>
                      <w:rFonts w:hint="eastAsia" w:ascii="Times New Roman" w:hAnsi="Times New Roman" w:eastAsia="宋体" w:cs="Times New Roman"/>
                      <w:color w:val="FF0000"/>
                      <w:kern w:val="0"/>
                      <w:sz w:val="20"/>
                      <w:szCs w:val="20"/>
                      <w:lang w:val="en-US" w:eastAsia="zh-CN"/>
                    </w:rPr>
                  </w:pPr>
                  <w:r>
                    <w:rPr>
                      <w:bCs/>
                      <w:color w:val="FF0000"/>
                      <w:sz w:val="20"/>
                      <w:szCs w:val="20"/>
                      <w:highlight w:val="none"/>
                    </w:rPr>
                    <w:t>75m</w:t>
                  </w:r>
                  <w:r>
                    <w:rPr>
                      <w:bCs/>
                      <w:color w:val="FF0000"/>
                      <w:sz w:val="20"/>
                      <w:szCs w:val="20"/>
                      <w:highlight w:val="none"/>
                      <w:vertAlign w:val="superscript"/>
                    </w:rPr>
                    <w:t>3</w:t>
                  </w:r>
                  <w:r>
                    <w:rPr>
                      <w:bCs/>
                      <w:color w:val="FF0000"/>
                      <w:sz w:val="20"/>
                      <w:szCs w:val="20"/>
                      <w:highlight w:val="none"/>
                    </w:rPr>
                    <w:t>/h</w:t>
                  </w:r>
                </w:p>
              </w:tc>
              <w:tc>
                <w:tcPr>
                  <w:tcW w:w="704" w:type="pct"/>
                  <w:noWrap w:val="0"/>
                  <w:vAlign w:val="center"/>
                </w:tcPr>
                <w:p>
                  <w:pPr>
                    <w:widowControl/>
                    <w:jc w:val="center"/>
                    <w:rPr>
                      <w:rFonts w:hint="default" w:cs="Times New Roman"/>
                      <w:color w:val="FF0000"/>
                      <w:kern w:val="0"/>
                      <w:sz w:val="20"/>
                      <w:szCs w:val="20"/>
                      <w:lang w:val="en-US" w:eastAsia="zh-CN"/>
                    </w:rPr>
                  </w:pPr>
                  <w:r>
                    <w:rPr>
                      <w:rFonts w:hint="eastAsia" w:cs="Times New Roman"/>
                      <w:color w:val="FF0000"/>
                      <w:kern w:val="0"/>
                      <w:sz w:val="20"/>
                      <w:szCs w:val="20"/>
                      <w:lang w:val="en-US" w:eastAsia="zh-CN"/>
                    </w:rPr>
                    <w:t>1</w:t>
                  </w:r>
                </w:p>
              </w:tc>
              <w:tc>
                <w:tcPr>
                  <w:tcW w:w="823"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锅炉用水</w:t>
                  </w:r>
                </w:p>
              </w:tc>
              <w:tc>
                <w:tcPr>
                  <w:tcW w:w="821" w:type="pct"/>
                  <w:noWrap w:val="0"/>
                  <w:vAlign w:val="center"/>
                </w:tcPr>
                <w:p>
                  <w:pPr>
                    <w:widowControl/>
                    <w:jc w:val="center"/>
                    <w:rPr>
                      <w:rFonts w:hint="default" w:ascii="Times New Roman" w:hAnsi="Times New Roman" w:eastAsia="宋体" w:cs="Times New Roman"/>
                      <w:color w:val="FF0000"/>
                      <w:kern w:val="0"/>
                      <w:sz w:val="20"/>
                      <w:szCs w:val="20"/>
                      <w:lang w:val="en-US" w:eastAsia="zh-CN"/>
                    </w:rPr>
                  </w:pPr>
                  <w:r>
                    <w:rPr>
                      <w:rFonts w:hint="eastAsia" w:cs="Times New Roman"/>
                      <w:color w:val="FF0000"/>
                      <w:kern w:val="0"/>
                      <w:sz w:val="20"/>
                      <w:szCs w:val="20"/>
                      <w:lang w:val="en-US" w:eastAsia="zh-CN"/>
                    </w:rPr>
                    <w:t>锅炉房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461" w:type="pct"/>
                  <w:noWrap w:val="0"/>
                  <w:vAlign w:val="center"/>
                </w:tcPr>
                <w:p>
                  <w:pPr>
                    <w:widowControl/>
                    <w:jc w:val="center"/>
                    <w:rPr>
                      <w:rFonts w:hint="default" w:cs="Times New Roman"/>
                      <w:color w:val="FF0000"/>
                      <w:kern w:val="0"/>
                      <w:sz w:val="20"/>
                      <w:szCs w:val="20"/>
                      <w:lang w:val="en-US" w:eastAsia="zh-CN"/>
                    </w:rPr>
                  </w:pPr>
                  <w:r>
                    <w:rPr>
                      <w:rFonts w:hint="eastAsia" w:cs="Times New Roman"/>
                      <w:color w:val="FF0000"/>
                      <w:kern w:val="0"/>
                      <w:sz w:val="20"/>
                      <w:szCs w:val="20"/>
                      <w:lang w:val="en-US" w:eastAsia="zh-CN"/>
                    </w:rPr>
                    <w:t>12</w:t>
                  </w:r>
                </w:p>
              </w:tc>
              <w:tc>
                <w:tcPr>
                  <w:tcW w:w="1099" w:type="pct"/>
                  <w:noWrap w:val="0"/>
                  <w:vAlign w:val="center"/>
                </w:tcPr>
                <w:p>
                  <w:pPr>
                    <w:widowControl/>
                    <w:jc w:val="center"/>
                    <w:rPr>
                      <w:rFonts w:hint="default" w:cs="Times New Roman"/>
                      <w:color w:val="FF0000"/>
                      <w:kern w:val="0"/>
                      <w:sz w:val="20"/>
                      <w:szCs w:val="20"/>
                      <w:lang w:val="en-US" w:eastAsia="zh-CN"/>
                    </w:rPr>
                  </w:pPr>
                  <w:r>
                    <w:rPr>
                      <w:rFonts w:hint="eastAsia" w:cs="Times New Roman"/>
                      <w:color w:val="FF0000"/>
                      <w:kern w:val="0"/>
                      <w:sz w:val="20"/>
                      <w:szCs w:val="20"/>
                      <w:lang w:val="en-US" w:eastAsia="zh-CN"/>
                    </w:rPr>
                    <w:t>空压机</w:t>
                  </w:r>
                </w:p>
              </w:tc>
              <w:tc>
                <w:tcPr>
                  <w:tcW w:w="1090" w:type="pct"/>
                  <w:noWrap w:val="0"/>
                  <w:vAlign w:val="center"/>
                </w:tcPr>
                <w:p>
                  <w:pPr>
                    <w:widowControl/>
                    <w:jc w:val="center"/>
                    <w:rPr>
                      <w:rFonts w:hint="default" w:eastAsia="宋体"/>
                      <w:bCs/>
                      <w:color w:val="FF0000"/>
                      <w:sz w:val="20"/>
                      <w:szCs w:val="20"/>
                      <w:highlight w:val="none"/>
                      <w:lang w:val="en-US" w:eastAsia="zh-CN"/>
                    </w:rPr>
                  </w:pPr>
                  <w:r>
                    <w:rPr>
                      <w:rFonts w:hint="eastAsia"/>
                      <w:bCs/>
                      <w:color w:val="FF0000"/>
                      <w:sz w:val="20"/>
                      <w:szCs w:val="20"/>
                      <w:highlight w:val="none"/>
                      <w:lang w:val="en-US" w:eastAsia="zh-CN"/>
                    </w:rPr>
                    <w:t>18m</w:t>
                  </w:r>
                  <w:r>
                    <w:rPr>
                      <w:rFonts w:hint="eastAsia"/>
                      <w:bCs/>
                      <w:color w:val="FF0000"/>
                      <w:sz w:val="20"/>
                      <w:szCs w:val="20"/>
                      <w:highlight w:val="none"/>
                      <w:vertAlign w:val="superscript"/>
                      <w:lang w:val="en-US" w:eastAsia="zh-CN"/>
                    </w:rPr>
                    <w:t>3</w:t>
                  </w:r>
                  <w:r>
                    <w:rPr>
                      <w:rFonts w:hint="eastAsia"/>
                      <w:bCs/>
                      <w:color w:val="FF0000"/>
                      <w:sz w:val="20"/>
                      <w:szCs w:val="20"/>
                      <w:highlight w:val="none"/>
                      <w:lang w:val="en-US" w:eastAsia="zh-CN"/>
                    </w:rPr>
                    <w:t>/min</w:t>
                  </w:r>
                </w:p>
              </w:tc>
              <w:tc>
                <w:tcPr>
                  <w:tcW w:w="704" w:type="pct"/>
                  <w:noWrap w:val="0"/>
                  <w:vAlign w:val="center"/>
                </w:tcPr>
                <w:p>
                  <w:pPr>
                    <w:widowControl/>
                    <w:jc w:val="center"/>
                    <w:rPr>
                      <w:rFonts w:hint="default" w:cs="Times New Roman"/>
                      <w:color w:val="FF0000"/>
                      <w:kern w:val="0"/>
                      <w:sz w:val="20"/>
                      <w:szCs w:val="20"/>
                      <w:lang w:val="en-US" w:eastAsia="zh-CN"/>
                    </w:rPr>
                  </w:pPr>
                  <w:r>
                    <w:rPr>
                      <w:rFonts w:hint="eastAsia" w:cs="Times New Roman"/>
                      <w:color w:val="FF0000"/>
                      <w:kern w:val="0"/>
                      <w:sz w:val="20"/>
                      <w:szCs w:val="20"/>
                      <w:lang w:val="en-US" w:eastAsia="zh-CN"/>
                    </w:rPr>
                    <w:t>2</w:t>
                  </w:r>
                </w:p>
              </w:tc>
              <w:tc>
                <w:tcPr>
                  <w:tcW w:w="823" w:type="pct"/>
                  <w:noWrap w:val="0"/>
                  <w:vAlign w:val="center"/>
                </w:tcPr>
                <w:p>
                  <w:pPr>
                    <w:widowControl/>
                    <w:jc w:val="center"/>
                    <w:rPr>
                      <w:rFonts w:hint="default" w:cs="Times New Roman"/>
                      <w:color w:val="FF0000"/>
                      <w:kern w:val="0"/>
                      <w:sz w:val="20"/>
                      <w:szCs w:val="20"/>
                      <w:lang w:val="en-US" w:eastAsia="zh-CN"/>
                    </w:rPr>
                  </w:pPr>
                  <w:r>
                    <w:rPr>
                      <w:rFonts w:hint="eastAsia" w:cs="Times New Roman"/>
                      <w:color w:val="FF0000"/>
                      <w:kern w:val="0"/>
                      <w:sz w:val="20"/>
                      <w:szCs w:val="20"/>
                      <w:lang w:val="en-US" w:eastAsia="zh-CN"/>
                    </w:rPr>
                    <w:t>压缩空气</w:t>
                  </w:r>
                </w:p>
              </w:tc>
              <w:tc>
                <w:tcPr>
                  <w:tcW w:w="821" w:type="pct"/>
                  <w:noWrap w:val="0"/>
                  <w:vAlign w:val="center"/>
                </w:tcPr>
                <w:p>
                  <w:pPr>
                    <w:widowControl/>
                    <w:jc w:val="center"/>
                    <w:rPr>
                      <w:rFonts w:hint="default" w:cs="Times New Roman"/>
                      <w:color w:val="FF0000"/>
                      <w:kern w:val="0"/>
                      <w:sz w:val="20"/>
                      <w:szCs w:val="20"/>
                      <w:lang w:val="en-US" w:eastAsia="zh-CN"/>
                    </w:rPr>
                  </w:pPr>
                  <w:r>
                    <w:rPr>
                      <w:rFonts w:hint="eastAsia" w:ascii="Times New Roman" w:hAnsi="Times New Roman" w:eastAsia="宋体" w:cs="Times New Roman"/>
                      <w:color w:val="FF0000"/>
                      <w:kern w:val="0"/>
                      <w:sz w:val="20"/>
                      <w:szCs w:val="20"/>
                      <w:lang w:val="en-US" w:eastAsia="zh-CN"/>
                    </w:rPr>
                    <w:t>生产车间</w:t>
                  </w:r>
                </w:p>
              </w:tc>
            </w:tr>
            <w:bookmarkEnd w:id="8"/>
          </w:tbl>
          <w:p>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eastAsia="宋体"/>
                <w:b w:val="0"/>
                <w:bCs/>
                <w:color w:val="FF0000"/>
                <w:sz w:val="18"/>
                <w:szCs w:val="21"/>
                <w:lang w:val="en-US" w:eastAsia="zh-CN"/>
              </w:rPr>
            </w:pPr>
            <w:r>
              <w:rPr>
                <w:rFonts w:hint="eastAsia"/>
                <w:b w:val="0"/>
                <w:bCs/>
                <w:color w:val="FF0000"/>
                <w:sz w:val="18"/>
                <w:szCs w:val="21"/>
                <w:lang w:val="en-US" w:eastAsia="zh-CN"/>
              </w:rPr>
              <w:t>注：[1]生物质锅炉使用生物质成型燃料，锅炉为层燃炉</w:t>
            </w:r>
          </w:p>
          <w:p>
            <w:pPr>
              <w:keepNext w:val="0"/>
              <w:keepLines w:val="0"/>
              <w:pageBreakBefore w:val="0"/>
              <w:widowControl w:val="0"/>
              <w:kinsoku/>
              <w:wordWrap/>
              <w:overflowPunct/>
              <w:topLinePunct w:val="0"/>
              <w:autoSpaceDE/>
              <w:autoSpaceDN/>
              <w:bidi w:val="0"/>
              <w:adjustRightInd w:val="0"/>
              <w:snapToGrid w:val="0"/>
              <w:spacing w:before="157" w:beforeLines="50" w:line="360" w:lineRule="auto"/>
              <w:jc w:val="center"/>
              <w:textAlignment w:val="auto"/>
              <w:rPr>
                <w:rFonts w:ascii="Calibri" w:hAnsi="Calibri" w:eastAsia="黑体"/>
                <w:sz w:val="24"/>
                <w:szCs w:val="22"/>
              </w:rPr>
            </w:pPr>
            <w:r>
              <w:rPr>
                <w:rFonts w:hint="eastAsia"/>
                <w:b/>
              </w:rPr>
              <w:t>表2-</w:t>
            </w:r>
            <w:r>
              <w:rPr>
                <w:rFonts w:hint="eastAsia"/>
                <w:b/>
                <w:lang w:val="en-US" w:eastAsia="zh-CN"/>
              </w:rPr>
              <w:t>7</w:t>
            </w:r>
            <w:r>
              <w:rPr>
                <w:b/>
              </w:rPr>
              <w:t xml:space="preserve">  </w:t>
            </w:r>
            <w:r>
              <w:rPr>
                <w:rFonts w:hint="eastAsia"/>
                <w:b/>
              </w:rPr>
              <w:t>主要设备产能匹配分析表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4"/>
              <w:gridCol w:w="872"/>
              <w:gridCol w:w="1263"/>
              <w:gridCol w:w="636"/>
              <w:gridCol w:w="991"/>
              <w:gridCol w:w="905"/>
              <w:gridCol w:w="1055"/>
              <w:gridCol w:w="979"/>
              <w:gridCol w:w="7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Borders>
                    <w:top w:val="single" w:color="auto" w:sz="12" w:space="0"/>
                    <w:left w:val="nil"/>
                    <w:bottom w:val="single" w:color="auto" w:sz="4" w:space="0"/>
                    <w:right w:val="single" w:color="auto" w:sz="4" w:space="0"/>
                  </w:tcBorders>
                  <w:noWrap w:val="0"/>
                  <w:vAlign w:val="center"/>
                </w:tcPr>
                <w:p>
                  <w:pPr>
                    <w:jc w:val="center"/>
                    <w:rPr>
                      <w:b/>
                      <w:bCs/>
                      <w:sz w:val="20"/>
                      <w:szCs w:val="20"/>
                    </w:rPr>
                  </w:pPr>
                  <w:r>
                    <w:rPr>
                      <w:rFonts w:hint="eastAsia"/>
                      <w:b/>
                      <w:bCs/>
                      <w:sz w:val="20"/>
                      <w:szCs w:val="20"/>
                    </w:rPr>
                    <w:t>生产工艺</w:t>
                  </w:r>
                </w:p>
              </w:tc>
              <w:tc>
                <w:tcPr>
                  <w:tcW w:w="872" w:type="dxa"/>
                  <w:tcBorders>
                    <w:top w:val="single" w:color="auto" w:sz="12" w:space="0"/>
                    <w:left w:val="single" w:color="auto" w:sz="4" w:space="0"/>
                    <w:bottom w:val="single" w:color="auto" w:sz="4" w:space="0"/>
                    <w:right w:val="single" w:color="auto" w:sz="4" w:space="0"/>
                  </w:tcBorders>
                  <w:noWrap w:val="0"/>
                  <w:vAlign w:val="center"/>
                </w:tcPr>
                <w:p>
                  <w:pPr>
                    <w:jc w:val="center"/>
                    <w:rPr>
                      <w:b/>
                      <w:bCs/>
                      <w:sz w:val="20"/>
                      <w:szCs w:val="20"/>
                    </w:rPr>
                  </w:pPr>
                  <w:r>
                    <w:rPr>
                      <w:rFonts w:hint="eastAsia"/>
                      <w:b/>
                      <w:bCs/>
                      <w:sz w:val="20"/>
                      <w:szCs w:val="20"/>
                    </w:rPr>
                    <w:t>染机名称</w:t>
                  </w:r>
                </w:p>
              </w:tc>
              <w:tc>
                <w:tcPr>
                  <w:tcW w:w="1263" w:type="dxa"/>
                  <w:tcBorders>
                    <w:top w:val="single" w:color="auto" w:sz="12" w:space="0"/>
                    <w:left w:val="single" w:color="auto" w:sz="4" w:space="0"/>
                    <w:bottom w:val="single" w:color="auto" w:sz="4" w:space="0"/>
                    <w:right w:val="single" w:color="auto" w:sz="4" w:space="0"/>
                  </w:tcBorders>
                  <w:noWrap w:val="0"/>
                  <w:vAlign w:val="center"/>
                </w:tcPr>
                <w:p>
                  <w:pPr>
                    <w:jc w:val="center"/>
                    <w:rPr>
                      <w:b/>
                      <w:bCs/>
                      <w:sz w:val="20"/>
                      <w:szCs w:val="20"/>
                    </w:rPr>
                  </w:pPr>
                  <w:r>
                    <w:rPr>
                      <w:rFonts w:hint="eastAsia"/>
                      <w:b/>
                      <w:bCs/>
                      <w:sz w:val="20"/>
                      <w:szCs w:val="20"/>
                    </w:rPr>
                    <w:t>单台设备生产能力</w:t>
                  </w:r>
                </w:p>
              </w:tc>
              <w:tc>
                <w:tcPr>
                  <w:tcW w:w="636" w:type="dxa"/>
                  <w:tcBorders>
                    <w:top w:val="single" w:color="auto" w:sz="12" w:space="0"/>
                    <w:left w:val="single" w:color="auto" w:sz="4" w:space="0"/>
                    <w:bottom w:val="single" w:color="auto" w:sz="4" w:space="0"/>
                    <w:right w:val="single" w:color="auto" w:sz="4" w:space="0"/>
                  </w:tcBorders>
                  <w:noWrap w:val="0"/>
                  <w:vAlign w:val="center"/>
                </w:tcPr>
                <w:p>
                  <w:pPr>
                    <w:jc w:val="center"/>
                    <w:rPr>
                      <w:b/>
                      <w:bCs/>
                      <w:sz w:val="20"/>
                      <w:szCs w:val="20"/>
                    </w:rPr>
                  </w:pPr>
                  <w:r>
                    <w:rPr>
                      <w:rFonts w:hint="eastAsia"/>
                      <w:b/>
                      <w:bCs/>
                      <w:sz w:val="20"/>
                      <w:szCs w:val="20"/>
                    </w:rPr>
                    <w:t>机台数</w:t>
                  </w:r>
                </w:p>
              </w:tc>
              <w:tc>
                <w:tcPr>
                  <w:tcW w:w="991" w:type="dxa"/>
                  <w:tcBorders>
                    <w:top w:val="single" w:color="auto" w:sz="12" w:space="0"/>
                    <w:left w:val="single" w:color="auto" w:sz="4" w:space="0"/>
                    <w:bottom w:val="single" w:color="auto" w:sz="4" w:space="0"/>
                    <w:right w:val="single" w:color="auto" w:sz="4" w:space="0"/>
                  </w:tcBorders>
                  <w:noWrap w:val="0"/>
                  <w:vAlign w:val="center"/>
                </w:tcPr>
                <w:p>
                  <w:pPr>
                    <w:jc w:val="center"/>
                    <w:rPr>
                      <w:rFonts w:hint="eastAsia"/>
                      <w:b/>
                      <w:bCs/>
                      <w:sz w:val="20"/>
                      <w:szCs w:val="20"/>
                    </w:rPr>
                  </w:pPr>
                  <w:r>
                    <w:rPr>
                      <w:rFonts w:hint="eastAsia"/>
                      <w:b/>
                      <w:bCs/>
                      <w:sz w:val="20"/>
                      <w:szCs w:val="20"/>
                    </w:rPr>
                    <w:t>产品名称</w:t>
                  </w:r>
                </w:p>
              </w:tc>
              <w:tc>
                <w:tcPr>
                  <w:tcW w:w="905" w:type="dxa"/>
                  <w:tcBorders>
                    <w:top w:val="single" w:color="auto" w:sz="12" w:space="0"/>
                    <w:left w:val="single" w:color="auto" w:sz="4" w:space="0"/>
                    <w:bottom w:val="single" w:color="auto" w:sz="4" w:space="0"/>
                    <w:right w:val="single" w:color="auto" w:sz="4" w:space="0"/>
                  </w:tcBorders>
                  <w:noWrap w:val="0"/>
                  <w:vAlign w:val="center"/>
                </w:tcPr>
                <w:p>
                  <w:pPr>
                    <w:jc w:val="center"/>
                    <w:rPr>
                      <w:b/>
                      <w:bCs/>
                      <w:sz w:val="20"/>
                      <w:szCs w:val="20"/>
                    </w:rPr>
                  </w:pPr>
                  <w:r>
                    <w:rPr>
                      <w:rFonts w:hint="eastAsia"/>
                      <w:b/>
                      <w:bCs/>
                      <w:sz w:val="20"/>
                      <w:szCs w:val="20"/>
                    </w:rPr>
                    <w:t>年工作天数</w:t>
                  </w:r>
                </w:p>
              </w:tc>
              <w:tc>
                <w:tcPr>
                  <w:tcW w:w="1055" w:type="dxa"/>
                  <w:tcBorders>
                    <w:top w:val="single" w:color="auto" w:sz="12" w:space="0"/>
                    <w:left w:val="single" w:color="auto" w:sz="4" w:space="0"/>
                    <w:bottom w:val="single" w:color="auto" w:sz="4" w:space="0"/>
                    <w:right w:val="single" w:color="auto" w:sz="4" w:space="0"/>
                  </w:tcBorders>
                  <w:noWrap w:val="0"/>
                  <w:vAlign w:val="center"/>
                </w:tcPr>
                <w:p>
                  <w:pPr>
                    <w:jc w:val="center"/>
                    <w:rPr>
                      <w:b/>
                      <w:bCs/>
                      <w:sz w:val="20"/>
                      <w:szCs w:val="20"/>
                    </w:rPr>
                  </w:pPr>
                  <w:r>
                    <w:rPr>
                      <w:rFonts w:hint="eastAsia"/>
                      <w:b/>
                      <w:bCs/>
                      <w:sz w:val="20"/>
                      <w:szCs w:val="20"/>
                    </w:rPr>
                    <w:t>年工作小时数</w:t>
                  </w:r>
                </w:p>
              </w:tc>
              <w:tc>
                <w:tcPr>
                  <w:tcW w:w="979" w:type="dxa"/>
                  <w:tcBorders>
                    <w:top w:val="single" w:color="auto" w:sz="12" w:space="0"/>
                    <w:left w:val="single" w:color="auto" w:sz="4" w:space="0"/>
                    <w:bottom w:val="single" w:color="auto" w:sz="4" w:space="0"/>
                    <w:right w:val="single" w:color="auto" w:sz="4" w:space="0"/>
                  </w:tcBorders>
                  <w:noWrap w:val="0"/>
                  <w:vAlign w:val="center"/>
                </w:tcPr>
                <w:p>
                  <w:pPr>
                    <w:jc w:val="center"/>
                    <w:rPr>
                      <w:b/>
                      <w:bCs/>
                      <w:sz w:val="20"/>
                      <w:szCs w:val="20"/>
                    </w:rPr>
                  </w:pPr>
                  <w:r>
                    <w:rPr>
                      <w:rFonts w:hint="eastAsia"/>
                      <w:b/>
                      <w:bCs/>
                      <w:sz w:val="20"/>
                      <w:szCs w:val="20"/>
                    </w:rPr>
                    <w:t>设备产能</w:t>
                  </w:r>
                </w:p>
              </w:tc>
              <w:tc>
                <w:tcPr>
                  <w:tcW w:w="785" w:type="dxa"/>
                  <w:tcBorders>
                    <w:top w:val="single" w:color="auto" w:sz="12" w:space="0"/>
                    <w:left w:val="single" w:color="auto" w:sz="4" w:space="0"/>
                    <w:bottom w:val="single" w:color="auto" w:sz="4" w:space="0"/>
                    <w:right w:val="nil"/>
                  </w:tcBorders>
                  <w:noWrap w:val="0"/>
                  <w:vAlign w:val="center"/>
                </w:tcPr>
                <w:p>
                  <w:pPr>
                    <w:jc w:val="center"/>
                    <w:rPr>
                      <w:b/>
                      <w:bCs/>
                      <w:sz w:val="20"/>
                      <w:szCs w:val="20"/>
                    </w:rPr>
                  </w:pPr>
                  <w:r>
                    <w:rPr>
                      <w:rFonts w:hint="eastAsia"/>
                      <w:b/>
                      <w:bCs/>
                      <w:sz w:val="20"/>
                      <w:szCs w:val="20"/>
                    </w:rPr>
                    <w:t>设计产能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tcBorders>
                    <w:top w:val="single" w:color="auto" w:sz="4" w:space="0"/>
                    <w:left w:val="nil"/>
                    <w:right w:val="single" w:color="auto" w:sz="4" w:space="0"/>
                  </w:tcBorders>
                  <w:noWrap w:val="0"/>
                  <w:vAlign w:val="center"/>
                </w:tcPr>
                <w:p>
                  <w:pPr>
                    <w:jc w:val="center"/>
                    <w:rPr>
                      <w:rFonts w:hint="eastAsia"/>
                      <w:sz w:val="20"/>
                      <w:szCs w:val="20"/>
                    </w:rPr>
                  </w:pPr>
                  <w:r>
                    <w:rPr>
                      <w:rFonts w:hint="eastAsia"/>
                      <w:sz w:val="20"/>
                      <w:szCs w:val="20"/>
                    </w:rPr>
                    <w:t>定型</w:t>
                  </w:r>
                </w:p>
              </w:tc>
              <w:tc>
                <w:tcPr>
                  <w:tcW w:w="872" w:type="dxa"/>
                  <w:tcBorders>
                    <w:top w:val="single" w:color="auto" w:sz="4" w:space="0"/>
                    <w:left w:val="single" w:color="auto" w:sz="4" w:space="0"/>
                    <w:right w:val="single" w:color="auto" w:sz="4" w:space="0"/>
                  </w:tcBorders>
                  <w:noWrap w:val="0"/>
                  <w:vAlign w:val="center"/>
                </w:tcPr>
                <w:p>
                  <w:pPr>
                    <w:jc w:val="center"/>
                    <w:rPr>
                      <w:rFonts w:hint="eastAsia"/>
                      <w:sz w:val="20"/>
                      <w:szCs w:val="20"/>
                    </w:rPr>
                  </w:pPr>
                  <w:r>
                    <w:rPr>
                      <w:rFonts w:hint="eastAsia"/>
                      <w:sz w:val="20"/>
                      <w:szCs w:val="20"/>
                    </w:rPr>
                    <w:t>定型机</w:t>
                  </w:r>
                </w:p>
              </w:tc>
              <w:tc>
                <w:tcPr>
                  <w:tcW w:w="1263" w:type="dxa"/>
                  <w:tcBorders>
                    <w:top w:val="single" w:color="auto" w:sz="4" w:space="0"/>
                    <w:left w:val="single" w:color="auto" w:sz="4" w:space="0"/>
                    <w:bottom w:val="single" w:color="auto" w:sz="12" w:space="0"/>
                    <w:right w:val="single" w:color="auto" w:sz="4" w:space="0"/>
                  </w:tcBorders>
                  <w:noWrap w:val="0"/>
                  <w:vAlign w:val="center"/>
                </w:tcPr>
                <w:p>
                  <w:pPr>
                    <w:jc w:val="center"/>
                    <w:rPr>
                      <w:sz w:val="20"/>
                      <w:szCs w:val="20"/>
                    </w:rPr>
                  </w:pPr>
                  <w:r>
                    <w:rPr>
                      <w:rFonts w:hint="eastAsia"/>
                      <w:sz w:val="20"/>
                      <w:szCs w:val="20"/>
                      <w:lang w:val="en-US" w:eastAsia="zh-CN"/>
                    </w:rPr>
                    <w:t>15</w:t>
                  </w:r>
                  <w:r>
                    <w:rPr>
                      <w:rFonts w:hint="eastAsia"/>
                      <w:sz w:val="20"/>
                      <w:szCs w:val="20"/>
                    </w:rPr>
                    <w:t>米</w:t>
                  </w:r>
                  <w:r>
                    <w:rPr>
                      <w:sz w:val="20"/>
                      <w:szCs w:val="20"/>
                    </w:rPr>
                    <w:t>/</w:t>
                  </w:r>
                  <w:r>
                    <w:rPr>
                      <w:rFonts w:hint="eastAsia"/>
                      <w:sz w:val="20"/>
                      <w:szCs w:val="20"/>
                    </w:rPr>
                    <w:t>分钟</w:t>
                  </w:r>
                </w:p>
              </w:tc>
              <w:tc>
                <w:tcPr>
                  <w:tcW w:w="636"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eastAsia="宋体"/>
                      <w:sz w:val="20"/>
                      <w:szCs w:val="20"/>
                      <w:lang w:val="en-US" w:eastAsia="zh-CN"/>
                    </w:rPr>
                  </w:pPr>
                  <w:r>
                    <w:rPr>
                      <w:rFonts w:hint="eastAsia"/>
                      <w:sz w:val="20"/>
                      <w:szCs w:val="20"/>
                      <w:lang w:val="en-US" w:eastAsia="zh-CN"/>
                    </w:rPr>
                    <w:t>2</w:t>
                  </w:r>
                </w:p>
              </w:tc>
              <w:tc>
                <w:tcPr>
                  <w:tcW w:w="991"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eastAsia="宋体"/>
                      <w:sz w:val="20"/>
                      <w:szCs w:val="20"/>
                      <w:lang w:val="en-US" w:eastAsia="zh-CN"/>
                    </w:rPr>
                  </w:pPr>
                  <w:r>
                    <w:rPr>
                      <w:rFonts w:hint="eastAsia"/>
                      <w:sz w:val="20"/>
                      <w:szCs w:val="20"/>
                      <w:lang w:val="en-US" w:eastAsia="zh-CN"/>
                    </w:rPr>
                    <w:t>羊毛布料</w:t>
                  </w:r>
                </w:p>
              </w:tc>
              <w:tc>
                <w:tcPr>
                  <w:tcW w:w="905" w:type="dxa"/>
                  <w:tcBorders>
                    <w:top w:val="single" w:color="auto" w:sz="4" w:space="0"/>
                    <w:left w:val="single" w:color="auto" w:sz="4" w:space="0"/>
                    <w:bottom w:val="single" w:color="auto" w:sz="12" w:space="0"/>
                    <w:right w:val="single" w:color="auto" w:sz="4" w:space="0"/>
                  </w:tcBorders>
                  <w:noWrap w:val="0"/>
                  <w:vAlign w:val="center"/>
                </w:tcPr>
                <w:p>
                  <w:pPr>
                    <w:jc w:val="center"/>
                    <w:rPr>
                      <w:sz w:val="20"/>
                      <w:szCs w:val="20"/>
                    </w:rPr>
                  </w:pPr>
                  <w:r>
                    <w:rPr>
                      <w:sz w:val="20"/>
                      <w:szCs w:val="20"/>
                    </w:rPr>
                    <w:t>300</w:t>
                  </w:r>
                </w:p>
              </w:tc>
              <w:tc>
                <w:tcPr>
                  <w:tcW w:w="1055" w:type="dxa"/>
                  <w:tcBorders>
                    <w:top w:val="single" w:color="auto" w:sz="4" w:space="0"/>
                    <w:left w:val="single" w:color="auto" w:sz="4" w:space="0"/>
                    <w:bottom w:val="single" w:color="auto" w:sz="12" w:space="0"/>
                    <w:right w:val="single" w:color="auto" w:sz="4" w:space="0"/>
                  </w:tcBorders>
                  <w:noWrap w:val="0"/>
                  <w:vAlign w:val="center"/>
                </w:tcPr>
                <w:p>
                  <w:pPr>
                    <w:jc w:val="center"/>
                    <w:rPr>
                      <w:sz w:val="20"/>
                      <w:szCs w:val="20"/>
                    </w:rPr>
                  </w:pPr>
                  <w:r>
                    <w:rPr>
                      <w:rFonts w:hint="eastAsia"/>
                      <w:sz w:val="20"/>
                      <w:szCs w:val="20"/>
                    </w:rPr>
                    <w:t>7200</w:t>
                  </w:r>
                </w:p>
              </w:tc>
              <w:tc>
                <w:tcPr>
                  <w:tcW w:w="979" w:type="dxa"/>
                  <w:tcBorders>
                    <w:top w:val="single" w:color="auto" w:sz="4" w:space="0"/>
                    <w:left w:val="single" w:color="auto" w:sz="4" w:space="0"/>
                    <w:bottom w:val="single" w:color="auto" w:sz="12" w:space="0"/>
                    <w:right w:val="single" w:color="auto" w:sz="4" w:space="0"/>
                  </w:tcBorders>
                  <w:noWrap w:val="0"/>
                  <w:vAlign w:val="center"/>
                </w:tcPr>
                <w:p>
                  <w:pPr>
                    <w:jc w:val="center"/>
                    <w:rPr>
                      <w:rFonts w:hint="eastAsia" w:eastAsia="宋体"/>
                      <w:sz w:val="20"/>
                      <w:szCs w:val="20"/>
                      <w:lang w:eastAsia="zh-CN"/>
                    </w:rPr>
                  </w:pPr>
                  <w:r>
                    <w:rPr>
                      <w:rFonts w:hint="eastAsia"/>
                      <w:sz w:val="20"/>
                      <w:szCs w:val="20"/>
                      <w:lang w:val="en-US" w:eastAsia="zh-CN"/>
                    </w:rPr>
                    <w:t>1296万米</w:t>
                  </w:r>
                </w:p>
              </w:tc>
              <w:tc>
                <w:tcPr>
                  <w:tcW w:w="785" w:type="dxa"/>
                  <w:tcBorders>
                    <w:top w:val="single" w:color="auto" w:sz="4" w:space="0"/>
                    <w:left w:val="single" w:color="auto" w:sz="4" w:space="0"/>
                    <w:bottom w:val="single" w:color="auto" w:sz="12" w:space="0"/>
                    <w:right w:val="nil"/>
                  </w:tcBorders>
                  <w:noWrap w:val="0"/>
                  <w:vAlign w:val="center"/>
                </w:tcPr>
                <w:p>
                  <w:pPr>
                    <w:jc w:val="center"/>
                    <w:rPr>
                      <w:rFonts w:hint="eastAsia" w:eastAsia="宋体"/>
                      <w:kern w:val="0"/>
                      <w:sz w:val="20"/>
                      <w:szCs w:val="20"/>
                      <w:lang w:eastAsia="zh-CN" w:bidi="ar"/>
                    </w:rPr>
                  </w:pPr>
                  <w:r>
                    <w:rPr>
                      <w:rFonts w:hint="eastAsia"/>
                      <w:sz w:val="20"/>
                      <w:szCs w:val="20"/>
                      <w:lang w:val="en-US" w:eastAsia="zh-CN"/>
                    </w:rPr>
                    <w:t>1000万米</w:t>
                  </w:r>
                </w:p>
              </w:tc>
            </w:tr>
          </w:tbl>
          <w:p>
            <w:pPr>
              <w:autoSpaceDE w:val="0"/>
              <w:autoSpaceDN w:val="0"/>
              <w:adjustRightInd w:val="0"/>
              <w:snapToGrid w:val="0"/>
              <w:spacing w:line="400" w:lineRule="exact"/>
              <w:ind w:firstLine="420" w:firstLineChars="200"/>
              <w:rPr>
                <w:rFonts w:hint="eastAsia"/>
              </w:rPr>
            </w:pPr>
            <w:r>
              <w:rPr>
                <w:rFonts w:hint="eastAsia"/>
              </w:rPr>
              <w:t>据表2</w:t>
            </w:r>
            <w:r>
              <w:rPr>
                <w:rFonts w:hint="eastAsia"/>
                <w:lang w:val="en-US" w:eastAsia="zh-CN"/>
              </w:rPr>
              <w:t>-7</w:t>
            </w:r>
            <w:r>
              <w:rPr>
                <w:rFonts w:hint="eastAsia"/>
              </w:rPr>
              <w:t>分析，设备产能满足设计产能要求。</w:t>
            </w:r>
            <w:bookmarkEnd w:id="9"/>
            <w:bookmarkEnd w:id="10"/>
          </w:p>
          <w:p>
            <w:pPr>
              <w:autoSpaceDE w:val="0"/>
              <w:autoSpaceDN w:val="0"/>
              <w:adjustRightInd w:val="0"/>
              <w:snapToGrid w:val="0"/>
              <w:spacing w:line="400" w:lineRule="exact"/>
              <w:ind w:firstLine="422" w:firstLineChars="200"/>
              <w:jc w:val="left"/>
              <w:rPr>
                <w:rFonts w:hint="default"/>
                <w:b/>
                <w:bCs/>
                <w:color w:val="FF0000"/>
                <w:szCs w:val="21"/>
                <w:highlight w:val="yellow"/>
                <w:lang w:val="en-US" w:eastAsia="zh-CN"/>
              </w:rPr>
            </w:pPr>
            <w:r>
              <w:rPr>
                <w:rFonts w:hint="eastAsia"/>
                <w:b/>
                <w:bCs/>
                <w:color w:val="FF0000"/>
                <w:szCs w:val="21"/>
                <w:lang w:val="en-US" w:eastAsia="zh-CN"/>
              </w:rPr>
              <w:pict>
                <v:shape id="_x0000_s2060" o:spid="_x0000_s2060" o:spt="75" type="#_x0000_t75" style="position:absolute;left:0pt;margin-left:-8.3pt;margin-top:16.4pt;height:285.75pt;width:422.05pt;z-index:251662336;mso-width-relative:page;mso-height-relative:page;" o:ole="t" filled="f" o:preferrelative="t" stroked="f" coordsize="21600,21600">
                  <v:path/>
                  <v:fill on="f" focussize="0,0"/>
                  <v:stroke on="f"/>
                  <v:imagedata r:id="rId11" o:title=""/>
                  <o:lock v:ext="edit" aspectratio="f"/>
                </v:shape>
                <o:OLEObject Type="Embed" ProgID="Visio.Drawing.15" ShapeID="_x0000_s2060" DrawAspect="Content" ObjectID="_1468075725" r:id="rId10">
                  <o:LockedField>false</o:LockedField>
                </o:OLEObject>
              </w:pict>
            </w:r>
            <w:r>
              <w:rPr>
                <w:rFonts w:hint="eastAsia"/>
                <w:b/>
                <w:bCs/>
                <w:color w:val="FF0000"/>
                <w:szCs w:val="21"/>
                <w:highlight w:val="none"/>
                <w:lang w:val="en-US" w:eastAsia="zh-CN"/>
              </w:rPr>
              <w:t>水平衡</w:t>
            </w: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both"/>
              <w:rPr>
                <w:rFonts w:hint="eastAsia"/>
                <w:b/>
                <w:bCs/>
                <w:color w:val="FF0000"/>
                <w:szCs w:val="21"/>
                <w:lang w:val="en-US" w:eastAsia="zh-CN"/>
              </w:rPr>
            </w:pPr>
          </w:p>
          <w:p>
            <w:pPr>
              <w:autoSpaceDE w:val="0"/>
              <w:autoSpaceDN w:val="0"/>
              <w:adjustRightInd w:val="0"/>
              <w:snapToGrid w:val="0"/>
              <w:spacing w:line="400" w:lineRule="exact"/>
              <w:jc w:val="both"/>
              <w:rPr>
                <w:rFonts w:hint="eastAsia"/>
                <w:b/>
                <w:bCs/>
                <w:color w:val="FF0000"/>
                <w:szCs w:val="21"/>
                <w:lang w:val="en-US" w:eastAsia="zh-CN"/>
              </w:rPr>
            </w:pPr>
          </w:p>
          <w:p>
            <w:pPr>
              <w:autoSpaceDE w:val="0"/>
              <w:autoSpaceDN w:val="0"/>
              <w:adjustRightInd w:val="0"/>
              <w:snapToGrid w:val="0"/>
              <w:spacing w:line="400" w:lineRule="exact"/>
              <w:jc w:val="both"/>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r>
              <w:rPr>
                <w:rFonts w:hint="eastAsia"/>
                <w:b/>
                <w:bCs/>
                <w:color w:val="FF0000"/>
                <w:szCs w:val="21"/>
                <w:lang w:val="en-US" w:eastAsia="zh-CN"/>
              </w:rPr>
              <w:t xml:space="preserve">图2-1 本项目水平衡图 </w:t>
            </w:r>
            <w:r>
              <w:rPr>
                <w:rFonts w:hint="eastAsia"/>
                <w:b w:val="0"/>
                <w:bCs w:val="0"/>
                <w:color w:val="FF0000"/>
                <w:szCs w:val="21"/>
                <w:lang w:val="en-US" w:eastAsia="zh-CN"/>
              </w:rPr>
              <w:t>单位：t/a</w:t>
            </w:r>
          </w:p>
          <w:p>
            <w:pPr>
              <w:autoSpaceDE w:val="0"/>
              <w:autoSpaceDN w:val="0"/>
              <w:adjustRightInd w:val="0"/>
              <w:snapToGrid w:val="0"/>
              <w:spacing w:line="400" w:lineRule="exact"/>
              <w:ind w:firstLine="422" w:firstLineChars="200"/>
              <w:jc w:val="left"/>
              <w:rPr>
                <w:rFonts w:hint="eastAsia"/>
                <w:b/>
                <w:bCs/>
                <w:color w:val="FF0000"/>
                <w:szCs w:val="21"/>
                <w:lang w:val="en-US" w:eastAsia="zh-CN"/>
              </w:rPr>
            </w:pPr>
            <w:r>
              <w:rPr>
                <w:rFonts w:hint="eastAsia"/>
                <w:b/>
                <w:bCs/>
                <w:color w:val="FF0000"/>
                <w:szCs w:val="21"/>
                <w:lang w:val="en-US" w:eastAsia="zh-CN"/>
              </w:rPr>
              <w:t>蒸汽平衡</w:t>
            </w:r>
          </w:p>
          <w:p>
            <w:pPr>
              <w:autoSpaceDE w:val="0"/>
              <w:autoSpaceDN w:val="0"/>
              <w:adjustRightInd w:val="0"/>
              <w:snapToGrid w:val="0"/>
              <w:spacing w:line="400" w:lineRule="exact"/>
              <w:ind w:firstLine="422" w:firstLineChars="200"/>
              <w:jc w:val="left"/>
              <w:rPr>
                <w:rFonts w:hint="default"/>
                <w:b/>
                <w:bCs/>
                <w:color w:val="FF0000"/>
                <w:szCs w:val="21"/>
                <w:lang w:val="en-US" w:eastAsia="zh-CN"/>
              </w:rPr>
            </w:pPr>
            <w:r>
              <w:rPr>
                <w:rFonts w:hint="default"/>
                <w:b/>
                <w:bCs/>
                <w:color w:val="FF0000"/>
                <w:szCs w:val="21"/>
                <w:lang w:val="en-US" w:eastAsia="zh-CN"/>
              </w:rPr>
              <w:pict>
                <v:shape id="_x0000_s2059" o:spid="_x0000_s2059" o:spt="75" type="#_x0000_t75" style="position:absolute;left:0pt;margin-left:2.5pt;margin-top:5.1pt;height:203.15pt;width:421.8pt;z-index:251662336;mso-width-relative:page;mso-height-relative:page;" o:ole="t" filled="f" o:preferrelative="t" stroked="f" coordsize="21600,21600">
                  <v:path/>
                  <v:fill on="f" focussize="0,0"/>
                  <v:stroke on="f"/>
                  <v:imagedata r:id="rId13" o:title=""/>
                  <o:lock v:ext="edit" aspectratio="f"/>
                </v:shape>
                <o:OLEObject Type="Embed" ProgID="Visio.Drawing.15" ShapeID="_x0000_s2059" DrawAspect="Content" ObjectID="_1468075726" r:id="rId12">
                  <o:LockedField>false</o:LockedField>
                </o:OLEObject>
              </w:pict>
            </w:r>
          </w:p>
          <w:p>
            <w:pPr>
              <w:autoSpaceDE w:val="0"/>
              <w:autoSpaceDN w:val="0"/>
              <w:adjustRightInd w:val="0"/>
              <w:snapToGrid w:val="0"/>
              <w:spacing w:line="400" w:lineRule="exact"/>
              <w:ind w:firstLine="422" w:firstLineChars="200"/>
              <w:jc w:val="left"/>
              <w:rPr>
                <w:rFonts w:hint="eastAsia"/>
                <w:b/>
                <w:bCs/>
                <w:color w:val="FF0000"/>
                <w:szCs w:val="21"/>
                <w:lang w:val="en-US" w:eastAsia="zh-CN"/>
              </w:rPr>
            </w:pPr>
          </w:p>
          <w:p>
            <w:pPr>
              <w:autoSpaceDE w:val="0"/>
              <w:autoSpaceDN w:val="0"/>
              <w:adjustRightInd w:val="0"/>
              <w:snapToGrid w:val="0"/>
              <w:spacing w:line="400" w:lineRule="exact"/>
              <w:jc w:val="both"/>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both"/>
              <w:rPr>
                <w:rFonts w:hint="eastAsia"/>
                <w:b/>
                <w:bCs/>
                <w:color w:val="FF0000"/>
                <w:szCs w:val="21"/>
                <w:lang w:val="en-US" w:eastAsia="zh-CN"/>
              </w:rPr>
            </w:pPr>
          </w:p>
          <w:p>
            <w:pPr>
              <w:autoSpaceDE w:val="0"/>
              <w:autoSpaceDN w:val="0"/>
              <w:adjustRightInd w:val="0"/>
              <w:snapToGrid w:val="0"/>
              <w:spacing w:line="400" w:lineRule="exact"/>
              <w:jc w:val="both"/>
              <w:rPr>
                <w:rFonts w:hint="eastAsia"/>
                <w:b/>
                <w:bCs/>
                <w:color w:val="FF0000"/>
                <w:szCs w:val="21"/>
                <w:lang w:val="en-US" w:eastAsia="zh-CN"/>
              </w:rPr>
            </w:pPr>
          </w:p>
          <w:p>
            <w:pPr>
              <w:autoSpaceDE w:val="0"/>
              <w:autoSpaceDN w:val="0"/>
              <w:adjustRightInd w:val="0"/>
              <w:snapToGrid w:val="0"/>
              <w:spacing w:line="400" w:lineRule="exact"/>
              <w:jc w:val="center"/>
              <w:rPr>
                <w:rFonts w:hint="eastAsia"/>
                <w:b w:val="0"/>
                <w:bCs w:val="0"/>
                <w:color w:val="FF0000"/>
                <w:szCs w:val="21"/>
                <w:lang w:val="en-US" w:eastAsia="zh-CN"/>
              </w:rPr>
            </w:pPr>
            <w:r>
              <w:rPr>
                <w:rFonts w:hint="eastAsia"/>
                <w:b/>
                <w:bCs/>
                <w:color w:val="FF0000"/>
                <w:szCs w:val="21"/>
                <w:lang w:val="en-US" w:eastAsia="zh-CN"/>
              </w:rPr>
              <w:t xml:space="preserve">图2-2 本项目蒸汽平衡图 </w:t>
            </w:r>
            <w:r>
              <w:rPr>
                <w:rFonts w:hint="eastAsia"/>
                <w:b w:val="0"/>
                <w:bCs w:val="0"/>
                <w:color w:val="FF0000"/>
                <w:szCs w:val="21"/>
                <w:lang w:val="en-US" w:eastAsia="zh-CN"/>
              </w:rPr>
              <w:t>单位：t/a</w:t>
            </w:r>
          </w:p>
          <w:p>
            <w:pPr>
              <w:autoSpaceDE w:val="0"/>
              <w:autoSpaceDN w:val="0"/>
              <w:adjustRightInd w:val="0"/>
              <w:snapToGrid w:val="0"/>
              <w:spacing w:line="400" w:lineRule="exact"/>
              <w:ind w:firstLine="360" w:firstLineChars="200"/>
              <w:jc w:val="both"/>
              <w:rPr>
                <w:rFonts w:hint="eastAsia"/>
                <w:b/>
                <w:bCs/>
                <w:color w:val="FF0000"/>
                <w:szCs w:val="21"/>
                <w:lang w:val="en-US" w:eastAsia="zh-CN"/>
              </w:rPr>
            </w:pPr>
            <w:r>
              <w:rPr>
                <w:rFonts w:hint="eastAsia"/>
                <w:b w:val="0"/>
                <w:bCs w:val="0"/>
                <w:color w:val="FF0000"/>
                <w:sz w:val="18"/>
                <w:szCs w:val="18"/>
                <w:lang w:val="en-US" w:eastAsia="zh-CN"/>
              </w:rPr>
              <w:t>注：锅炉用纯水</w:t>
            </w:r>
          </w:p>
          <w:p>
            <w:pPr>
              <w:autoSpaceDE w:val="0"/>
              <w:autoSpaceDN w:val="0"/>
              <w:adjustRightInd w:val="0"/>
              <w:snapToGrid w:val="0"/>
              <w:spacing w:line="400" w:lineRule="exact"/>
              <w:ind w:firstLine="422" w:firstLineChars="200"/>
              <w:jc w:val="left"/>
              <w:rPr>
                <w:rFonts w:hint="eastAsia"/>
                <w:b/>
                <w:bCs/>
                <w:color w:val="FF0000"/>
                <w:szCs w:val="21"/>
                <w:lang w:val="en-US" w:eastAsia="zh-CN"/>
              </w:rPr>
            </w:pPr>
            <w:r>
              <w:rPr>
                <w:rFonts w:hint="eastAsia"/>
                <w:b/>
                <w:bCs/>
                <w:color w:val="FF0000"/>
                <w:szCs w:val="21"/>
                <w:lang w:val="en-US" w:eastAsia="zh-CN"/>
              </w:rPr>
              <w:t>VOCs平衡</w:t>
            </w:r>
          </w:p>
          <w:p>
            <w:pPr>
              <w:autoSpaceDE w:val="0"/>
              <w:autoSpaceDN w:val="0"/>
              <w:adjustRightInd w:val="0"/>
              <w:snapToGrid w:val="0"/>
              <w:spacing w:line="400" w:lineRule="exact"/>
              <w:ind w:firstLine="420" w:firstLineChars="200"/>
              <w:jc w:val="left"/>
              <w:rPr>
                <w:rFonts w:hint="default"/>
                <w:b/>
                <w:bCs/>
                <w:color w:val="FF0000"/>
                <w:szCs w:val="21"/>
                <w:lang w:val="en-US" w:eastAsia="zh-CN"/>
              </w:rPr>
            </w:pPr>
            <w:r>
              <w:rPr>
                <w:rFonts w:hint="eastAsia"/>
                <w:color w:val="FF0000"/>
                <w:szCs w:val="21"/>
              </w:rPr>
              <w:pict>
                <v:shape id="_x0000_s2056" o:spid="_x0000_s2056" o:spt="75" type="#_x0000_t75" style="position:absolute;left:0pt;margin-left:21.65pt;margin-top:6.5pt;height:67.5pt;width:370.5pt;z-index:251660288;mso-width-relative:page;mso-height-relative:page;" o:ole="t" filled="f" o:preferrelative="t" stroked="f" coordsize="21600,21600">
                  <v:path/>
                  <v:fill on="f" focussize="0,0"/>
                  <v:stroke on="f"/>
                  <v:imagedata r:id="rId15" o:title=""/>
                  <o:lock v:ext="edit" aspectratio="f"/>
                </v:shape>
                <o:OLEObject Type="Embed" ProgID="Visio.Drawing.15" ShapeID="_x0000_s2056" DrawAspect="Content" ObjectID="_1468075727" r:id="rId14">
                  <o:LockedField>false</o:LockedField>
                </o:OLEObject>
              </w:pict>
            </w:r>
          </w:p>
          <w:p>
            <w:pPr>
              <w:autoSpaceDE w:val="0"/>
              <w:autoSpaceDN w:val="0"/>
              <w:adjustRightInd w:val="0"/>
              <w:snapToGrid w:val="0"/>
              <w:spacing w:line="400" w:lineRule="exact"/>
              <w:ind w:firstLine="422" w:firstLineChars="200"/>
              <w:jc w:val="left"/>
              <w:rPr>
                <w:rFonts w:hint="eastAsia"/>
                <w:b/>
                <w:bCs/>
                <w:color w:val="FF0000"/>
                <w:szCs w:val="21"/>
                <w:lang w:val="en-US" w:eastAsia="zh-CN"/>
              </w:rPr>
            </w:pPr>
          </w:p>
          <w:p>
            <w:pPr>
              <w:autoSpaceDE w:val="0"/>
              <w:autoSpaceDN w:val="0"/>
              <w:adjustRightInd w:val="0"/>
              <w:snapToGrid w:val="0"/>
              <w:spacing w:line="400" w:lineRule="exact"/>
              <w:jc w:val="left"/>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p>
          <w:p>
            <w:pPr>
              <w:autoSpaceDE w:val="0"/>
              <w:autoSpaceDN w:val="0"/>
              <w:adjustRightInd w:val="0"/>
              <w:snapToGrid w:val="0"/>
              <w:spacing w:line="400" w:lineRule="exact"/>
              <w:jc w:val="center"/>
              <w:rPr>
                <w:rFonts w:hint="eastAsia"/>
                <w:b/>
                <w:bCs/>
                <w:color w:val="FF0000"/>
                <w:szCs w:val="21"/>
                <w:lang w:val="en-US" w:eastAsia="zh-CN"/>
              </w:rPr>
            </w:pPr>
            <w:r>
              <w:rPr>
                <w:rFonts w:hint="eastAsia"/>
                <w:b/>
                <w:bCs/>
                <w:color w:val="FF0000"/>
                <w:szCs w:val="21"/>
                <w:lang w:val="en-US" w:eastAsia="zh-CN"/>
              </w:rPr>
              <w:t xml:space="preserve">图2-3 本项目VOCs平衡图 </w:t>
            </w:r>
            <w:r>
              <w:rPr>
                <w:rFonts w:hint="eastAsia"/>
                <w:b w:val="0"/>
                <w:bCs w:val="0"/>
                <w:color w:val="FF0000"/>
                <w:szCs w:val="21"/>
                <w:lang w:val="en-US" w:eastAsia="zh-CN"/>
              </w:rPr>
              <w:t>单位：t/a</w:t>
            </w:r>
          </w:p>
          <w:p>
            <w:pPr>
              <w:autoSpaceDE w:val="0"/>
              <w:autoSpaceDN w:val="0"/>
              <w:adjustRightInd w:val="0"/>
              <w:snapToGrid w:val="0"/>
              <w:spacing w:line="400" w:lineRule="exact"/>
              <w:ind w:firstLine="422" w:firstLineChars="200"/>
              <w:jc w:val="left"/>
              <w:rPr>
                <w:rFonts w:hint="eastAsia"/>
                <w:b/>
                <w:bCs/>
                <w:color w:val="FF0000"/>
                <w:szCs w:val="21"/>
                <w:lang w:val="en-US" w:eastAsia="zh-CN"/>
              </w:rPr>
            </w:pPr>
            <w:r>
              <w:rPr>
                <w:rFonts w:hint="eastAsia"/>
                <w:b/>
                <w:bCs/>
                <w:color w:val="FF0000"/>
                <w:szCs w:val="21"/>
                <w:lang w:val="en-US" w:eastAsia="zh-CN"/>
              </w:rPr>
              <w:t>汞平衡</w:t>
            </w:r>
          </w:p>
          <w:p>
            <w:pPr>
              <w:pStyle w:val="180"/>
              <w:spacing w:line="400" w:lineRule="exact"/>
              <w:rPr>
                <w:b/>
                <w:color w:val="FF0000"/>
                <w:kern w:val="2"/>
                <w:lang w:val="en-US" w:eastAsia="zh-CN"/>
              </w:rPr>
            </w:pPr>
            <w:r>
              <w:rPr>
                <w:b/>
                <w:color w:val="FF0000"/>
                <w:kern w:val="2"/>
                <w:lang w:val="en-US" w:eastAsia="zh-CN"/>
              </w:rPr>
              <w:t>表2-</w:t>
            </w:r>
            <w:r>
              <w:rPr>
                <w:rFonts w:hint="eastAsia"/>
                <w:b/>
                <w:color w:val="FF0000"/>
                <w:kern w:val="2"/>
                <w:lang w:val="en-US" w:eastAsia="zh-CN"/>
              </w:rPr>
              <w:t xml:space="preserve">8  </w:t>
            </w:r>
            <w:r>
              <w:rPr>
                <w:b/>
                <w:color w:val="FF0000"/>
                <w:kern w:val="2"/>
                <w:lang w:val="en-US" w:eastAsia="zh-CN"/>
              </w:rPr>
              <w:t xml:space="preserve"> </w:t>
            </w:r>
            <w:r>
              <w:rPr>
                <w:rFonts w:hint="eastAsia"/>
                <w:b/>
                <w:color w:val="FF0000"/>
                <w:kern w:val="2"/>
                <w:lang w:val="en-US" w:eastAsia="zh-CN"/>
              </w:rPr>
              <w:t>汞及其化合物</w:t>
            </w:r>
            <w:r>
              <w:rPr>
                <w:b/>
                <w:color w:val="FF0000"/>
                <w:kern w:val="2"/>
                <w:lang w:val="en-US" w:eastAsia="zh-CN"/>
              </w:rPr>
              <w:t>物料平衡表（单位:</w:t>
            </w:r>
            <w:r>
              <w:rPr>
                <w:rFonts w:hint="eastAsia"/>
                <w:b/>
                <w:color w:val="FF0000"/>
                <w:kern w:val="2"/>
                <w:lang w:val="en-US" w:eastAsia="zh-CN"/>
              </w:rPr>
              <w:t>kg</w:t>
            </w:r>
            <w:r>
              <w:rPr>
                <w:b/>
                <w:color w:val="FF0000"/>
                <w:kern w:val="2"/>
                <w:lang w:val="en-US" w:eastAsia="zh-CN"/>
              </w:rPr>
              <w:t>/a）</w:t>
            </w:r>
          </w:p>
          <w:tbl>
            <w:tblPr>
              <w:tblStyle w:val="90"/>
              <w:tblW w:w="5000" w:type="pct"/>
              <w:jc w:val="center"/>
              <w:tblLayout w:type="fixed"/>
              <w:tblCellMar>
                <w:top w:w="0" w:type="dxa"/>
                <w:left w:w="108" w:type="dxa"/>
                <w:bottom w:w="0" w:type="dxa"/>
                <w:right w:w="108" w:type="dxa"/>
              </w:tblCellMar>
            </w:tblPr>
            <w:tblGrid>
              <w:gridCol w:w="699"/>
              <w:gridCol w:w="2250"/>
              <w:gridCol w:w="1023"/>
              <w:gridCol w:w="3064"/>
              <w:gridCol w:w="1407"/>
            </w:tblGrid>
            <w:tr>
              <w:tblPrEx>
                <w:tblCellMar>
                  <w:top w:w="0" w:type="dxa"/>
                  <w:left w:w="108" w:type="dxa"/>
                  <w:bottom w:w="0" w:type="dxa"/>
                  <w:right w:w="108" w:type="dxa"/>
                </w:tblCellMar>
              </w:tblPrEx>
              <w:trPr>
                <w:trHeight w:val="340" w:hRule="atLeast"/>
                <w:jc w:val="center"/>
              </w:trPr>
              <w:tc>
                <w:tcPr>
                  <w:tcW w:w="2352" w:type="pct"/>
                  <w:gridSpan w:val="3"/>
                  <w:tcBorders>
                    <w:top w:val="single" w:color="auto" w:sz="12" w:space="0"/>
                    <w:bottom w:val="single" w:color="auto" w:sz="4" w:space="0"/>
                    <w:right w:val="single" w:color="000000" w:sz="4" w:space="0"/>
                  </w:tcBorders>
                  <w:vAlign w:val="center"/>
                </w:tcPr>
                <w:p>
                  <w:pPr>
                    <w:adjustRightInd w:val="0"/>
                    <w:snapToGrid w:val="0"/>
                    <w:jc w:val="center"/>
                    <w:rPr>
                      <w:b/>
                      <w:bCs/>
                      <w:color w:val="FF0000"/>
                      <w:kern w:val="0"/>
                      <w:sz w:val="20"/>
                      <w:szCs w:val="20"/>
                    </w:rPr>
                  </w:pPr>
                  <w:r>
                    <w:rPr>
                      <w:b/>
                      <w:bCs/>
                      <w:color w:val="FF0000"/>
                      <w:kern w:val="0"/>
                      <w:sz w:val="20"/>
                      <w:szCs w:val="20"/>
                    </w:rPr>
                    <w:t>入方</w:t>
                  </w:r>
                </w:p>
              </w:tc>
              <w:tc>
                <w:tcPr>
                  <w:tcW w:w="2647" w:type="pct"/>
                  <w:gridSpan w:val="2"/>
                  <w:tcBorders>
                    <w:top w:val="single" w:color="auto" w:sz="12" w:space="0"/>
                    <w:left w:val="nil"/>
                    <w:bottom w:val="single" w:color="auto" w:sz="4" w:space="0"/>
                  </w:tcBorders>
                  <w:vAlign w:val="center"/>
                </w:tcPr>
                <w:p>
                  <w:pPr>
                    <w:adjustRightInd w:val="0"/>
                    <w:snapToGrid w:val="0"/>
                    <w:jc w:val="center"/>
                    <w:rPr>
                      <w:b/>
                      <w:bCs/>
                      <w:color w:val="FF0000"/>
                      <w:kern w:val="0"/>
                      <w:sz w:val="20"/>
                      <w:szCs w:val="20"/>
                    </w:rPr>
                  </w:pPr>
                  <w:r>
                    <w:rPr>
                      <w:b/>
                      <w:bCs/>
                      <w:color w:val="FF0000"/>
                      <w:kern w:val="0"/>
                      <w:sz w:val="20"/>
                      <w:szCs w:val="20"/>
                    </w:rPr>
                    <w:t>出方</w:t>
                  </w:r>
                </w:p>
              </w:tc>
            </w:tr>
            <w:tr>
              <w:tblPrEx>
                <w:tblCellMar>
                  <w:top w:w="0" w:type="dxa"/>
                  <w:left w:w="108" w:type="dxa"/>
                  <w:bottom w:w="0" w:type="dxa"/>
                  <w:right w:w="108" w:type="dxa"/>
                </w:tblCellMar>
              </w:tblPrEx>
              <w:trPr>
                <w:trHeight w:val="340" w:hRule="atLeast"/>
                <w:jc w:val="center"/>
              </w:trPr>
              <w:tc>
                <w:tcPr>
                  <w:tcW w:w="413" w:type="pct"/>
                  <w:tcBorders>
                    <w:top w:val="nil"/>
                    <w:bottom w:val="single" w:color="auto" w:sz="12" w:space="0"/>
                    <w:right w:val="single" w:color="auto" w:sz="4" w:space="0"/>
                  </w:tcBorders>
                  <w:vAlign w:val="center"/>
                </w:tcPr>
                <w:p>
                  <w:pPr>
                    <w:adjustRightInd w:val="0"/>
                    <w:snapToGrid w:val="0"/>
                    <w:jc w:val="center"/>
                    <w:rPr>
                      <w:b/>
                      <w:bCs/>
                      <w:color w:val="FF0000"/>
                      <w:kern w:val="0"/>
                      <w:sz w:val="20"/>
                      <w:szCs w:val="20"/>
                    </w:rPr>
                  </w:pPr>
                  <w:r>
                    <w:rPr>
                      <w:b/>
                      <w:bCs/>
                      <w:color w:val="FF0000"/>
                      <w:kern w:val="0"/>
                      <w:sz w:val="20"/>
                      <w:szCs w:val="20"/>
                    </w:rPr>
                    <w:t>序号</w:t>
                  </w:r>
                </w:p>
              </w:tc>
              <w:tc>
                <w:tcPr>
                  <w:tcW w:w="1332" w:type="pct"/>
                  <w:tcBorders>
                    <w:top w:val="single" w:color="auto" w:sz="4" w:space="0"/>
                    <w:left w:val="nil"/>
                    <w:bottom w:val="single" w:color="auto" w:sz="12" w:space="0"/>
                    <w:right w:val="single" w:color="000000" w:sz="4" w:space="0"/>
                  </w:tcBorders>
                  <w:vAlign w:val="center"/>
                </w:tcPr>
                <w:p>
                  <w:pPr>
                    <w:adjustRightInd w:val="0"/>
                    <w:snapToGrid w:val="0"/>
                    <w:jc w:val="center"/>
                    <w:rPr>
                      <w:b/>
                      <w:bCs/>
                      <w:color w:val="FF0000"/>
                      <w:kern w:val="0"/>
                      <w:sz w:val="20"/>
                      <w:szCs w:val="20"/>
                    </w:rPr>
                  </w:pPr>
                  <w:r>
                    <w:rPr>
                      <w:b/>
                      <w:bCs/>
                      <w:color w:val="FF0000"/>
                      <w:kern w:val="0"/>
                      <w:sz w:val="20"/>
                      <w:szCs w:val="20"/>
                    </w:rPr>
                    <w:t>物料名称</w:t>
                  </w:r>
                </w:p>
              </w:tc>
              <w:tc>
                <w:tcPr>
                  <w:tcW w:w="605" w:type="pct"/>
                  <w:tcBorders>
                    <w:top w:val="nil"/>
                    <w:left w:val="nil"/>
                    <w:bottom w:val="single" w:color="auto" w:sz="12" w:space="0"/>
                    <w:right w:val="single" w:color="auto" w:sz="4" w:space="0"/>
                  </w:tcBorders>
                  <w:vAlign w:val="center"/>
                </w:tcPr>
                <w:p>
                  <w:pPr>
                    <w:adjustRightInd w:val="0"/>
                    <w:snapToGrid w:val="0"/>
                    <w:jc w:val="center"/>
                    <w:rPr>
                      <w:b/>
                      <w:bCs/>
                      <w:color w:val="FF0000"/>
                      <w:kern w:val="0"/>
                      <w:sz w:val="20"/>
                      <w:szCs w:val="20"/>
                    </w:rPr>
                  </w:pPr>
                  <w:r>
                    <w:rPr>
                      <w:b/>
                      <w:bCs/>
                      <w:color w:val="FF0000"/>
                      <w:kern w:val="0"/>
                      <w:sz w:val="20"/>
                      <w:szCs w:val="20"/>
                    </w:rPr>
                    <w:t>数量</w:t>
                  </w:r>
                </w:p>
              </w:tc>
              <w:tc>
                <w:tcPr>
                  <w:tcW w:w="1814" w:type="pct"/>
                  <w:tcBorders>
                    <w:top w:val="single" w:color="auto" w:sz="4" w:space="0"/>
                    <w:left w:val="nil"/>
                    <w:bottom w:val="single" w:color="auto" w:sz="12" w:space="0"/>
                    <w:right w:val="single" w:color="000000" w:sz="4" w:space="0"/>
                  </w:tcBorders>
                  <w:vAlign w:val="center"/>
                </w:tcPr>
                <w:p>
                  <w:pPr>
                    <w:adjustRightInd w:val="0"/>
                    <w:snapToGrid w:val="0"/>
                    <w:jc w:val="center"/>
                    <w:rPr>
                      <w:b/>
                      <w:bCs/>
                      <w:color w:val="FF0000"/>
                      <w:kern w:val="0"/>
                      <w:sz w:val="20"/>
                      <w:szCs w:val="20"/>
                    </w:rPr>
                  </w:pPr>
                  <w:r>
                    <w:rPr>
                      <w:b/>
                      <w:bCs/>
                      <w:color w:val="FF0000"/>
                      <w:kern w:val="0"/>
                      <w:sz w:val="20"/>
                      <w:szCs w:val="20"/>
                    </w:rPr>
                    <w:t>物料名称</w:t>
                  </w:r>
                </w:p>
              </w:tc>
              <w:tc>
                <w:tcPr>
                  <w:tcW w:w="833" w:type="pct"/>
                  <w:tcBorders>
                    <w:top w:val="nil"/>
                    <w:left w:val="nil"/>
                    <w:bottom w:val="single" w:color="auto" w:sz="12" w:space="0"/>
                  </w:tcBorders>
                  <w:vAlign w:val="center"/>
                </w:tcPr>
                <w:p>
                  <w:pPr>
                    <w:adjustRightInd w:val="0"/>
                    <w:snapToGrid w:val="0"/>
                    <w:jc w:val="center"/>
                    <w:rPr>
                      <w:b/>
                      <w:bCs/>
                      <w:color w:val="FF0000"/>
                      <w:kern w:val="0"/>
                      <w:sz w:val="20"/>
                      <w:szCs w:val="20"/>
                    </w:rPr>
                  </w:pPr>
                  <w:r>
                    <w:rPr>
                      <w:b/>
                      <w:bCs/>
                      <w:color w:val="FF0000"/>
                      <w:kern w:val="0"/>
                      <w:sz w:val="20"/>
                      <w:szCs w:val="20"/>
                    </w:rPr>
                    <w:t>数量</w:t>
                  </w:r>
                </w:p>
              </w:tc>
            </w:tr>
            <w:tr>
              <w:tblPrEx>
                <w:tblCellMar>
                  <w:top w:w="0" w:type="dxa"/>
                  <w:left w:w="108" w:type="dxa"/>
                  <w:bottom w:w="0" w:type="dxa"/>
                  <w:right w:w="108" w:type="dxa"/>
                </w:tblCellMar>
              </w:tblPrEx>
              <w:trPr>
                <w:trHeight w:val="340" w:hRule="atLeast"/>
                <w:jc w:val="center"/>
              </w:trPr>
              <w:tc>
                <w:tcPr>
                  <w:tcW w:w="413" w:type="pct"/>
                  <w:tcBorders>
                    <w:top w:val="single" w:color="auto" w:sz="12" w:space="0"/>
                    <w:bottom w:val="single" w:color="auto" w:sz="4" w:space="0"/>
                    <w:right w:val="single" w:color="auto" w:sz="4" w:space="0"/>
                  </w:tcBorders>
                  <w:noWrap/>
                  <w:vAlign w:val="center"/>
                </w:tcPr>
                <w:p>
                  <w:pPr>
                    <w:adjustRightInd w:val="0"/>
                    <w:snapToGrid w:val="0"/>
                    <w:jc w:val="center"/>
                    <w:rPr>
                      <w:color w:val="FF0000"/>
                      <w:kern w:val="0"/>
                      <w:sz w:val="20"/>
                      <w:szCs w:val="20"/>
                    </w:rPr>
                  </w:pPr>
                  <w:r>
                    <w:rPr>
                      <w:color w:val="FF0000"/>
                      <w:kern w:val="0"/>
                      <w:sz w:val="20"/>
                      <w:szCs w:val="20"/>
                    </w:rPr>
                    <w:t>1</w:t>
                  </w:r>
                </w:p>
              </w:tc>
              <w:tc>
                <w:tcPr>
                  <w:tcW w:w="1332" w:type="pct"/>
                  <w:tcBorders>
                    <w:top w:val="single" w:color="auto" w:sz="12" w:space="0"/>
                    <w:left w:val="nil"/>
                    <w:bottom w:val="single" w:color="auto" w:sz="4" w:space="0"/>
                    <w:right w:val="single" w:color="000000" w:sz="4" w:space="0"/>
                  </w:tcBorders>
                  <w:noWrap/>
                  <w:vAlign w:val="center"/>
                </w:tcPr>
                <w:p>
                  <w:pPr>
                    <w:adjustRightInd w:val="0"/>
                    <w:snapToGrid w:val="0"/>
                    <w:jc w:val="center"/>
                    <w:rPr>
                      <w:rFonts w:hint="eastAsia" w:eastAsia="宋体"/>
                      <w:color w:val="FF0000"/>
                      <w:kern w:val="0"/>
                      <w:sz w:val="20"/>
                      <w:szCs w:val="20"/>
                      <w:lang w:eastAsia="zh-CN"/>
                    </w:rPr>
                  </w:pPr>
                  <w:r>
                    <w:rPr>
                      <w:rFonts w:hint="eastAsia"/>
                      <w:color w:val="FF0000"/>
                      <w:kern w:val="0"/>
                      <w:sz w:val="20"/>
                      <w:szCs w:val="20"/>
                      <w:lang w:val="en-US" w:eastAsia="zh-CN"/>
                    </w:rPr>
                    <w:t>生物质燃料含汞</w:t>
                  </w:r>
                </w:p>
              </w:tc>
              <w:tc>
                <w:tcPr>
                  <w:tcW w:w="605" w:type="pct"/>
                  <w:tcBorders>
                    <w:top w:val="single" w:color="auto" w:sz="12" w:space="0"/>
                    <w:left w:val="nil"/>
                    <w:bottom w:val="single" w:color="auto" w:sz="4" w:space="0"/>
                    <w:right w:val="single" w:color="auto" w:sz="4" w:space="0"/>
                  </w:tcBorders>
                  <w:noWrap/>
                  <w:vAlign w:val="center"/>
                </w:tcPr>
                <w:p>
                  <w:pPr>
                    <w:adjustRightInd w:val="0"/>
                    <w:snapToGrid w:val="0"/>
                    <w:jc w:val="center"/>
                    <w:rPr>
                      <w:rFonts w:hint="default" w:eastAsia="宋体"/>
                      <w:color w:val="FF0000"/>
                      <w:kern w:val="0"/>
                      <w:sz w:val="20"/>
                      <w:szCs w:val="20"/>
                      <w:lang w:val="en-US" w:eastAsia="zh-CN"/>
                    </w:rPr>
                  </w:pPr>
                  <w:r>
                    <w:rPr>
                      <w:rFonts w:hint="eastAsia"/>
                      <w:color w:val="FF0000"/>
                      <w:kern w:val="0"/>
                      <w:sz w:val="20"/>
                      <w:szCs w:val="20"/>
                      <w:lang w:val="en-US" w:eastAsia="zh-CN"/>
                    </w:rPr>
                    <w:t>5.374</w:t>
                  </w:r>
                </w:p>
              </w:tc>
              <w:tc>
                <w:tcPr>
                  <w:tcW w:w="1814" w:type="pct"/>
                  <w:tcBorders>
                    <w:top w:val="single" w:color="auto" w:sz="12" w:space="0"/>
                    <w:left w:val="nil"/>
                    <w:bottom w:val="single" w:color="auto" w:sz="4" w:space="0"/>
                    <w:right w:val="single" w:color="000000" w:sz="4" w:space="0"/>
                  </w:tcBorders>
                  <w:noWrap/>
                  <w:vAlign w:val="center"/>
                </w:tcPr>
                <w:p>
                  <w:pPr>
                    <w:adjustRightInd w:val="0"/>
                    <w:snapToGrid w:val="0"/>
                    <w:jc w:val="center"/>
                    <w:rPr>
                      <w:rFonts w:hint="default" w:eastAsia="宋体"/>
                      <w:color w:val="FF0000"/>
                      <w:kern w:val="0"/>
                      <w:sz w:val="20"/>
                      <w:szCs w:val="20"/>
                      <w:lang w:val="en-US" w:eastAsia="zh-CN"/>
                    </w:rPr>
                  </w:pPr>
                  <w:r>
                    <w:rPr>
                      <w:rFonts w:hint="eastAsia"/>
                      <w:color w:val="FF0000"/>
                      <w:kern w:val="0"/>
                      <w:sz w:val="20"/>
                      <w:szCs w:val="20"/>
                      <w:lang w:val="en-US" w:eastAsia="zh-CN"/>
                    </w:rPr>
                    <w:t>有组织排放废气</w:t>
                  </w:r>
                </w:p>
              </w:tc>
              <w:tc>
                <w:tcPr>
                  <w:tcW w:w="833" w:type="pct"/>
                  <w:tcBorders>
                    <w:top w:val="single" w:color="auto" w:sz="12" w:space="0"/>
                    <w:left w:val="nil"/>
                    <w:bottom w:val="single" w:color="auto" w:sz="4" w:space="0"/>
                  </w:tcBorders>
                  <w:noWrap/>
                  <w:vAlign w:val="center"/>
                </w:tcPr>
                <w:p>
                  <w:pPr>
                    <w:adjustRightInd w:val="0"/>
                    <w:snapToGrid w:val="0"/>
                    <w:jc w:val="center"/>
                    <w:rPr>
                      <w:rFonts w:hint="default" w:eastAsia="宋体"/>
                      <w:color w:val="FF0000"/>
                      <w:kern w:val="0"/>
                      <w:sz w:val="20"/>
                      <w:szCs w:val="20"/>
                      <w:lang w:val="en-US" w:eastAsia="zh-CN"/>
                    </w:rPr>
                  </w:pPr>
                  <w:r>
                    <w:rPr>
                      <w:rFonts w:hint="eastAsia" w:eastAsia="宋体"/>
                      <w:color w:val="FF0000"/>
                      <w:kern w:val="0"/>
                      <w:sz w:val="20"/>
                      <w:szCs w:val="20"/>
                      <w:lang w:val="en-US" w:eastAsia="zh-CN"/>
                    </w:rPr>
                    <w:t>1.612</w:t>
                  </w:r>
                </w:p>
              </w:tc>
            </w:tr>
            <w:tr>
              <w:tblPrEx>
                <w:tblCellMar>
                  <w:top w:w="0" w:type="dxa"/>
                  <w:left w:w="108" w:type="dxa"/>
                  <w:bottom w:w="0" w:type="dxa"/>
                  <w:right w:w="108" w:type="dxa"/>
                </w:tblCellMar>
              </w:tblPrEx>
              <w:trPr>
                <w:trHeight w:val="340" w:hRule="atLeast"/>
                <w:jc w:val="center"/>
              </w:trPr>
              <w:tc>
                <w:tcPr>
                  <w:tcW w:w="413" w:type="pct"/>
                  <w:tcBorders>
                    <w:top w:val="single" w:color="auto" w:sz="4" w:space="0"/>
                    <w:bottom w:val="single" w:color="auto" w:sz="4" w:space="0"/>
                    <w:right w:val="single" w:color="auto" w:sz="4" w:space="0"/>
                  </w:tcBorders>
                  <w:noWrap/>
                  <w:vAlign w:val="center"/>
                </w:tcPr>
                <w:p>
                  <w:pPr>
                    <w:adjustRightInd w:val="0"/>
                    <w:snapToGrid w:val="0"/>
                    <w:jc w:val="center"/>
                    <w:rPr>
                      <w:color w:val="FF0000"/>
                      <w:kern w:val="0"/>
                      <w:sz w:val="20"/>
                      <w:szCs w:val="20"/>
                    </w:rPr>
                  </w:pPr>
                  <w:r>
                    <w:rPr>
                      <w:color w:val="FF0000"/>
                      <w:kern w:val="0"/>
                      <w:sz w:val="20"/>
                      <w:szCs w:val="20"/>
                    </w:rPr>
                    <w:t>/</w:t>
                  </w:r>
                </w:p>
              </w:tc>
              <w:tc>
                <w:tcPr>
                  <w:tcW w:w="1332" w:type="pct"/>
                  <w:tcBorders>
                    <w:top w:val="nil"/>
                    <w:left w:val="nil"/>
                    <w:bottom w:val="single" w:color="auto" w:sz="4" w:space="0"/>
                    <w:right w:val="single" w:color="auto" w:sz="4" w:space="0"/>
                  </w:tcBorders>
                  <w:noWrap/>
                  <w:vAlign w:val="center"/>
                </w:tcPr>
                <w:p>
                  <w:pPr>
                    <w:adjustRightInd w:val="0"/>
                    <w:snapToGrid w:val="0"/>
                    <w:jc w:val="center"/>
                    <w:rPr>
                      <w:color w:val="FF0000"/>
                      <w:kern w:val="0"/>
                      <w:sz w:val="20"/>
                      <w:szCs w:val="20"/>
                    </w:rPr>
                  </w:pPr>
                  <w:r>
                    <w:rPr>
                      <w:color w:val="FF0000"/>
                      <w:kern w:val="0"/>
                      <w:sz w:val="20"/>
                      <w:szCs w:val="20"/>
                    </w:rPr>
                    <w:t>/</w:t>
                  </w:r>
                </w:p>
              </w:tc>
              <w:tc>
                <w:tcPr>
                  <w:tcW w:w="605" w:type="pct"/>
                  <w:tcBorders>
                    <w:top w:val="nil"/>
                    <w:left w:val="nil"/>
                    <w:bottom w:val="single" w:color="auto" w:sz="4" w:space="0"/>
                    <w:right w:val="single" w:color="auto" w:sz="4" w:space="0"/>
                  </w:tcBorders>
                  <w:noWrap/>
                  <w:vAlign w:val="center"/>
                </w:tcPr>
                <w:p>
                  <w:pPr>
                    <w:adjustRightInd w:val="0"/>
                    <w:snapToGrid w:val="0"/>
                    <w:jc w:val="center"/>
                    <w:rPr>
                      <w:color w:val="FF0000"/>
                      <w:sz w:val="20"/>
                      <w:szCs w:val="20"/>
                    </w:rPr>
                  </w:pPr>
                  <w:r>
                    <w:rPr>
                      <w:color w:val="FF0000"/>
                      <w:sz w:val="20"/>
                      <w:szCs w:val="20"/>
                    </w:rPr>
                    <w:t>/</w:t>
                  </w:r>
                </w:p>
              </w:tc>
              <w:tc>
                <w:tcPr>
                  <w:tcW w:w="1814" w:type="pct"/>
                  <w:tcBorders>
                    <w:top w:val="single" w:color="auto" w:sz="4" w:space="0"/>
                    <w:left w:val="nil"/>
                    <w:right w:val="single" w:color="000000" w:sz="4" w:space="0"/>
                  </w:tcBorders>
                  <w:noWrap/>
                  <w:vAlign w:val="center"/>
                </w:tcPr>
                <w:p>
                  <w:pPr>
                    <w:adjustRightInd w:val="0"/>
                    <w:snapToGrid w:val="0"/>
                    <w:jc w:val="center"/>
                    <w:rPr>
                      <w:rFonts w:hint="default" w:eastAsia="宋体"/>
                      <w:color w:val="FF0000"/>
                      <w:kern w:val="0"/>
                      <w:sz w:val="20"/>
                      <w:szCs w:val="20"/>
                      <w:lang w:val="en-US" w:eastAsia="zh-CN"/>
                    </w:rPr>
                  </w:pPr>
                  <w:r>
                    <w:rPr>
                      <w:rFonts w:hint="eastAsia"/>
                      <w:color w:val="FF0000"/>
                      <w:kern w:val="0"/>
                      <w:sz w:val="20"/>
                      <w:szCs w:val="20"/>
                      <w:lang w:val="en-US" w:eastAsia="zh-CN"/>
                    </w:rPr>
                    <w:t>危废（废粉尘）</w:t>
                  </w:r>
                </w:p>
              </w:tc>
              <w:tc>
                <w:tcPr>
                  <w:tcW w:w="833" w:type="pct"/>
                  <w:tcBorders>
                    <w:top w:val="nil"/>
                    <w:left w:val="nil"/>
                    <w:bottom w:val="single" w:color="auto" w:sz="4" w:space="0"/>
                  </w:tcBorders>
                  <w:noWrap/>
                  <w:vAlign w:val="center"/>
                </w:tcPr>
                <w:p>
                  <w:pPr>
                    <w:adjustRightInd w:val="0"/>
                    <w:snapToGrid w:val="0"/>
                    <w:jc w:val="center"/>
                    <w:rPr>
                      <w:rFonts w:hint="default" w:eastAsia="宋体"/>
                      <w:color w:val="FF0000"/>
                      <w:sz w:val="20"/>
                      <w:szCs w:val="20"/>
                      <w:lang w:val="en-US" w:eastAsia="zh-CN"/>
                    </w:rPr>
                  </w:pPr>
                  <w:r>
                    <w:rPr>
                      <w:rFonts w:hint="eastAsia" w:eastAsia="宋体"/>
                      <w:color w:val="FF0000"/>
                      <w:sz w:val="20"/>
                      <w:szCs w:val="20"/>
                      <w:lang w:val="en-US" w:eastAsia="zh-CN"/>
                    </w:rPr>
                    <w:t>3.762</w:t>
                  </w:r>
                </w:p>
              </w:tc>
            </w:tr>
            <w:tr>
              <w:tblPrEx>
                <w:tblCellMar>
                  <w:top w:w="0" w:type="dxa"/>
                  <w:left w:w="108" w:type="dxa"/>
                  <w:bottom w:w="0" w:type="dxa"/>
                  <w:right w:w="108" w:type="dxa"/>
                </w:tblCellMar>
              </w:tblPrEx>
              <w:trPr>
                <w:trHeight w:val="340" w:hRule="atLeast"/>
                <w:jc w:val="center"/>
              </w:trPr>
              <w:tc>
                <w:tcPr>
                  <w:tcW w:w="1746" w:type="pct"/>
                  <w:gridSpan w:val="2"/>
                  <w:tcBorders>
                    <w:top w:val="single" w:color="auto" w:sz="4" w:space="0"/>
                    <w:bottom w:val="single" w:color="auto" w:sz="12" w:space="0"/>
                    <w:right w:val="single" w:color="000000" w:sz="4" w:space="0"/>
                  </w:tcBorders>
                  <w:noWrap/>
                  <w:vAlign w:val="center"/>
                </w:tcPr>
                <w:p>
                  <w:pPr>
                    <w:adjustRightInd w:val="0"/>
                    <w:snapToGrid w:val="0"/>
                    <w:jc w:val="center"/>
                    <w:rPr>
                      <w:color w:val="FF0000"/>
                      <w:kern w:val="0"/>
                      <w:sz w:val="20"/>
                      <w:szCs w:val="20"/>
                    </w:rPr>
                  </w:pPr>
                  <w:r>
                    <w:rPr>
                      <w:color w:val="FF0000"/>
                      <w:kern w:val="0"/>
                      <w:sz w:val="20"/>
                      <w:szCs w:val="20"/>
                    </w:rPr>
                    <w:t>合计</w:t>
                  </w:r>
                </w:p>
              </w:tc>
              <w:tc>
                <w:tcPr>
                  <w:tcW w:w="605" w:type="pct"/>
                  <w:tcBorders>
                    <w:top w:val="nil"/>
                    <w:left w:val="nil"/>
                    <w:bottom w:val="single" w:color="auto" w:sz="12" w:space="0"/>
                    <w:right w:val="nil"/>
                  </w:tcBorders>
                  <w:noWrap/>
                  <w:vAlign w:val="center"/>
                </w:tcPr>
                <w:p>
                  <w:pPr>
                    <w:adjustRightInd w:val="0"/>
                    <w:snapToGrid w:val="0"/>
                    <w:jc w:val="center"/>
                    <w:rPr>
                      <w:rFonts w:hint="default" w:eastAsia="宋体"/>
                      <w:color w:val="FF0000"/>
                      <w:kern w:val="0"/>
                      <w:sz w:val="20"/>
                      <w:szCs w:val="20"/>
                      <w:lang w:val="en-US" w:eastAsia="zh-CN"/>
                    </w:rPr>
                  </w:pPr>
                  <w:r>
                    <w:rPr>
                      <w:rFonts w:hint="eastAsia"/>
                      <w:color w:val="FF0000"/>
                      <w:kern w:val="0"/>
                      <w:sz w:val="20"/>
                      <w:szCs w:val="20"/>
                      <w:lang w:val="en-US" w:eastAsia="zh-CN"/>
                    </w:rPr>
                    <w:t>5.374</w:t>
                  </w:r>
                </w:p>
              </w:tc>
              <w:tc>
                <w:tcPr>
                  <w:tcW w:w="1814" w:type="pct"/>
                  <w:tcBorders>
                    <w:top w:val="single" w:color="auto" w:sz="4" w:space="0"/>
                    <w:left w:val="single" w:color="auto" w:sz="4" w:space="0"/>
                    <w:bottom w:val="single" w:color="auto" w:sz="12" w:space="0"/>
                    <w:right w:val="single" w:color="000000" w:sz="4" w:space="0"/>
                  </w:tcBorders>
                  <w:noWrap/>
                  <w:vAlign w:val="center"/>
                </w:tcPr>
                <w:p>
                  <w:pPr>
                    <w:adjustRightInd w:val="0"/>
                    <w:snapToGrid w:val="0"/>
                    <w:jc w:val="center"/>
                    <w:rPr>
                      <w:color w:val="FF0000"/>
                      <w:kern w:val="0"/>
                      <w:sz w:val="20"/>
                      <w:szCs w:val="20"/>
                    </w:rPr>
                  </w:pPr>
                  <w:r>
                    <w:rPr>
                      <w:color w:val="FF0000"/>
                      <w:kern w:val="0"/>
                      <w:sz w:val="20"/>
                      <w:szCs w:val="20"/>
                    </w:rPr>
                    <w:t>合计</w:t>
                  </w:r>
                </w:p>
              </w:tc>
              <w:tc>
                <w:tcPr>
                  <w:tcW w:w="833" w:type="pct"/>
                  <w:tcBorders>
                    <w:top w:val="nil"/>
                    <w:left w:val="nil"/>
                    <w:bottom w:val="single" w:color="auto" w:sz="12" w:space="0"/>
                  </w:tcBorders>
                  <w:noWrap/>
                  <w:vAlign w:val="center"/>
                </w:tcPr>
                <w:p>
                  <w:pPr>
                    <w:adjustRightInd w:val="0"/>
                    <w:snapToGrid w:val="0"/>
                    <w:jc w:val="center"/>
                    <w:rPr>
                      <w:rFonts w:hint="default" w:eastAsia="宋体"/>
                      <w:color w:val="FF0000"/>
                      <w:kern w:val="0"/>
                      <w:sz w:val="20"/>
                      <w:szCs w:val="20"/>
                      <w:lang w:val="en-US" w:eastAsia="zh-CN"/>
                    </w:rPr>
                  </w:pPr>
                  <w:r>
                    <w:rPr>
                      <w:rFonts w:hint="eastAsia"/>
                      <w:color w:val="FF0000"/>
                      <w:kern w:val="0"/>
                      <w:sz w:val="20"/>
                      <w:szCs w:val="20"/>
                      <w:lang w:val="en-US" w:eastAsia="zh-CN"/>
                    </w:rPr>
                    <w:t>5.374</w:t>
                  </w:r>
                </w:p>
              </w:tc>
            </w:tr>
          </w:tbl>
          <w:p>
            <w:pPr>
              <w:autoSpaceDE w:val="0"/>
              <w:autoSpaceDN w:val="0"/>
              <w:adjustRightInd w:val="0"/>
              <w:snapToGrid w:val="0"/>
              <w:spacing w:line="400" w:lineRule="exact"/>
              <w:ind w:firstLine="422" w:firstLineChars="200"/>
              <w:jc w:val="left"/>
              <w:rPr>
                <w:b/>
                <w:bCs/>
                <w:color w:val="auto"/>
                <w:szCs w:val="21"/>
                <w:lang w:val="pt-BR"/>
              </w:rPr>
            </w:pPr>
            <w:r>
              <w:rPr>
                <w:rFonts w:hint="eastAsia"/>
                <w:b/>
                <w:bCs/>
                <w:color w:val="auto"/>
                <w:szCs w:val="21"/>
                <w:lang w:val="en-US" w:eastAsia="zh-CN"/>
              </w:rPr>
              <w:t>3</w:t>
            </w:r>
            <w:r>
              <w:rPr>
                <w:b/>
                <w:bCs/>
                <w:color w:val="auto"/>
                <w:szCs w:val="21"/>
              </w:rPr>
              <w:t>、劳动定员及工作制</w:t>
            </w:r>
          </w:p>
          <w:p>
            <w:pPr>
              <w:autoSpaceDE w:val="0"/>
              <w:autoSpaceDN w:val="0"/>
              <w:adjustRightInd w:val="0"/>
              <w:snapToGrid w:val="0"/>
              <w:spacing w:line="400" w:lineRule="exact"/>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本项目新增职工50人，全年工作日为300天，三班制，每班8小时制，年工作时间7200h。厂区内不设食宿。</w:t>
            </w:r>
          </w:p>
          <w:p>
            <w:pPr>
              <w:autoSpaceDE w:val="0"/>
              <w:autoSpaceDN w:val="0"/>
              <w:adjustRightInd w:val="0"/>
              <w:snapToGrid w:val="0"/>
              <w:spacing w:line="400" w:lineRule="exact"/>
              <w:ind w:firstLine="422" w:firstLineChars="200"/>
              <w:jc w:val="left"/>
              <w:rPr>
                <w:b/>
                <w:bCs/>
                <w:color w:val="auto"/>
                <w:szCs w:val="21"/>
              </w:rPr>
            </w:pPr>
            <w:r>
              <w:rPr>
                <w:rFonts w:hint="eastAsia"/>
                <w:b/>
                <w:bCs/>
                <w:color w:val="auto"/>
                <w:szCs w:val="21"/>
                <w:lang w:val="en-US" w:eastAsia="zh-CN"/>
              </w:rPr>
              <w:t>4</w:t>
            </w:r>
            <w:r>
              <w:rPr>
                <w:b/>
                <w:bCs/>
                <w:color w:val="auto"/>
                <w:szCs w:val="21"/>
              </w:rPr>
              <w:t>、厂区平面布置</w:t>
            </w:r>
          </w:p>
          <w:p>
            <w:pPr>
              <w:autoSpaceDE w:val="0"/>
              <w:autoSpaceDN w:val="0"/>
              <w:adjustRightInd w:val="0"/>
              <w:snapToGrid w:val="0"/>
              <w:spacing w:line="400" w:lineRule="exact"/>
              <w:ind w:firstLine="420" w:firstLineChars="20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本项目租用南通华胜数码纺织科技有限公司位于如皋市九华镇马桥村18组现有</w:t>
            </w:r>
            <w:r>
              <w:rPr>
                <w:rFonts w:hint="eastAsia" w:cs="Times New Roman"/>
                <w:lang w:val="en-US" w:eastAsia="zh-CN"/>
              </w:rPr>
              <w:t>北侧闲置</w:t>
            </w:r>
            <w:r>
              <w:rPr>
                <w:rFonts w:hint="eastAsia" w:ascii="Times New Roman" w:hAnsi="Times New Roman" w:eastAsia="宋体" w:cs="Times New Roman"/>
                <w:lang w:val="en-US" w:eastAsia="zh-CN"/>
              </w:rPr>
              <w:t>厂房作生产车间，</w:t>
            </w:r>
            <w:r>
              <w:rPr>
                <w:rFonts w:hint="eastAsia" w:cs="Times New Roman"/>
                <w:lang w:val="en-US" w:eastAsia="zh-CN"/>
              </w:rPr>
              <w:t>东北侧闲置厂房作</w:t>
            </w:r>
            <w:r>
              <w:rPr>
                <w:rFonts w:hint="eastAsia" w:ascii="Times New Roman" w:hAnsi="Times New Roman" w:eastAsia="宋体" w:cs="Times New Roman"/>
                <w:lang w:val="en-US" w:eastAsia="zh-CN"/>
              </w:rPr>
              <w:t>锅炉房，生产车间内由东向西设有原料仓库、成品仓库、一般固废仓</w:t>
            </w:r>
            <w:r>
              <w:rPr>
                <w:rFonts w:hint="eastAsia" w:cs="Times New Roman"/>
                <w:lang w:val="en-US" w:eastAsia="zh-CN"/>
              </w:rPr>
              <w:t>库、</w:t>
            </w:r>
            <w:r>
              <w:rPr>
                <w:rFonts w:hint="eastAsia" w:ascii="Times New Roman" w:hAnsi="Times New Roman" w:eastAsia="宋体" w:cs="Times New Roman"/>
                <w:lang w:val="en-US" w:eastAsia="zh-CN"/>
              </w:rPr>
              <w:t>危废仓库和生产区，</w:t>
            </w:r>
            <w:r>
              <w:rPr>
                <w:rFonts w:hint="eastAsia" w:cs="Times New Roman"/>
                <w:lang w:val="en-US" w:eastAsia="zh-CN"/>
              </w:rPr>
              <w:t>锅炉房从北向南为生物质堆场和锅炉区，</w:t>
            </w:r>
            <w:r>
              <w:rPr>
                <w:rFonts w:hint="eastAsia" w:ascii="Times New Roman" w:hAnsi="Times New Roman" w:eastAsia="宋体" w:cs="Times New Roman"/>
                <w:lang w:val="en-US" w:eastAsia="zh-CN"/>
              </w:rPr>
              <w:t>项目厂区平面布置见附图3</w:t>
            </w:r>
            <w:r>
              <w:rPr>
                <w:rFonts w:hint="eastAsia" w:cs="Times New Roman"/>
                <w:lang w:val="en-US"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b/>
                <w:bCs/>
                <w:color w:val="auto"/>
                <w:szCs w:val="21"/>
              </w:rPr>
            </w:pPr>
            <w:r>
              <w:rPr>
                <w:rFonts w:hint="eastAsia"/>
                <w:b/>
                <w:bCs/>
                <w:color w:val="auto"/>
                <w:szCs w:val="21"/>
                <w:lang w:val="en-US" w:eastAsia="zh-CN"/>
              </w:rPr>
              <w:t>5</w:t>
            </w:r>
            <w:r>
              <w:rPr>
                <w:b/>
                <w:bCs/>
                <w:color w:val="auto"/>
                <w:szCs w:val="21"/>
              </w:rPr>
              <w:t>、周边环境概况</w:t>
            </w:r>
          </w:p>
          <w:p>
            <w:pPr>
              <w:keepNext w:val="0"/>
              <w:keepLines w:val="0"/>
              <w:pageBreakBefore w:val="0"/>
              <w:widowControl w:val="0"/>
              <w:kinsoku/>
              <w:wordWrap/>
              <w:overflowPunct/>
              <w:topLinePunct w:val="0"/>
              <w:bidi w:val="0"/>
              <w:spacing w:line="360" w:lineRule="auto"/>
              <w:ind w:firstLine="420" w:firstLineChars="200"/>
              <w:textAlignment w:val="auto"/>
              <w:rPr>
                <w:rFonts w:hint="eastAsia"/>
                <w:spacing w:val="-2"/>
              </w:rPr>
            </w:pPr>
            <w:r>
              <w:rPr>
                <w:rFonts w:hint="eastAsia" w:ascii="Times New Roman" w:hAnsi="Times New Roman" w:eastAsia="宋体" w:cs="Times New Roman"/>
                <w:lang w:val="en-US" w:eastAsia="zh-CN"/>
              </w:rPr>
              <w:t>本项目位于如皋市九华镇马桥村18组，项目东侧为</w:t>
            </w:r>
            <w:r>
              <w:rPr>
                <w:rFonts w:hint="eastAsia" w:cs="Times New Roman"/>
                <w:lang w:val="en-US" w:eastAsia="zh-CN"/>
              </w:rPr>
              <w:t>如皋海淘职业学校</w:t>
            </w:r>
            <w:r>
              <w:rPr>
                <w:rFonts w:hint="eastAsia" w:ascii="Times New Roman" w:hAnsi="Times New Roman" w:eastAsia="宋体" w:cs="Times New Roman"/>
                <w:lang w:val="en-US" w:eastAsia="zh-CN"/>
              </w:rPr>
              <w:t>；南侧为南通华胜数码纺织科技有限公司厂房；西侧为九华镇卫生院；北侧为农田。项目地理位置图见附图1，项目周边环境概况图见附图2</w:t>
            </w:r>
            <w:r>
              <w:rPr>
                <w:rFonts w:hint="eastAsia" w:cs="Times New Roman"/>
                <w:lang w:val="en-US" w:eastAsia="zh-CN"/>
              </w:rPr>
              <w:t>，</w:t>
            </w:r>
            <w:r>
              <w:rPr>
                <w:rFonts w:hint="eastAsia"/>
                <w:spacing w:val="-2"/>
              </w:rPr>
              <w:t>项目所在地四周见图2-</w:t>
            </w:r>
            <w:r>
              <w:rPr>
                <w:rFonts w:hint="eastAsia"/>
                <w:spacing w:val="-2"/>
                <w:lang w:val="en-US" w:eastAsia="zh-CN"/>
              </w:rPr>
              <w:t>3</w:t>
            </w:r>
            <w:r>
              <w:rPr>
                <w:rFonts w:hint="eastAsia"/>
                <w:spacing w:val="-2"/>
              </w:rPr>
              <w:t>。</w:t>
            </w:r>
          </w:p>
          <w:tbl>
            <w:tblPr>
              <w:tblStyle w:val="90"/>
              <w:tblW w:w="0" w:type="auto"/>
              <w:tblInd w:w="0" w:type="dxa"/>
              <w:tblLayout w:type="fixed"/>
              <w:tblCellMar>
                <w:top w:w="0" w:type="dxa"/>
                <w:left w:w="108" w:type="dxa"/>
                <w:bottom w:w="0" w:type="dxa"/>
                <w:right w:w="108" w:type="dxa"/>
              </w:tblCellMar>
            </w:tblPr>
            <w:tblGrid>
              <w:gridCol w:w="4226"/>
              <w:gridCol w:w="4227"/>
            </w:tblGrid>
            <w:tr>
              <w:tblPrEx>
                <w:tblCellMar>
                  <w:top w:w="0" w:type="dxa"/>
                  <w:left w:w="108" w:type="dxa"/>
                  <w:bottom w:w="0" w:type="dxa"/>
                  <w:right w:w="108" w:type="dxa"/>
                </w:tblCellMar>
              </w:tblPrEx>
              <w:tc>
                <w:tcPr>
                  <w:tcW w:w="4226" w:type="dxa"/>
                </w:tcPr>
                <w:p>
                  <w:pPr>
                    <w:spacing w:line="360" w:lineRule="auto"/>
                    <w:jc w:val="center"/>
                    <w:rPr>
                      <w:b/>
                      <w:bCs/>
                      <w:spacing w:val="-2"/>
                    </w:rPr>
                  </w:pPr>
                  <w:r>
                    <w:rPr>
                      <w:rFonts w:hint="eastAsia"/>
                      <w:b/>
                      <w:bCs/>
                      <w:spacing w:val="-2"/>
                    </w:rPr>
                    <w:drawing>
                      <wp:inline distT="0" distB="0" distL="114300" distR="114300">
                        <wp:extent cx="1753235" cy="1314450"/>
                        <wp:effectExtent l="0" t="0" r="18415" b="0"/>
                        <wp:docPr id="5" name="图片 5" descr="1a288ccd4540cfc01008fa3e7842a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a288ccd4540cfc01008fa3e7842a518"/>
                                <pic:cNvPicPr>
                                  <a:picLocks noChangeAspect="1"/>
                                </pic:cNvPicPr>
                              </pic:nvPicPr>
                              <pic:blipFill>
                                <a:blip r:embed="rId16"/>
                                <a:stretch>
                                  <a:fillRect/>
                                </a:stretch>
                              </pic:blipFill>
                              <pic:spPr>
                                <a:xfrm>
                                  <a:off x="0" y="0"/>
                                  <a:ext cx="1768041" cy="1325590"/>
                                </a:xfrm>
                                <a:prstGeom prst="rect">
                                  <a:avLst/>
                                </a:prstGeom>
                              </pic:spPr>
                            </pic:pic>
                          </a:graphicData>
                        </a:graphic>
                      </wp:inline>
                    </w:drawing>
                  </w:r>
                </w:p>
              </w:tc>
              <w:tc>
                <w:tcPr>
                  <w:tcW w:w="4227" w:type="dxa"/>
                </w:tcPr>
                <w:p>
                  <w:pPr>
                    <w:spacing w:line="360" w:lineRule="auto"/>
                    <w:jc w:val="center"/>
                    <w:rPr>
                      <w:b/>
                      <w:bCs/>
                      <w:spacing w:val="-2"/>
                    </w:rPr>
                  </w:pPr>
                  <w:r>
                    <w:rPr>
                      <w:rFonts w:hint="eastAsia"/>
                      <w:b/>
                      <w:bCs/>
                      <w:spacing w:val="-2"/>
                    </w:rPr>
                    <w:drawing>
                      <wp:inline distT="0" distB="0" distL="114300" distR="114300">
                        <wp:extent cx="1797685" cy="1347470"/>
                        <wp:effectExtent l="0" t="0" r="12065" b="5080"/>
                        <wp:docPr id="19" name="图片 19" descr="a672d5d9b028bd74a138b855441aa4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672d5d9b028bd74a138b855441aa48b"/>
                                <pic:cNvPicPr>
                                  <a:picLocks noChangeAspect="1"/>
                                </pic:cNvPicPr>
                              </pic:nvPicPr>
                              <pic:blipFill>
                                <a:blip r:embed="rId17"/>
                                <a:stretch>
                                  <a:fillRect/>
                                </a:stretch>
                              </pic:blipFill>
                              <pic:spPr>
                                <a:xfrm>
                                  <a:off x="0" y="0"/>
                                  <a:ext cx="1810975" cy="1357779"/>
                                </a:xfrm>
                                <a:prstGeom prst="rect">
                                  <a:avLst/>
                                </a:prstGeom>
                              </pic:spPr>
                            </pic:pic>
                          </a:graphicData>
                        </a:graphic>
                      </wp:inline>
                    </w:drawing>
                  </w:r>
                </w:p>
              </w:tc>
            </w:tr>
            <w:tr>
              <w:tblPrEx>
                <w:tblCellMar>
                  <w:top w:w="0" w:type="dxa"/>
                  <w:left w:w="108" w:type="dxa"/>
                  <w:bottom w:w="0" w:type="dxa"/>
                  <w:right w:w="108" w:type="dxa"/>
                </w:tblCellMar>
              </w:tblPrEx>
              <w:tc>
                <w:tcPr>
                  <w:tcW w:w="4226" w:type="dxa"/>
                </w:tcPr>
                <w:p>
                  <w:pPr>
                    <w:spacing w:line="360" w:lineRule="auto"/>
                    <w:jc w:val="center"/>
                    <w:rPr>
                      <w:b/>
                      <w:bCs/>
                      <w:spacing w:val="-2"/>
                    </w:rPr>
                  </w:pPr>
                  <w:r>
                    <w:rPr>
                      <w:rFonts w:hint="eastAsia"/>
                      <w:b/>
                      <w:bCs/>
                      <w:spacing w:val="-2"/>
                    </w:rPr>
                    <w:t>厂界东侧现状</w:t>
                  </w:r>
                </w:p>
              </w:tc>
              <w:tc>
                <w:tcPr>
                  <w:tcW w:w="4227" w:type="dxa"/>
                </w:tcPr>
                <w:p>
                  <w:pPr>
                    <w:spacing w:line="360" w:lineRule="auto"/>
                    <w:jc w:val="center"/>
                    <w:rPr>
                      <w:b/>
                      <w:bCs/>
                      <w:spacing w:val="-2"/>
                    </w:rPr>
                  </w:pPr>
                  <w:r>
                    <w:rPr>
                      <w:rFonts w:hint="eastAsia"/>
                      <w:b/>
                      <w:bCs/>
                      <w:spacing w:val="-2"/>
                    </w:rPr>
                    <w:t>厂界南侧现状</w:t>
                  </w:r>
                </w:p>
              </w:tc>
            </w:tr>
            <w:tr>
              <w:tblPrEx>
                <w:tblCellMar>
                  <w:top w:w="0" w:type="dxa"/>
                  <w:left w:w="108" w:type="dxa"/>
                  <w:bottom w:w="0" w:type="dxa"/>
                  <w:right w:w="108" w:type="dxa"/>
                </w:tblCellMar>
              </w:tblPrEx>
              <w:tc>
                <w:tcPr>
                  <w:tcW w:w="4226" w:type="dxa"/>
                </w:tcPr>
                <w:p>
                  <w:pPr>
                    <w:spacing w:line="360" w:lineRule="auto"/>
                    <w:jc w:val="center"/>
                    <w:rPr>
                      <w:b/>
                      <w:bCs/>
                      <w:spacing w:val="-2"/>
                    </w:rPr>
                  </w:pPr>
                  <w:r>
                    <w:rPr>
                      <w:rFonts w:hint="eastAsia"/>
                      <w:b/>
                      <w:bCs/>
                      <w:spacing w:val="-2"/>
                    </w:rPr>
                    <w:drawing>
                      <wp:inline distT="0" distB="0" distL="114300" distR="114300">
                        <wp:extent cx="1840230" cy="1379855"/>
                        <wp:effectExtent l="0" t="0" r="7620" b="10795"/>
                        <wp:docPr id="22" name="图片 22" descr="cef3a570bd8e22189c2d172363e6ec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ef3a570bd8e22189c2d172363e6ecf9"/>
                                <pic:cNvPicPr>
                                  <a:picLocks noChangeAspect="1"/>
                                </pic:cNvPicPr>
                              </pic:nvPicPr>
                              <pic:blipFill>
                                <a:blip r:embed="rId18"/>
                                <a:stretch>
                                  <a:fillRect/>
                                </a:stretch>
                              </pic:blipFill>
                              <pic:spPr>
                                <a:xfrm>
                                  <a:off x="0" y="0"/>
                                  <a:ext cx="1846883" cy="1384702"/>
                                </a:xfrm>
                                <a:prstGeom prst="rect">
                                  <a:avLst/>
                                </a:prstGeom>
                              </pic:spPr>
                            </pic:pic>
                          </a:graphicData>
                        </a:graphic>
                      </wp:inline>
                    </w:drawing>
                  </w:r>
                </w:p>
              </w:tc>
              <w:tc>
                <w:tcPr>
                  <w:tcW w:w="4227" w:type="dxa"/>
                </w:tcPr>
                <w:p>
                  <w:pPr>
                    <w:spacing w:line="360" w:lineRule="auto"/>
                    <w:jc w:val="center"/>
                    <w:rPr>
                      <w:b/>
                      <w:bCs/>
                      <w:spacing w:val="-2"/>
                    </w:rPr>
                  </w:pPr>
                  <w:r>
                    <w:rPr>
                      <w:rFonts w:hint="eastAsia"/>
                      <w:b/>
                      <w:bCs/>
                      <w:spacing w:val="-2"/>
                    </w:rPr>
                    <w:drawing>
                      <wp:inline distT="0" distB="0" distL="114300" distR="114300">
                        <wp:extent cx="1821180" cy="1365250"/>
                        <wp:effectExtent l="0" t="0" r="7620" b="6350"/>
                        <wp:docPr id="23" name="图片 23" descr="55a279486f9a09b357a7a80bf6f3cc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55a279486f9a09b357a7a80bf6f3cc5e"/>
                                <pic:cNvPicPr>
                                  <a:picLocks noChangeAspect="1"/>
                                </pic:cNvPicPr>
                              </pic:nvPicPr>
                              <pic:blipFill>
                                <a:blip r:embed="rId19"/>
                                <a:stretch>
                                  <a:fillRect/>
                                </a:stretch>
                              </pic:blipFill>
                              <pic:spPr>
                                <a:xfrm>
                                  <a:off x="0" y="0"/>
                                  <a:ext cx="1847929" cy="1385485"/>
                                </a:xfrm>
                                <a:prstGeom prst="rect">
                                  <a:avLst/>
                                </a:prstGeom>
                              </pic:spPr>
                            </pic:pic>
                          </a:graphicData>
                        </a:graphic>
                      </wp:inline>
                    </w:drawing>
                  </w:r>
                </w:p>
              </w:tc>
            </w:tr>
            <w:tr>
              <w:tblPrEx>
                <w:tblCellMar>
                  <w:top w:w="0" w:type="dxa"/>
                  <w:left w:w="108" w:type="dxa"/>
                  <w:bottom w:w="0" w:type="dxa"/>
                  <w:right w:w="108" w:type="dxa"/>
                </w:tblCellMar>
              </w:tblPrEx>
              <w:tc>
                <w:tcPr>
                  <w:tcW w:w="4226" w:type="dxa"/>
                </w:tcPr>
                <w:p>
                  <w:pPr>
                    <w:spacing w:line="360" w:lineRule="auto"/>
                    <w:jc w:val="center"/>
                    <w:rPr>
                      <w:b/>
                      <w:bCs/>
                      <w:spacing w:val="-2"/>
                    </w:rPr>
                  </w:pPr>
                  <w:r>
                    <w:rPr>
                      <w:rFonts w:hint="eastAsia"/>
                      <w:b/>
                      <w:bCs/>
                      <w:spacing w:val="-2"/>
                    </w:rPr>
                    <w:t>厂界西侧现状</w:t>
                  </w:r>
                </w:p>
              </w:tc>
              <w:tc>
                <w:tcPr>
                  <w:tcW w:w="4227" w:type="dxa"/>
                </w:tcPr>
                <w:p>
                  <w:pPr>
                    <w:spacing w:line="360" w:lineRule="auto"/>
                    <w:jc w:val="center"/>
                    <w:rPr>
                      <w:b/>
                      <w:bCs/>
                      <w:spacing w:val="-2"/>
                    </w:rPr>
                  </w:pPr>
                  <w:r>
                    <w:rPr>
                      <w:rFonts w:hint="eastAsia"/>
                      <w:b/>
                      <w:bCs/>
                      <w:spacing w:val="-2"/>
                    </w:rPr>
                    <w:t>厂界北侧现状</w:t>
                  </w:r>
                </w:p>
              </w:tc>
            </w:tr>
          </w:tbl>
          <w:p>
            <w:pPr>
              <w:autoSpaceDE w:val="0"/>
              <w:autoSpaceDN w:val="0"/>
              <w:adjustRightInd w:val="0"/>
              <w:snapToGrid w:val="0"/>
              <w:spacing w:line="400" w:lineRule="exact"/>
              <w:jc w:val="center"/>
            </w:pPr>
            <w:r>
              <w:rPr>
                <w:rFonts w:hint="eastAsia"/>
                <w:b/>
                <w:bCs/>
                <w:spacing w:val="-2"/>
              </w:rPr>
              <w:t>图2-3  厂界四至现状照片</w:t>
            </w:r>
          </w:p>
          <w:p>
            <w:pPr>
              <w:autoSpaceDE w:val="0"/>
              <w:autoSpaceDN w:val="0"/>
              <w:adjustRightInd w:val="0"/>
              <w:snapToGrid w:val="0"/>
              <w:spacing w:line="400" w:lineRule="exact"/>
              <w:ind w:firstLine="420" w:firstLineChars="200"/>
              <w:rPr>
                <w:rFonts w:hint="eastAsia" w:ascii="Times New Roman" w:hAnsi="Times New Roman" w:eastAsia="宋体" w:cs="Times New Roman"/>
                <w:lang w:val="en-US" w:eastAsia="zh-CN"/>
              </w:rPr>
            </w:pPr>
          </w:p>
          <w:p>
            <w:pPr>
              <w:autoSpaceDE w:val="0"/>
              <w:autoSpaceDN w:val="0"/>
              <w:adjustRightInd w:val="0"/>
              <w:snapToGrid w:val="0"/>
              <w:spacing w:line="400" w:lineRule="exact"/>
              <w:rPr>
                <w:rFonts w:hint="eastAsia"/>
              </w:rPr>
            </w:pPr>
          </w:p>
        </w:tc>
      </w:tr>
    </w:tbl>
    <w:p>
      <w:pPr>
        <w:pStyle w:val="82"/>
        <w:rPr>
          <w:rFonts w:ascii="Times New Roman" w:hAnsi="Times New Roman"/>
          <w:snapToGrid w:val="0"/>
          <w:color w:val="auto"/>
          <w:sz w:val="36"/>
          <w:szCs w:val="36"/>
        </w:rPr>
        <w:sectPr>
          <w:pgSz w:w="11906" w:h="16838"/>
          <w:pgMar w:top="1440" w:right="1440" w:bottom="1440" w:left="1440" w:header="851" w:footer="851" w:gutter="0"/>
          <w:pgBorders>
            <w:top w:val="none" w:sz="0" w:space="0"/>
            <w:left w:val="none" w:sz="0" w:space="0"/>
            <w:bottom w:val="none" w:sz="0" w:space="0"/>
            <w:right w:val="none" w:sz="0" w:space="0"/>
          </w:pgBorders>
          <w:pgNumType w:start="1"/>
          <w:cols w:space="720" w:num="1"/>
          <w:docGrid w:linePitch="312" w:charSpace="0"/>
        </w:sectPr>
      </w:pPr>
    </w:p>
    <w:tbl>
      <w:tblPr>
        <w:tblStyle w:val="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8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82"/>
              <w:jc w:val="center"/>
              <w:rPr>
                <w:rFonts w:ascii="Times New Roman" w:hAnsi="Times New Roman"/>
                <w:bCs/>
                <w:color w:val="auto"/>
                <w:kern w:val="2"/>
                <w:sz w:val="21"/>
                <w:szCs w:val="21"/>
                <w:lang w:val="en-US"/>
              </w:rPr>
            </w:pPr>
            <w:r>
              <w:rPr>
                <w:rFonts w:ascii="Times New Roman" w:hAnsi="Times New Roman"/>
                <w:color w:val="auto"/>
                <w:sz w:val="21"/>
                <w:szCs w:val="21"/>
                <w:lang w:val="en-US"/>
              </w:rPr>
              <w:t>工艺流程和产排污环节</w:t>
            </w:r>
          </w:p>
        </w:tc>
        <w:tc>
          <w:tcPr>
            <w:tcW w:w="8413" w:type="dxa"/>
          </w:tcPr>
          <w:p>
            <w:pPr>
              <w:keepNext w:val="0"/>
              <w:keepLines w:val="0"/>
              <w:pageBreakBefore w:val="0"/>
              <w:widowControl w:val="0"/>
              <w:kinsoku/>
              <w:wordWrap/>
              <w:overflowPunct/>
              <w:topLinePunct w:val="0"/>
              <w:bidi w:val="0"/>
              <w:spacing w:line="360" w:lineRule="auto"/>
              <w:ind w:firstLine="480"/>
              <w:jc w:val="left"/>
              <w:textAlignment w:val="auto"/>
              <w:rPr>
                <w:rFonts w:hint="eastAsia" w:eastAsia="宋体"/>
                <w:b/>
                <w:bCs/>
                <w:spacing w:val="-2"/>
                <w:lang w:val="en-US" w:eastAsia="zh-CN"/>
              </w:rPr>
            </w:pPr>
            <w:r>
              <w:rPr>
                <w:b/>
                <w:bCs/>
                <w:spacing w:val="-2"/>
              </w:rPr>
              <w:t>1、</w:t>
            </w:r>
            <w:r>
              <w:rPr>
                <w:rFonts w:hint="eastAsia"/>
                <w:b/>
                <w:bCs/>
                <w:spacing w:val="-2"/>
                <w:lang w:val="en-US" w:eastAsia="zh-CN"/>
              </w:rPr>
              <w:t>施工期</w:t>
            </w:r>
          </w:p>
          <w:p>
            <w:pPr>
              <w:pStyle w:val="36"/>
              <w:keepNext w:val="0"/>
              <w:keepLines w:val="0"/>
              <w:pageBreakBefore w:val="0"/>
              <w:widowControl w:val="0"/>
              <w:kinsoku/>
              <w:wordWrap/>
              <w:overflowPunct/>
              <w:topLinePunct w:val="0"/>
              <w:bidi w:val="0"/>
              <w:snapToGrid/>
              <w:spacing w:before="0" w:after="0" w:line="360" w:lineRule="auto"/>
              <w:ind w:right="0" w:firstLine="420" w:firstLineChars="200"/>
              <w:textAlignment w:val="auto"/>
              <w:rPr>
                <w:rFonts w:ascii="Times New Roman" w:hAnsi="Times New Roman" w:eastAsia="宋体" w:cs="Times New Roman"/>
                <w:b w:val="0"/>
                <w:bCs/>
                <w:color w:val="auto"/>
                <w:kern w:val="2"/>
                <w:sz w:val="21"/>
                <w:szCs w:val="21"/>
              </w:rPr>
            </w:pPr>
            <w:r>
              <w:rPr>
                <w:rFonts w:hint="eastAsia" w:ascii="Times New Roman" w:hAnsi="Times New Roman" w:eastAsia="宋体" w:cs="Times New Roman"/>
                <w:b w:val="0"/>
                <w:bCs/>
                <w:color w:val="auto"/>
                <w:kern w:val="2"/>
                <w:sz w:val="21"/>
                <w:szCs w:val="21"/>
              </w:rPr>
              <w:t>本项目</w:t>
            </w:r>
            <w:r>
              <w:rPr>
                <w:rFonts w:ascii="Times New Roman" w:hAnsi="Times New Roman" w:eastAsia="宋体" w:cs="Times New Roman"/>
                <w:b w:val="0"/>
                <w:bCs/>
                <w:color w:val="auto"/>
                <w:kern w:val="2"/>
                <w:sz w:val="21"/>
                <w:szCs w:val="21"/>
              </w:rPr>
              <w:t>租用</w:t>
            </w:r>
            <w:r>
              <w:rPr>
                <w:rFonts w:hint="eastAsia" w:ascii="Times New Roman" w:hAnsi="Times New Roman" w:eastAsia="宋体" w:cs="Times New Roman"/>
                <w:b w:val="0"/>
                <w:bCs/>
                <w:color w:val="auto"/>
                <w:kern w:val="2"/>
                <w:sz w:val="21"/>
                <w:szCs w:val="21"/>
              </w:rPr>
              <w:t>已</w:t>
            </w:r>
            <w:r>
              <w:rPr>
                <w:rFonts w:ascii="Times New Roman" w:hAnsi="Times New Roman" w:eastAsia="宋体" w:cs="Times New Roman"/>
                <w:b w:val="0"/>
                <w:bCs/>
                <w:color w:val="auto"/>
                <w:kern w:val="2"/>
                <w:sz w:val="21"/>
                <w:szCs w:val="21"/>
              </w:rPr>
              <w:t>建厂房，</w:t>
            </w:r>
            <w:r>
              <w:rPr>
                <w:rFonts w:hint="eastAsia" w:ascii="Times New Roman" w:hAnsi="Times New Roman" w:eastAsia="宋体" w:cs="Times New Roman"/>
                <w:b w:val="0"/>
                <w:bCs/>
                <w:color w:val="auto"/>
                <w:kern w:val="2"/>
                <w:sz w:val="21"/>
                <w:szCs w:val="21"/>
              </w:rPr>
              <w:t>施工期主要为装修、设备安装等、施工期污染有扬尘、噪声以及固体废物，施工期影响为短期影响，工程施工结束影响也随之结束，本报告不再赘述。</w:t>
            </w:r>
          </w:p>
          <w:p>
            <w:pPr>
              <w:autoSpaceDE w:val="0"/>
              <w:autoSpaceDN w:val="0"/>
              <w:adjustRightInd w:val="0"/>
              <w:snapToGrid w:val="0"/>
              <w:spacing w:line="400" w:lineRule="exact"/>
              <w:ind w:firstLine="422" w:firstLineChars="200"/>
              <w:jc w:val="left"/>
              <w:rPr>
                <w:rFonts w:hint="default" w:eastAsia="宋体"/>
                <w:b/>
                <w:bCs/>
                <w:color w:val="auto"/>
                <w:szCs w:val="21"/>
                <w:lang w:val="en-US" w:eastAsia="zh-CN"/>
              </w:rPr>
            </w:pPr>
            <w:r>
              <w:rPr>
                <w:rFonts w:hint="eastAsia"/>
                <w:b/>
                <w:bCs/>
                <w:color w:val="auto"/>
                <w:szCs w:val="21"/>
                <w:lang w:val="en-US" w:eastAsia="zh-CN"/>
              </w:rPr>
              <w:t>2</w:t>
            </w:r>
            <w:r>
              <w:rPr>
                <w:b/>
                <w:bCs/>
                <w:color w:val="auto"/>
                <w:szCs w:val="21"/>
              </w:rPr>
              <w:t>、</w:t>
            </w:r>
            <w:r>
              <w:rPr>
                <w:rFonts w:hint="eastAsia"/>
                <w:b/>
                <w:bCs/>
                <w:color w:val="auto"/>
                <w:szCs w:val="21"/>
                <w:lang w:val="en-US" w:eastAsia="zh-CN"/>
              </w:rPr>
              <w:t>运营期</w:t>
            </w:r>
          </w:p>
          <w:p>
            <w:pPr>
              <w:autoSpaceDE w:val="0"/>
              <w:autoSpaceDN w:val="0"/>
              <w:adjustRightInd w:val="0"/>
              <w:snapToGrid w:val="0"/>
              <w:spacing w:line="400" w:lineRule="exact"/>
              <w:ind w:firstLine="422" w:firstLineChars="200"/>
              <w:jc w:val="left"/>
              <w:rPr>
                <w:b/>
                <w:bCs/>
                <w:color w:val="auto"/>
                <w:szCs w:val="21"/>
              </w:rPr>
            </w:pPr>
            <w:r>
              <w:rPr>
                <w:rFonts w:hint="eastAsia"/>
                <w:b/>
                <w:bCs/>
                <w:color w:val="auto"/>
                <w:szCs w:val="21"/>
                <w:lang w:val="en-US" w:eastAsia="zh-CN"/>
              </w:rPr>
              <w:t>2.1 桌球布</w:t>
            </w:r>
            <w:r>
              <w:rPr>
                <w:b/>
                <w:bCs/>
                <w:color w:val="auto"/>
                <w:szCs w:val="21"/>
              </w:rPr>
              <w:t>工艺流程</w:t>
            </w:r>
          </w:p>
          <w:p>
            <w:pPr>
              <w:autoSpaceDE w:val="0"/>
              <w:autoSpaceDN w:val="0"/>
              <w:adjustRightInd w:val="0"/>
              <w:snapToGrid w:val="0"/>
              <w:jc w:val="center"/>
              <w:rPr>
                <w:color w:val="auto"/>
              </w:rPr>
            </w:pPr>
            <w:r>
              <w:rPr>
                <w:color w:val="auto"/>
              </w:rPr>
              <w:object>
                <v:shape id="_x0000_i1025" o:spt="75" type="#_x0000_t75" style="height:532.5pt;width:274.1pt;" o:ole="t" filled="f" o:preferrelative="t" stroked="f" coordsize="21600,21600">
                  <v:path/>
                  <v:fill on="f" focussize="0,0"/>
                  <v:stroke on="f"/>
                  <v:imagedata r:id="rId21" croptop="5168f" o:title=""/>
                  <o:lock v:ext="edit" aspectratio="f"/>
                  <w10:wrap type="none"/>
                  <w10:anchorlock/>
                </v:shape>
                <o:OLEObject Type="Embed" ProgID="Visio.Drawing.15" ShapeID="_x0000_i1025" DrawAspect="Content" ObjectID="_1468075728" r:id="rId20">
                  <o:LockedField>false</o:LockedField>
                </o:OLEObject>
              </w:object>
            </w:r>
          </w:p>
          <w:p>
            <w:pPr>
              <w:pStyle w:val="248"/>
              <w:spacing w:line="400" w:lineRule="exact"/>
              <w:rPr>
                <w:color w:val="auto"/>
                <w:sz w:val="21"/>
                <w:szCs w:val="22"/>
              </w:rPr>
            </w:pPr>
            <w:r>
              <w:rPr>
                <w:color w:val="auto"/>
                <w:sz w:val="21"/>
                <w:szCs w:val="16"/>
              </w:rPr>
              <w:t>图2-</w:t>
            </w:r>
            <w:r>
              <w:rPr>
                <w:rFonts w:hint="eastAsia"/>
                <w:color w:val="auto"/>
                <w:sz w:val="21"/>
                <w:szCs w:val="16"/>
                <w:lang w:val="en-US" w:eastAsia="zh-CN"/>
              </w:rPr>
              <w:t xml:space="preserve">5 </w:t>
            </w:r>
            <w:r>
              <w:rPr>
                <w:color w:val="auto"/>
                <w:sz w:val="21"/>
                <w:szCs w:val="16"/>
              </w:rPr>
              <w:t xml:space="preserve">  </w:t>
            </w:r>
            <w:r>
              <w:rPr>
                <w:rFonts w:hint="eastAsia"/>
                <w:color w:val="auto"/>
                <w:sz w:val="21"/>
                <w:szCs w:val="22"/>
              </w:rPr>
              <w:t>生产工艺</w:t>
            </w:r>
            <w:r>
              <w:rPr>
                <w:color w:val="auto"/>
                <w:sz w:val="21"/>
                <w:szCs w:val="22"/>
              </w:rPr>
              <w:t>工艺流程示意图</w:t>
            </w:r>
          </w:p>
          <w:p>
            <w:pPr>
              <w:pStyle w:val="36"/>
              <w:widowControl w:val="0"/>
              <w:snapToGrid/>
              <w:spacing w:before="0" w:after="0" w:line="360" w:lineRule="auto"/>
              <w:ind w:right="0" w:firstLine="422" w:firstLineChars="200"/>
              <w:rPr>
                <w:rFonts w:hint="eastAsia" w:eastAsia="宋体"/>
                <w:b/>
                <w:color w:val="auto"/>
                <w:kern w:val="2"/>
                <w:sz w:val="21"/>
                <w:szCs w:val="21"/>
                <w:lang w:val="en-US" w:eastAsia="zh-CN"/>
              </w:rPr>
            </w:pPr>
            <w:r>
              <w:rPr>
                <w:b/>
                <w:color w:val="auto"/>
                <w:kern w:val="2"/>
                <w:sz w:val="21"/>
                <w:szCs w:val="21"/>
              </w:rPr>
              <w:t>工艺流程简述：</w:t>
            </w:r>
          </w:p>
          <w:p>
            <w:pPr>
              <w:pStyle w:val="36"/>
              <w:widowControl w:val="0"/>
              <w:snapToGrid/>
              <w:spacing w:before="0" w:after="0" w:line="360" w:lineRule="auto"/>
              <w:ind w:right="0" w:firstLine="420" w:firstLineChars="200"/>
              <w:rPr>
                <w:rFonts w:ascii="Times New Roman" w:hAnsi="Times New Roman" w:eastAsia="宋体" w:cs="Times New Roman"/>
                <w:b w:val="0"/>
                <w:bCs/>
                <w:color w:val="auto"/>
                <w:kern w:val="2"/>
                <w:sz w:val="21"/>
                <w:szCs w:val="21"/>
              </w:rPr>
            </w:pPr>
            <w:r>
              <w:rPr>
                <w:rFonts w:hint="eastAsia" w:ascii="Times New Roman" w:hAnsi="Times New Roman" w:eastAsia="宋体" w:cs="Times New Roman"/>
                <w:b w:val="0"/>
                <w:bCs/>
                <w:color w:val="auto"/>
                <w:kern w:val="2"/>
                <w:sz w:val="21"/>
                <w:szCs w:val="21"/>
              </w:rPr>
              <w:t>（1）</w:t>
            </w:r>
            <w:r>
              <w:rPr>
                <w:rFonts w:ascii="Times New Roman" w:hAnsi="Times New Roman" w:eastAsia="宋体" w:cs="Times New Roman"/>
                <w:b w:val="0"/>
                <w:bCs/>
                <w:color w:val="auto"/>
                <w:kern w:val="2"/>
                <w:sz w:val="21"/>
                <w:szCs w:val="21"/>
              </w:rPr>
              <w:t>翻缝</w:t>
            </w:r>
          </w:p>
          <w:p>
            <w:pPr>
              <w:pStyle w:val="36"/>
              <w:widowControl w:val="0"/>
              <w:snapToGrid/>
              <w:spacing w:before="0" w:after="0" w:line="360" w:lineRule="auto"/>
              <w:ind w:right="0" w:firstLine="420" w:firstLineChars="200"/>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对坯布进行翻布、缝头工艺，以便于后续生产管理，翻布主要包括摆布及标记，缝头</w:t>
            </w:r>
            <w:r>
              <w:rPr>
                <w:rFonts w:hint="eastAsia" w:cs="Times New Roman"/>
                <w:b w:val="0"/>
                <w:bCs/>
                <w:color w:val="auto"/>
                <w:kern w:val="2"/>
                <w:sz w:val="21"/>
                <w:szCs w:val="21"/>
                <w:lang w:val="en-US" w:eastAsia="zh-CN"/>
              </w:rPr>
              <w:t xml:space="preserve">          </w:t>
            </w:r>
            <w:r>
              <w:rPr>
                <w:rFonts w:ascii="Times New Roman" w:hAnsi="Times New Roman" w:eastAsia="宋体" w:cs="Times New Roman"/>
                <w:b w:val="0"/>
                <w:bCs/>
                <w:color w:val="auto"/>
                <w:kern w:val="2"/>
                <w:sz w:val="21"/>
                <w:szCs w:val="21"/>
              </w:rPr>
              <w:t>是用缝头机把相同品种的坯布一匹匹的头尾相连，以便于能大批量不间断连续化加工，防止开口、卷边和后加工时产生皱条。该过程产生少量废布料</w:t>
            </w:r>
            <w:r>
              <w:rPr>
                <w:rFonts w:hint="eastAsia" w:cs="Times New Roman"/>
                <w:b w:val="0"/>
                <w:bCs/>
                <w:color w:val="auto"/>
                <w:kern w:val="2"/>
                <w:sz w:val="21"/>
                <w:szCs w:val="21"/>
                <w:lang w:val="en-US" w:eastAsia="zh-CN"/>
              </w:rPr>
              <w:t>S1</w:t>
            </w:r>
            <w:r>
              <w:rPr>
                <w:rFonts w:ascii="Times New Roman" w:hAnsi="Times New Roman" w:eastAsia="宋体" w:cs="Times New Roman"/>
                <w:b w:val="0"/>
                <w:bCs/>
                <w:color w:val="auto"/>
                <w:kern w:val="2"/>
                <w:sz w:val="21"/>
                <w:szCs w:val="21"/>
              </w:rPr>
              <w:t>，收集后出售。类比同行业，废布料的量约为坯布量的1‰。</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eastAsia="zh-CN"/>
              </w:rPr>
              <w:t>（</w:t>
            </w:r>
            <w:r>
              <w:rPr>
                <w:rFonts w:hint="eastAsia" w:ascii="Times New Roman" w:hAnsi="Times New Roman" w:eastAsia="宋体" w:cs="Times New Roman"/>
                <w:b w:val="0"/>
                <w:bCs/>
                <w:color w:val="auto"/>
                <w:kern w:val="2"/>
                <w:sz w:val="21"/>
                <w:szCs w:val="21"/>
                <w:lang w:val="en-US" w:eastAsia="zh-CN"/>
              </w:rPr>
              <w:t>2）拉毛</w:t>
            </w:r>
          </w:p>
          <w:p>
            <w:pPr>
              <w:pStyle w:val="36"/>
              <w:widowControl w:val="0"/>
              <w:snapToGrid/>
              <w:spacing w:before="0" w:after="0" w:line="360" w:lineRule="auto"/>
              <w:ind w:right="0" w:firstLine="420" w:firstLineChars="200"/>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拉毛处理是采用钢丝弯针成一定角度插入布料内部，勾出纤维。此工序会产生拉毛废气G</w:t>
            </w:r>
            <w:r>
              <w:rPr>
                <w:rFonts w:hint="eastAsia" w:ascii="Times New Roman" w:hAnsi="Times New Roman" w:eastAsia="宋体" w:cs="Times New Roman"/>
                <w:b w:val="0"/>
                <w:bCs/>
                <w:color w:val="auto"/>
                <w:kern w:val="2"/>
                <w:sz w:val="21"/>
                <w:szCs w:val="21"/>
                <w:lang w:val="en-US" w:eastAsia="zh-CN"/>
              </w:rPr>
              <w:t>1</w:t>
            </w:r>
            <w:r>
              <w:rPr>
                <w:rFonts w:ascii="Times New Roman" w:hAnsi="Times New Roman" w:eastAsia="宋体" w:cs="Times New Roman"/>
                <w:b w:val="0"/>
                <w:bCs/>
                <w:color w:val="auto"/>
                <w:kern w:val="2"/>
                <w:sz w:val="21"/>
                <w:szCs w:val="21"/>
              </w:rPr>
              <w:t>。</w:t>
            </w:r>
          </w:p>
          <w:p>
            <w:pPr>
              <w:pStyle w:val="36"/>
              <w:widowControl w:val="0"/>
              <w:numPr>
                <w:ilvl w:val="0"/>
                <w:numId w:val="23"/>
              </w:numPr>
              <w:snapToGrid/>
              <w:spacing w:before="0" w:after="0" w:line="360" w:lineRule="auto"/>
              <w:ind w:right="0" w:firstLine="420" w:firstLineChars="200"/>
              <w:rPr>
                <w:rFonts w:hint="eastAsia" w:ascii="Times New Roman" w:hAnsi="Times New Roman" w:eastAsia="宋体" w:cs="Times New Roman"/>
                <w:b w:val="0"/>
                <w:bCs/>
                <w:color w:val="auto"/>
                <w:kern w:val="2"/>
                <w:sz w:val="21"/>
                <w:szCs w:val="21"/>
                <w:lang w:val="en-US" w:eastAsia="zh-CN"/>
              </w:rPr>
            </w:pPr>
            <w:r>
              <w:rPr>
                <w:rFonts w:hint="eastAsia" w:ascii="Times New Roman" w:hAnsi="Times New Roman" w:eastAsia="宋体" w:cs="Times New Roman"/>
                <w:b w:val="0"/>
                <w:bCs/>
                <w:color w:val="auto"/>
                <w:kern w:val="2"/>
                <w:sz w:val="21"/>
                <w:szCs w:val="21"/>
                <w:lang w:val="en-US" w:eastAsia="zh-CN"/>
              </w:rPr>
              <w:t>定型</w:t>
            </w:r>
          </w:p>
          <w:p>
            <w:pPr>
              <w:pStyle w:val="36"/>
              <w:widowControl w:val="0"/>
              <w:snapToGrid/>
              <w:spacing w:before="0" w:after="0" w:line="360" w:lineRule="auto"/>
              <w:ind w:right="0" w:firstLine="420" w:firstLineChars="200"/>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将布料浸入柔软剂后，并对布料进行拉幅定型</w:t>
            </w:r>
            <w:r>
              <w:rPr>
                <w:rFonts w:hint="eastAsia" w:cs="Times New Roman"/>
                <w:b w:val="0"/>
                <w:bCs/>
                <w:color w:val="auto"/>
                <w:kern w:val="2"/>
                <w:sz w:val="21"/>
                <w:szCs w:val="21"/>
                <w:lang w:eastAsia="zh-CN"/>
              </w:rPr>
              <w:t>，</w:t>
            </w:r>
            <w:r>
              <w:rPr>
                <w:rFonts w:ascii="Times New Roman" w:hAnsi="Times New Roman" w:eastAsia="宋体" w:cs="Times New Roman"/>
                <w:b w:val="0"/>
                <w:bCs/>
                <w:color w:val="auto"/>
                <w:kern w:val="2"/>
                <w:sz w:val="21"/>
                <w:szCs w:val="21"/>
              </w:rPr>
              <w:t>定型处理可以使</w:t>
            </w:r>
            <w:r>
              <w:rPr>
                <w:rFonts w:hint="eastAsia" w:cs="Times New Roman"/>
                <w:b w:val="0"/>
                <w:bCs/>
                <w:color w:val="auto"/>
                <w:kern w:val="2"/>
                <w:sz w:val="21"/>
                <w:szCs w:val="21"/>
                <w:lang w:val="en-US" w:eastAsia="zh-CN"/>
              </w:rPr>
              <w:t>布</w:t>
            </w:r>
            <w:r>
              <w:rPr>
                <w:rFonts w:ascii="Times New Roman" w:hAnsi="Times New Roman" w:eastAsia="宋体" w:cs="Times New Roman"/>
                <w:b w:val="0"/>
                <w:bCs/>
                <w:color w:val="auto"/>
                <w:kern w:val="2"/>
                <w:sz w:val="21"/>
                <w:szCs w:val="21"/>
              </w:rPr>
              <w:t>的分子排布规整，以提高布的加工稳定性，不易产生色花、色点，提高垂直性、弹性和透气性，并且能使产品表面在光照下产生明显波纹状。本工序使用</w:t>
            </w:r>
            <w:r>
              <w:rPr>
                <w:rFonts w:hint="eastAsia" w:cs="Times New Roman"/>
                <w:b w:val="0"/>
                <w:bCs/>
                <w:color w:val="auto"/>
                <w:kern w:val="2"/>
                <w:sz w:val="21"/>
                <w:szCs w:val="21"/>
                <w:lang w:val="en-US" w:eastAsia="zh-CN"/>
              </w:rPr>
              <w:t>蒸汽</w:t>
            </w:r>
            <w:r>
              <w:rPr>
                <w:rFonts w:ascii="Times New Roman" w:hAnsi="Times New Roman" w:eastAsia="宋体" w:cs="Times New Roman"/>
                <w:b w:val="0"/>
                <w:bCs/>
                <w:color w:val="auto"/>
                <w:kern w:val="2"/>
                <w:sz w:val="21"/>
                <w:szCs w:val="21"/>
              </w:rPr>
              <w:t>定型机</w:t>
            </w:r>
            <w:r>
              <w:rPr>
                <w:rFonts w:hint="eastAsia" w:ascii="Times New Roman" w:hAnsi="Times New Roman" w:eastAsia="宋体" w:cs="Times New Roman"/>
                <w:b w:val="0"/>
                <w:bCs/>
                <w:color w:val="auto"/>
                <w:kern w:val="2"/>
                <w:sz w:val="21"/>
                <w:szCs w:val="21"/>
                <w:lang w:val="en-US" w:eastAsia="zh-CN"/>
              </w:rPr>
              <w:t>和导热油定型机</w:t>
            </w:r>
            <w:r>
              <w:rPr>
                <w:rFonts w:ascii="Times New Roman" w:hAnsi="Times New Roman" w:eastAsia="宋体" w:cs="Times New Roman"/>
                <w:b w:val="0"/>
                <w:bCs/>
                <w:color w:val="auto"/>
                <w:kern w:val="2"/>
                <w:sz w:val="21"/>
                <w:szCs w:val="21"/>
              </w:rPr>
              <w:t>进行</w:t>
            </w:r>
            <w:r>
              <w:rPr>
                <w:rFonts w:hint="eastAsia" w:ascii="Times New Roman" w:hAnsi="Times New Roman" w:eastAsia="宋体" w:cs="Times New Roman"/>
                <w:b w:val="0"/>
                <w:bCs/>
                <w:color w:val="FF0000"/>
                <w:kern w:val="2"/>
                <w:sz w:val="21"/>
                <w:szCs w:val="21"/>
                <w:lang w:val="en-US" w:eastAsia="zh-CN"/>
              </w:rPr>
              <w:t>间接加热</w:t>
            </w:r>
            <w:r>
              <w:rPr>
                <w:rFonts w:ascii="Times New Roman" w:hAnsi="Times New Roman" w:eastAsia="宋体" w:cs="Times New Roman"/>
                <w:b w:val="0"/>
                <w:bCs/>
                <w:color w:val="auto"/>
                <w:kern w:val="2"/>
                <w:sz w:val="21"/>
                <w:szCs w:val="21"/>
              </w:rPr>
              <w:t>定型</w:t>
            </w:r>
            <w:r>
              <w:rPr>
                <w:rFonts w:hint="eastAsia" w:ascii="Times New Roman" w:hAnsi="Times New Roman" w:eastAsia="宋体" w:cs="Times New Roman"/>
                <w:b w:val="0"/>
                <w:bCs/>
                <w:color w:val="auto"/>
                <w:kern w:val="2"/>
                <w:sz w:val="21"/>
                <w:szCs w:val="21"/>
                <w:lang w:eastAsia="zh-CN"/>
              </w:rPr>
              <w:t>，</w:t>
            </w:r>
            <w:r>
              <w:rPr>
                <w:rFonts w:hint="eastAsia" w:ascii="Times New Roman" w:hAnsi="Times New Roman" w:eastAsia="宋体" w:cs="Times New Roman"/>
                <w:b w:val="0"/>
                <w:bCs/>
                <w:color w:val="FF0000"/>
                <w:kern w:val="2"/>
                <w:sz w:val="21"/>
                <w:szCs w:val="21"/>
                <w:lang w:val="en-US" w:eastAsia="zh-CN"/>
              </w:rPr>
              <w:t>蒸汽来自6t/h生物质蒸汽锅炉和6t/h生物质导热油炉</w:t>
            </w:r>
            <w:r>
              <w:rPr>
                <w:rFonts w:ascii="Times New Roman" w:hAnsi="Times New Roman" w:eastAsia="宋体" w:cs="Times New Roman"/>
                <w:b w:val="0"/>
                <w:bCs/>
                <w:color w:val="FF0000"/>
                <w:kern w:val="2"/>
                <w:sz w:val="21"/>
                <w:szCs w:val="21"/>
              </w:rPr>
              <w:t>，</w:t>
            </w:r>
            <w:r>
              <w:rPr>
                <w:rFonts w:ascii="Times New Roman" w:hAnsi="Times New Roman" w:eastAsia="宋体" w:cs="Times New Roman"/>
                <w:b w:val="0"/>
                <w:bCs/>
                <w:color w:val="auto"/>
                <w:kern w:val="2"/>
                <w:sz w:val="21"/>
                <w:szCs w:val="21"/>
              </w:rPr>
              <w:t>工作温度1</w:t>
            </w:r>
            <w:r>
              <w:rPr>
                <w:rFonts w:hint="eastAsia" w:cs="Times New Roman"/>
                <w:b w:val="0"/>
                <w:bCs/>
                <w:color w:val="auto"/>
                <w:kern w:val="2"/>
                <w:sz w:val="21"/>
                <w:szCs w:val="21"/>
                <w:lang w:val="en-US" w:eastAsia="zh-CN"/>
              </w:rPr>
              <w:t>8</w:t>
            </w:r>
            <w:r>
              <w:rPr>
                <w:rFonts w:ascii="Times New Roman" w:hAnsi="Times New Roman" w:eastAsia="宋体" w:cs="Times New Roman"/>
                <w:b w:val="0"/>
                <w:bCs/>
                <w:color w:val="auto"/>
                <w:kern w:val="2"/>
                <w:sz w:val="21"/>
                <w:szCs w:val="21"/>
              </w:rPr>
              <w:t>0~</w:t>
            </w:r>
            <w:r>
              <w:rPr>
                <w:rFonts w:hint="eastAsia" w:cs="Times New Roman"/>
                <w:b w:val="0"/>
                <w:bCs/>
                <w:color w:val="auto"/>
                <w:kern w:val="2"/>
                <w:sz w:val="21"/>
                <w:szCs w:val="21"/>
                <w:lang w:val="en-US" w:eastAsia="zh-CN"/>
              </w:rPr>
              <w:t>20</w:t>
            </w:r>
            <w:r>
              <w:rPr>
                <w:rFonts w:ascii="Times New Roman" w:hAnsi="Times New Roman" w:eastAsia="宋体" w:cs="Times New Roman"/>
                <w:b w:val="0"/>
                <w:bCs/>
                <w:color w:val="auto"/>
                <w:kern w:val="2"/>
                <w:sz w:val="21"/>
                <w:szCs w:val="21"/>
              </w:rPr>
              <w:t>0℃左右。</w:t>
            </w:r>
          </w:p>
          <w:p>
            <w:pPr>
              <w:pStyle w:val="36"/>
              <w:widowControl w:val="0"/>
              <w:snapToGrid/>
              <w:spacing w:before="0" w:after="0" w:line="360" w:lineRule="auto"/>
              <w:ind w:right="0" w:firstLine="420" w:firstLineChars="200"/>
              <w:rPr>
                <w:rFonts w:ascii="Times New Roman" w:hAnsi="Times New Roman" w:eastAsia="宋体" w:cs="Times New Roman"/>
                <w:b w:val="0"/>
                <w:bCs/>
                <w:color w:val="auto"/>
                <w:kern w:val="2"/>
                <w:sz w:val="21"/>
                <w:szCs w:val="21"/>
              </w:rPr>
            </w:pPr>
            <w:r>
              <w:rPr>
                <w:rFonts w:ascii="Times New Roman" w:hAnsi="Times New Roman" w:eastAsia="宋体" w:cs="Times New Roman"/>
                <w:b w:val="0"/>
                <w:bCs/>
                <w:color w:val="auto"/>
                <w:kern w:val="2"/>
                <w:sz w:val="21"/>
                <w:szCs w:val="21"/>
              </w:rPr>
              <w:t>定型过程会产生</w:t>
            </w:r>
            <w:r>
              <w:rPr>
                <w:rFonts w:hint="eastAsia" w:cs="Times New Roman"/>
                <w:b w:val="0"/>
                <w:bCs/>
                <w:color w:val="auto"/>
                <w:kern w:val="2"/>
                <w:sz w:val="21"/>
                <w:szCs w:val="21"/>
                <w:lang w:val="en-US" w:eastAsia="zh-CN"/>
              </w:rPr>
              <w:t>废导热油S2、</w:t>
            </w:r>
            <w:r>
              <w:rPr>
                <w:rFonts w:ascii="Times New Roman" w:hAnsi="Times New Roman" w:eastAsia="宋体" w:cs="Times New Roman"/>
                <w:b w:val="0"/>
                <w:bCs/>
                <w:color w:val="auto"/>
                <w:kern w:val="2"/>
                <w:sz w:val="21"/>
                <w:szCs w:val="21"/>
              </w:rPr>
              <w:t>定型废气</w:t>
            </w:r>
            <w:r>
              <w:rPr>
                <w:rFonts w:hint="eastAsia" w:cs="Times New Roman"/>
                <w:b w:val="0"/>
                <w:bCs/>
                <w:color w:val="auto"/>
                <w:kern w:val="2"/>
                <w:sz w:val="21"/>
                <w:szCs w:val="21"/>
                <w:lang w:val="en-US" w:eastAsia="zh-CN"/>
              </w:rPr>
              <w:t>G2</w:t>
            </w:r>
            <w:r>
              <w:rPr>
                <w:rFonts w:ascii="Times New Roman" w:hAnsi="Times New Roman" w:eastAsia="宋体" w:cs="Times New Roman"/>
                <w:b w:val="0"/>
                <w:bCs/>
                <w:color w:val="auto"/>
                <w:kern w:val="2"/>
                <w:sz w:val="21"/>
                <w:szCs w:val="21"/>
              </w:rPr>
              <w:t>及</w:t>
            </w:r>
            <w:r>
              <w:rPr>
                <w:rFonts w:hint="eastAsia" w:cs="Times New Roman"/>
                <w:b w:val="0"/>
                <w:bCs/>
                <w:color w:val="auto"/>
                <w:kern w:val="2"/>
                <w:sz w:val="21"/>
                <w:szCs w:val="21"/>
                <w:lang w:val="en-US" w:eastAsia="zh-CN"/>
              </w:rPr>
              <w:t>锅炉</w:t>
            </w:r>
            <w:r>
              <w:rPr>
                <w:rFonts w:ascii="Times New Roman" w:hAnsi="Times New Roman" w:eastAsia="宋体" w:cs="Times New Roman"/>
                <w:b w:val="0"/>
                <w:bCs/>
                <w:color w:val="auto"/>
                <w:kern w:val="2"/>
                <w:sz w:val="21"/>
                <w:szCs w:val="21"/>
              </w:rPr>
              <w:t>废气</w:t>
            </w:r>
            <w:r>
              <w:rPr>
                <w:rFonts w:hint="eastAsia" w:cs="Times New Roman"/>
                <w:b w:val="0"/>
                <w:bCs/>
                <w:color w:val="auto"/>
                <w:kern w:val="2"/>
                <w:sz w:val="21"/>
                <w:szCs w:val="21"/>
                <w:lang w:eastAsia="zh-CN"/>
              </w:rPr>
              <w:t>，</w:t>
            </w:r>
            <w:r>
              <w:rPr>
                <w:rFonts w:ascii="Times New Roman" w:hAnsi="Times New Roman" w:eastAsia="宋体" w:cs="Times New Roman"/>
                <w:b w:val="0"/>
                <w:bCs/>
                <w:color w:val="auto"/>
                <w:kern w:val="2"/>
                <w:sz w:val="21"/>
                <w:szCs w:val="21"/>
              </w:rPr>
              <w:t>主要为坯布上残留油剂挥发</w:t>
            </w:r>
            <w:r>
              <w:rPr>
                <w:rFonts w:hint="eastAsia" w:cs="Times New Roman"/>
                <w:b w:val="0"/>
                <w:bCs/>
                <w:color w:val="auto"/>
                <w:kern w:val="2"/>
                <w:sz w:val="21"/>
                <w:szCs w:val="21"/>
                <w:lang w:eastAsia="zh-CN"/>
              </w:rPr>
              <w:t>（</w:t>
            </w:r>
            <w:r>
              <w:rPr>
                <w:rFonts w:ascii="Times New Roman" w:hAnsi="Times New Roman" w:eastAsia="宋体" w:cs="Times New Roman"/>
                <w:b w:val="0"/>
                <w:bCs/>
                <w:color w:val="auto"/>
                <w:kern w:val="2"/>
                <w:sz w:val="21"/>
                <w:szCs w:val="21"/>
              </w:rPr>
              <w:t>以非甲烷总烃计</w:t>
            </w:r>
            <w:r>
              <w:rPr>
                <w:rFonts w:hint="eastAsia" w:cs="Times New Roman"/>
                <w:b w:val="0"/>
                <w:bCs/>
                <w:color w:val="auto"/>
                <w:kern w:val="2"/>
                <w:sz w:val="21"/>
                <w:szCs w:val="21"/>
                <w:lang w:eastAsia="zh-CN"/>
              </w:rPr>
              <w:t>）</w:t>
            </w:r>
            <w:r>
              <w:rPr>
                <w:rFonts w:ascii="Times New Roman" w:hAnsi="Times New Roman" w:eastAsia="宋体" w:cs="Times New Roman"/>
                <w:b w:val="0"/>
                <w:bCs/>
                <w:color w:val="auto"/>
                <w:kern w:val="2"/>
                <w:sz w:val="21"/>
                <w:szCs w:val="21"/>
              </w:rPr>
              <w:t>、高温热空气吹出的纤维尘以及</w:t>
            </w:r>
            <w:r>
              <w:rPr>
                <w:rFonts w:hint="eastAsia" w:cs="Times New Roman"/>
                <w:b w:val="0"/>
                <w:bCs/>
                <w:color w:val="auto"/>
                <w:kern w:val="2"/>
                <w:sz w:val="21"/>
                <w:szCs w:val="21"/>
                <w:lang w:val="en-US" w:eastAsia="zh-CN"/>
              </w:rPr>
              <w:t>生物质锅炉</w:t>
            </w:r>
            <w:r>
              <w:rPr>
                <w:rFonts w:ascii="Times New Roman" w:hAnsi="Times New Roman" w:eastAsia="宋体" w:cs="Times New Roman"/>
                <w:b w:val="0"/>
                <w:bCs/>
                <w:color w:val="auto"/>
                <w:kern w:val="2"/>
                <w:sz w:val="21"/>
                <w:szCs w:val="21"/>
              </w:rPr>
              <w:t>燃烧产生的二氧化硫、氮氧化物、烟尘。</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4</w:t>
            </w: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刷呢（又称起毛）</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ascii="Times New Roman" w:hAnsi="Times New Roman" w:eastAsia="宋体" w:cs="Times New Roman"/>
                <w:b w:val="0"/>
                <w:bCs/>
                <w:color w:val="auto"/>
                <w:kern w:val="2"/>
                <w:sz w:val="21"/>
                <w:szCs w:val="21"/>
              </w:rPr>
              <w:t>刷呢利用带有针布或钢针的滚筒对织物表面进行反复摩擦和拉伸，使织物中原本卷曲或紧贴的纤维被拉出并竖立起来，形成一层均匀细密的绒毛层</w:t>
            </w:r>
            <w:r>
              <w:rPr>
                <w:rFonts w:hint="eastAsia" w:cs="Times New Roman"/>
                <w:b w:val="0"/>
                <w:bCs/>
                <w:color w:val="auto"/>
                <w:kern w:val="2"/>
                <w:sz w:val="21"/>
                <w:szCs w:val="21"/>
                <w:lang w:eastAsia="zh-CN"/>
              </w:rPr>
              <w:t>，</w:t>
            </w:r>
            <w:r>
              <w:rPr>
                <w:rFonts w:ascii="Times New Roman" w:hAnsi="Times New Roman" w:eastAsia="宋体" w:cs="Times New Roman"/>
                <w:b w:val="0"/>
                <w:bCs/>
                <w:color w:val="auto"/>
                <w:kern w:val="2"/>
                <w:sz w:val="21"/>
                <w:szCs w:val="21"/>
              </w:rPr>
              <w:t>此工序会产生</w:t>
            </w:r>
            <w:r>
              <w:rPr>
                <w:rFonts w:hint="eastAsia" w:cs="Times New Roman"/>
                <w:b w:val="0"/>
                <w:bCs/>
                <w:color w:val="auto"/>
                <w:kern w:val="2"/>
                <w:sz w:val="21"/>
                <w:szCs w:val="21"/>
                <w:lang w:val="en-US" w:eastAsia="zh-CN"/>
              </w:rPr>
              <w:t>刷呢</w:t>
            </w:r>
            <w:r>
              <w:rPr>
                <w:rFonts w:ascii="Times New Roman" w:hAnsi="Times New Roman" w:eastAsia="宋体" w:cs="Times New Roman"/>
                <w:b w:val="0"/>
                <w:bCs/>
                <w:color w:val="auto"/>
                <w:kern w:val="2"/>
                <w:sz w:val="21"/>
                <w:szCs w:val="21"/>
              </w:rPr>
              <w:t>废气</w:t>
            </w:r>
            <w:r>
              <w:rPr>
                <w:rFonts w:hint="eastAsia" w:cs="Times New Roman"/>
                <w:b w:val="0"/>
                <w:bCs/>
                <w:color w:val="auto"/>
                <w:kern w:val="2"/>
                <w:sz w:val="21"/>
                <w:szCs w:val="21"/>
                <w:lang w:val="en-US" w:eastAsia="zh-CN"/>
              </w:rPr>
              <w:t>G3。</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5</w:t>
            </w: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剪毛</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ascii="Times New Roman" w:hAnsi="Times New Roman" w:eastAsia="宋体" w:cs="Times New Roman"/>
                <w:b w:val="0"/>
                <w:bCs/>
                <w:color w:val="auto"/>
                <w:kern w:val="2"/>
                <w:sz w:val="21"/>
                <w:szCs w:val="21"/>
              </w:rPr>
              <w:t>利用剪毛机剪去织物表面不需要的茸毛，使织物纹路清晰、表面光洁。此工序会产生剪毛废气</w:t>
            </w:r>
            <w:r>
              <w:rPr>
                <w:rFonts w:hint="eastAsia" w:cs="Times New Roman"/>
                <w:b w:val="0"/>
                <w:bCs/>
                <w:color w:val="auto"/>
                <w:kern w:val="2"/>
                <w:sz w:val="21"/>
                <w:szCs w:val="21"/>
                <w:lang w:val="en-US" w:eastAsia="zh-CN"/>
              </w:rPr>
              <w:t>G4。</w:t>
            </w:r>
          </w:p>
          <w:p>
            <w:pPr>
              <w:pStyle w:val="36"/>
              <w:widowControl w:val="0"/>
              <w:numPr>
                <w:ilvl w:val="0"/>
                <w:numId w:val="24"/>
              </w:numPr>
              <w:snapToGrid/>
              <w:spacing w:before="0" w:after="0" w:line="360" w:lineRule="auto"/>
              <w:ind w:right="0" w:firstLine="420" w:firstLineChars="200"/>
              <w:rPr>
                <w:rFonts w:hint="eastAsia" w:cs="Times New Roman"/>
                <w:b w:val="0"/>
                <w:bCs/>
                <w:color w:val="auto"/>
                <w:kern w:val="2"/>
                <w:sz w:val="21"/>
                <w:szCs w:val="21"/>
                <w:lang w:val="en-US" w:eastAsia="zh-CN"/>
              </w:rPr>
            </w:pPr>
            <w:r>
              <w:rPr>
                <w:rFonts w:hint="eastAsia" w:cs="Times New Roman"/>
                <w:b w:val="0"/>
                <w:bCs/>
                <w:color w:val="auto"/>
                <w:kern w:val="2"/>
                <w:sz w:val="21"/>
                <w:szCs w:val="21"/>
                <w:lang w:val="en-US" w:eastAsia="zh-CN"/>
              </w:rPr>
              <w:t>烫光</w:t>
            </w:r>
          </w:p>
          <w:p>
            <w:pPr>
              <w:pStyle w:val="36"/>
              <w:widowControl w:val="0"/>
              <w:snapToGrid/>
              <w:spacing w:before="0" w:after="0" w:line="360" w:lineRule="auto"/>
              <w:ind w:right="0" w:firstLine="420" w:firstLineChars="200"/>
              <w:rPr>
                <w:rFonts w:hint="eastAsia" w:ascii="Times New Roman" w:hAnsi="Times New Roman" w:eastAsia="宋体" w:cs="Times New Roman"/>
                <w:b w:val="0"/>
                <w:bCs/>
                <w:color w:val="FF0000"/>
                <w:kern w:val="2"/>
                <w:sz w:val="21"/>
                <w:szCs w:val="21"/>
                <w:lang w:val="en-US" w:eastAsia="zh-CN"/>
              </w:rPr>
            </w:pPr>
            <w:r>
              <w:rPr>
                <w:rFonts w:hint="eastAsia" w:ascii="Times New Roman" w:hAnsi="Times New Roman" w:eastAsia="宋体" w:cs="Times New Roman"/>
                <w:b w:val="0"/>
                <w:bCs/>
                <w:color w:val="FF0000"/>
                <w:kern w:val="2"/>
                <w:sz w:val="21"/>
                <w:szCs w:val="21"/>
                <w:lang w:val="en-US" w:eastAsia="zh-CN"/>
              </w:rPr>
              <w:t>烫光机辊筒拍打布面浮毛，使之产生光泽度（使用生物质蒸汽锅炉产生的蒸汽间接加热烫光机），烫光温度约150℃~180℃。该过程会产生烫光废气G5。</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hint="eastAsia" w:cs="Times New Roman"/>
                <w:b w:val="0"/>
                <w:bCs/>
                <w:color w:val="auto"/>
                <w:kern w:val="2"/>
                <w:sz w:val="21"/>
                <w:szCs w:val="21"/>
                <w:lang w:val="en-US" w:eastAsia="zh-CN"/>
              </w:rPr>
              <w:t>（7）预缩</w:t>
            </w:r>
          </w:p>
          <w:p>
            <w:pPr>
              <w:pStyle w:val="36"/>
              <w:widowControl w:val="0"/>
              <w:snapToGrid/>
              <w:spacing w:before="0" w:after="0" w:line="360" w:lineRule="auto"/>
              <w:ind w:right="0" w:firstLine="420" w:firstLineChars="200"/>
              <w:rPr>
                <w:bCs/>
                <w:kern w:val="2"/>
                <w:sz w:val="21"/>
                <w:szCs w:val="21"/>
                <w:lang w:val="en-US"/>
              </w:rPr>
            </w:pPr>
            <w:r>
              <w:rPr>
                <w:rFonts w:hint="eastAsia"/>
                <w:bCs/>
                <w:kern w:val="2"/>
                <w:sz w:val="21"/>
                <w:szCs w:val="21"/>
                <w:lang w:val="en-US"/>
              </w:rPr>
              <w:t>织物在染整过程中经向受到张力，经向的屈曲波高减小，因而会出现伸长现象。亲水性纤维织物浸水湿透时，纤维发生溶胀，经、纬纱的直径增加，从而使经纱屈曲波高增大，织物长度缩短，形成缩水。据企业介绍，布料使用预缩机通过蒸汽间接加热，本项目预缩机采用闭环水循环设计，</w:t>
            </w:r>
            <w:r>
              <w:rPr>
                <w:rFonts w:hint="eastAsia"/>
                <w:bCs/>
                <w:color w:val="FF0000"/>
                <w:kern w:val="2"/>
                <w:sz w:val="21"/>
                <w:szCs w:val="21"/>
                <w:lang w:val="en-US"/>
              </w:rPr>
              <w:t>无废水排放</w:t>
            </w:r>
            <w:r>
              <w:rPr>
                <w:rFonts w:hint="eastAsia"/>
                <w:bCs/>
                <w:color w:val="FF0000"/>
                <w:kern w:val="2"/>
                <w:sz w:val="21"/>
                <w:szCs w:val="21"/>
                <w:lang w:val="en-US" w:eastAsia="zh-CN"/>
              </w:rPr>
              <w:t>，此工序会产生废滤网S3</w:t>
            </w:r>
            <w:r>
              <w:rPr>
                <w:rFonts w:hint="eastAsia"/>
                <w:bCs/>
                <w:kern w:val="2"/>
                <w:sz w:val="21"/>
                <w:szCs w:val="21"/>
                <w:lang w:val="en-US"/>
              </w:rPr>
              <w:t>。</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hint="eastAsia" w:cs="Times New Roman"/>
                <w:b w:val="0"/>
                <w:bCs/>
                <w:color w:val="auto"/>
                <w:kern w:val="2"/>
                <w:sz w:val="21"/>
                <w:szCs w:val="21"/>
                <w:lang w:val="en-US" w:eastAsia="zh-CN"/>
              </w:rPr>
              <w:t>（8）摇粒</w:t>
            </w:r>
          </w:p>
          <w:p>
            <w:pPr>
              <w:pStyle w:val="36"/>
              <w:widowControl w:val="0"/>
              <w:snapToGrid/>
              <w:spacing w:before="0" w:after="0" w:line="360" w:lineRule="auto"/>
              <w:ind w:right="0" w:firstLine="420" w:firstLineChars="200"/>
              <w:rPr>
                <w:rFonts w:hint="eastAsia" w:ascii="Times New Roman" w:hAnsi="Times New Roman" w:eastAsia="宋体" w:cs="Times New Roman"/>
                <w:b w:val="0"/>
                <w:bCs/>
                <w:color w:val="auto"/>
                <w:kern w:val="2"/>
                <w:sz w:val="21"/>
                <w:szCs w:val="21"/>
              </w:rPr>
            </w:pPr>
            <w:r>
              <w:rPr>
                <w:rFonts w:hint="eastAsia" w:cs="Times New Roman"/>
                <w:b w:val="0"/>
                <w:bCs/>
                <w:color w:val="auto"/>
                <w:kern w:val="2"/>
                <w:sz w:val="21"/>
                <w:szCs w:val="21"/>
                <w:lang w:val="en-US" w:eastAsia="zh-CN"/>
              </w:rPr>
              <w:t>利用摇粒机对布料进行摩擦起毛，布料表面纤维由于静电作用弯曲缠绕，结成小球，该过程会产生摇粒废气G6。</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9</w:t>
            </w: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蒸呢</w:t>
            </w:r>
          </w:p>
          <w:p>
            <w:pPr>
              <w:pStyle w:val="36"/>
              <w:widowControl w:val="0"/>
              <w:snapToGrid/>
              <w:spacing w:before="0" w:after="0" w:line="360" w:lineRule="auto"/>
              <w:ind w:right="0" w:firstLine="420" w:firstLineChars="200"/>
              <w:rPr>
                <w:rFonts w:hint="eastAsia" w:cs="Times New Roman"/>
                <w:b w:val="0"/>
                <w:bCs/>
                <w:color w:val="auto"/>
                <w:kern w:val="2"/>
                <w:sz w:val="21"/>
                <w:szCs w:val="21"/>
                <w:lang w:val="en-US" w:eastAsia="zh-CN"/>
              </w:rPr>
            </w:pPr>
            <w:r>
              <w:rPr>
                <w:rFonts w:hint="eastAsia" w:cs="Times New Roman"/>
                <w:b w:val="0"/>
                <w:bCs/>
                <w:color w:val="auto"/>
                <w:kern w:val="2"/>
                <w:sz w:val="21"/>
                <w:szCs w:val="21"/>
                <w:lang w:val="en-US" w:eastAsia="zh-CN"/>
              </w:rPr>
              <w:t>蒸呢是毛织物及仿毛织物后整理中的关键定形工艺，其核心原理是利用羊毛纤维在湿热条件下的可塑性，通过蒸汽锅炉和导热油炉升温处理使纤维内部结构重组，从而实现织物形态稳定、手感改善和光泽提升，该过程会产生蒸呢废气G7。</w:t>
            </w:r>
          </w:p>
          <w:p>
            <w:pPr>
              <w:pStyle w:val="36"/>
              <w:widowControl w:val="0"/>
              <w:snapToGrid/>
              <w:spacing w:before="0" w:after="0" w:line="360" w:lineRule="auto"/>
              <w:ind w:right="0" w:firstLine="420" w:firstLineChars="200"/>
              <w:rPr>
                <w:rFonts w:hint="default" w:ascii="Times New Roman" w:hAnsi="Times New Roman" w:eastAsia="宋体" w:cs="Times New Roman"/>
                <w:b w:val="0"/>
                <w:bCs/>
                <w:color w:val="auto"/>
                <w:kern w:val="2"/>
                <w:sz w:val="21"/>
                <w:szCs w:val="21"/>
                <w:lang w:val="en-US" w:eastAsia="zh-CN"/>
              </w:rPr>
            </w:pP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10</w:t>
            </w:r>
            <w:r>
              <w:rPr>
                <w:rFonts w:hint="eastAsia" w:cs="Times New Roman"/>
                <w:b w:val="0"/>
                <w:bCs/>
                <w:color w:val="auto"/>
                <w:kern w:val="2"/>
                <w:sz w:val="21"/>
                <w:szCs w:val="21"/>
                <w:lang w:eastAsia="zh-CN"/>
              </w:rPr>
              <w:t>）</w:t>
            </w:r>
            <w:r>
              <w:rPr>
                <w:rFonts w:hint="eastAsia" w:cs="Times New Roman"/>
                <w:b w:val="0"/>
                <w:bCs/>
                <w:color w:val="auto"/>
                <w:kern w:val="2"/>
                <w:sz w:val="21"/>
                <w:szCs w:val="21"/>
                <w:lang w:val="en-US" w:eastAsia="zh-CN"/>
              </w:rPr>
              <w:t>检验打包</w:t>
            </w:r>
          </w:p>
          <w:p>
            <w:pPr>
              <w:pStyle w:val="36"/>
              <w:widowControl w:val="0"/>
              <w:snapToGrid/>
              <w:spacing w:before="0" w:after="0" w:line="360" w:lineRule="auto"/>
              <w:ind w:right="0" w:firstLine="420" w:firstLineChars="200"/>
              <w:rPr>
                <w:rFonts w:hint="eastAsia" w:ascii="Times New Roman" w:hAnsi="Times New Roman" w:eastAsia="宋体" w:cs="Times New Roman"/>
                <w:b w:val="0"/>
                <w:bCs/>
                <w:color w:val="auto"/>
                <w:kern w:val="2"/>
                <w:sz w:val="21"/>
                <w:szCs w:val="21"/>
              </w:rPr>
            </w:pPr>
            <w:r>
              <w:rPr>
                <w:rFonts w:hint="eastAsia" w:cs="Times New Roman"/>
                <w:b w:val="0"/>
                <w:bCs/>
                <w:color w:val="auto"/>
                <w:kern w:val="2"/>
                <w:sz w:val="21"/>
                <w:szCs w:val="21"/>
                <w:lang w:val="en-US" w:eastAsia="zh-CN"/>
              </w:rPr>
              <w:t>将不合格的次品与合格产品分开，并将缝合接头部分剪除。该过程会产生不合格品S4。</w:t>
            </w:r>
          </w:p>
          <w:p>
            <w:pPr>
              <w:pStyle w:val="248"/>
              <w:rPr>
                <w:color w:val="auto"/>
                <w:sz w:val="21"/>
                <w:szCs w:val="16"/>
              </w:rPr>
            </w:pPr>
            <w:r>
              <w:rPr>
                <w:rFonts w:hint="eastAsia"/>
                <w:color w:val="auto"/>
                <w:sz w:val="21"/>
                <w:szCs w:val="16"/>
              </w:rPr>
              <w:t>表2-</w:t>
            </w:r>
            <w:r>
              <w:rPr>
                <w:rFonts w:hint="eastAsia"/>
                <w:color w:val="auto"/>
                <w:sz w:val="21"/>
                <w:szCs w:val="16"/>
                <w:lang w:val="en-US" w:eastAsia="zh-CN"/>
              </w:rPr>
              <w:t>9</w:t>
            </w:r>
            <w:r>
              <w:rPr>
                <w:rFonts w:hint="eastAsia"/>
                <w:color w:val="auto"/>
                <w:sz w:val="21"/>
                <w:szCs w:val="16"/>
              </w:rPr>
              <w:t xml:space="preserve">  主要工艺参数</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938"/>
              <w:gridCol w:w="50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bottom w:val="single" w:color="auto" w:sz="12" w:space="0"/>
                  </w:tcBorders>
                  <w:vAlign w:val="center"/>
                </w:tcPr>
                <w:p>
                  <w:pPr>
                    <w:pStyle w:val="180"/>
                    <w:rPr>
                      <w:b/>
                      <w:color w:val="auto"/>
                      <w:sz w:val="20"/>
                      <w:szCs w:val="20"/>
                      <w:lang w:val="en-US"/>
                    </w:rPr>
                  </w:pPr>
                  <w:r>
                    <w:rPr>
                      <w:rFonts w:hint="eastAsia"/>
                      <w:b/>
                      <w:color w:val="auto"/>
                      <w:sz w:val="20"/>
                      <w:szCs w:val="20"/>
                      <w:lang w:val="en-US"/>
                    </w:rPr>
                    <w:t>序号</w:t>
                  </w:r>
                </w:p>
              </w:tc>
              <w:tc>
                <w:tcPr>
                  <w:tcW w:w="1182" w:type="pct"/>
                  <w:tcBorders>
                    <w:bottom w:val="single" w:color="auto" w:sz="12" w:space="0"/>
                  </w:tcBorders>
                  <w:vAlign w:val="center"/>
                </w:tcPr>
                <w:p>
                  <w:pPr>
                    <w:pStyle w:val="180"/>
                    <w:rPr>
                      <w:b/>
                      <w:color w:val="auto"/>
                      <w:sz w:val="20"/>
                      <w:szCs w:val="20"/>
                      <w:lang w:val="en-US"/>
                    </w:rPr>
                  </w:pPr>
                  <w:r>
                    <w:rPr>
                      <w:rFonts w:hint="eastAsia"/>
                      <w:b/>
                      <w:color w:val="auto"/>
                      <w:sz w:val="20"/>
                      <w:szCs w:val="20"/>
                      <w:lang w:val="en-US"/>
                    </w:rPr>
                    <w:t>工序</w:t>
                  </w:r>
                </w:p>
              </w:tc>
              <w:tc>
                <w:tcPr>
                  <w:tcW w:w="3051" w:type="pct"/>
                  <w:tcBorders>
                    <w:bottom w:val="single" w:color="auto" w:sz="12" w:space="0"/>
                  </w:tcBorders>
                  <w:vAlign w:val="center"/>
                </w:tcPr>
                <w:p>
                  <w:pPr>
                    <w:pStyle w:val="180"/>
                    <w:rPr>
                      <w:rFonts w:hint="eastAsia" w:eastAsia="宋体"/>
                      <w:b/>
                      <w:color w:val="auto"/>
                      <w:sz w:val="20"/>
                      <w:szCs w:val="20"/>
                      <w:lang w:val="en-US" w:eastAsia="zh-CN"/>
                    </w:rPr>
                  </w:pPr>
                  <w:r>
                    <w:rPr>
                      <w:b/>
                      <w:color w:val="auto"/>
                      <w:sz w:val="20"/>
                      <w:szCs w:val="20"/>
                      <w:lang w:val="en-US"/>
                    </w:rPr>
                    <w:t>工作</w:t>
                  </w:r>
                  <w:r>
                    <w:rPr>
                      <w:rFonts w:hint="eastAsia"/>
                      <w:b/>
                      <w:color w:val="auto"/>
                      <w:sz w:val="20"/>
                      <w:szCs w:val="20"/>
                      <w:lang w:val="en-US" w:eastAsia="zh-CN"/>
                    </w:rPr>
                    <w:t>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op w:val="single" w:color="auto" w:sz="12" w:space="0"/>
                    <w:tl2br w:val="nil"/>
                    <w:tr2bl w:val="nil"/>
                  </w:tcBorders>
                  <w:vAlign w:val="center"/>
                </w:tcPr>
                <w:p>
                  <w:pPr>
                    <w:pStyle w:val="180"/>
                    <w:rPr>
                      <w:color w:val="auto"/>
                      <w:sz w:val="20"/>
                      <w:szCs w:val="20"/>
                      <w:lang w:val="en-US"/>
                    </w:rPr>
                  </w:pPr>
                  <w:r>
                    <w:rPr>
                      <w:rFonts w:hint="eastAsia"/>
                      <w:color w:val="auto"/>
                      <w:sz w:val="20"/>
                      <w:szCs w:val="20"/>
                      <w:lang w:val="en-US"/>
                    </w:rPr>
                    <w:t>1</w:t>
                  </w:r>
                </w:p>
              </w:tc>
              <w:tc>
                <w:tcPr>
                  <w:tcW w:w="1182" w:type="pct"/>
                  <w:tcBorders>
                    <w:top w:val="single" w:color="auto" w:sz="12" w:space="0"/>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翻缝</w:t>
                  </w:r>
                </w:p>
              </w:tc>
              <w:tc>
                <w:tcPr>
                  <w:tcW w:w="3051" w:type="pct"/>
                  <w:tcBorders>
                    <w:top w:val="single" w:color="auto" w:sz="12" w:space="0"/>
                    <w:tl2br w:val="nil"/>
                    <w:tr2bl w:val="nil"/>
                  </w:tcBorders>
                  <w:vAlign w:val="center"/>
                </w:tcPr>
                <w:p>
                  <w:pPr>
                    <w:pStyle w:val="180"/>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rPr>
                    <w:t>常温常压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2</w:t>
                  </w:r>
                </w:p>
              </w:tc>
              <w:tc>
                <w:tcPr>
                  <w:tcW w:w="1182" w:type="pct"/>
                  <w:tcBorders>
                    <w:tl2br w:val="nil"/>
                    <w:tr2bl w:val="nil"/>
                  </w:tcBorders>
                  <w:vAlign w:val="center"/>
                </w:tcPr>
                <w:p>
                  <w:pPr>
                    <w:pStyle w:val="180"/>
                    <w:rPr>
                      <w:rFonts w:hint="default" w:eastAsia="宋体"/>
                      <w:color w:val="auto"/>
                      <w:sz w:val="20"/>
                      <w:szCs w:val="20"/>
                      <w:lang w:val="en-US" w:eastAsia="zh-CN"/>
                    </w:rPr>
                  </w:pPr>
                  <w:r>
                    <w:rPr>
                      <w:rFonts w:hint="eastAsia"/>
                      <w:color w:val="auto"/>
                      <w:sz w:val="20"/>
                      <w:szCs w:val="20"/>
                      <w:lang w:val="en-US" w:eastAsia="zh-CN"/>
                    </w:rPr>
                    <w:t>拉毛</w:t>
                  </w:r>
                </w:p>
              </w:tc>
              <w:tc>
                <w:tcPr>
                  <w:tcW w:w="3051" w:type="pct"/>
                  <w:tcBorders>
                    <w:tl2br w:val="nil"/>
                    <w:tr2bl w:val="nil"/>
                  </w:tcBorders>
                  <w:vAlign w:val="center"/>
                </w:tcPr>
                <w:p>
                  <w:pPr>
                    <w:pStyle w:val="180"/>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rPr>
                    <w:t>常温常压</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处理时间</w:t>
                  </w:r>
                  <w:r>
                    <w:rPr>
                      <w:rFonts w:hint="default" w:ascii="Times New Roman" w:hAnsi="Times New Roman" w:cs="Times New Roman"/>
                      <w:color w:val="auto"/>
                      <w:sz w:val="20"/>
                      <w:szCs w:val="20"/>
                      <w:lang w:val="en-US" w:eastAsia="zh-CN"/>
                    </w:rPr>
                    <w:t>30min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3</w:t>
                  </w:r>
                </w:p>
              </w:tc>
              <w:tc>
                <w:tcPr>
                  <w:tcW w:w="1182" w:type="pct"/>
                  <w:tcBorders>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定型</w:t>
                  </w:r>
                </w:p>
              </w:tc>
              <w:tc>
                <w:tcPr>
                  <w:tcW w:w="3051" w:type="pct"/>
                  <w:tcBorders>
                    <w:tl2br w:val="nil"/>
                    <w:tr2bl w:val="nil"/>
                  </w:tcBorders>
                  <w:vAlign w:val="center"/>
                </w:tcPr>
                <w:p>
                  <w:pPr>
                    <w:pStyle w:val="180"/>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180-200℃、常压、</w:t>
                  </w:r>
                  <w:r>
                    <w:rPr>
                      <w:rFonts w:hint="default" w:ascii="Times New Roman" w:hAnsi="Times New Roman" w:cs="Times New Roman"/>
                      <w:color w:val="auto"/>
                      <w:sz w:val="20"/>
                      <w:szCs w:val="20"/>
                      <w:lang w:val="en-US"/>
                    </w:rPr>
                    <w:t>处理时间</w:t>
                  </w:r>
                  <w:r>
                    <w:rPr>
                      <w:rFonts w:hint="default" w:ascii="Times New Roman" w:hAnsi="Times New Roman" w:cs="Times New Roman"/>
                      <w:color w:val="auto"/>
                      <w:sz w:val="20"/>
                      <w:szCs w:val="20"/>
                      <w:lang w:val="en-US" w:eastAsia="zh-CN"/>
                    </w:rPr>
                    <w:t>3min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4</w:t>
                  </w:r>
                </w:p>
              </w:tc>
              <w:tc>
                <w:tcPr>
                  <w:tcW w:w="1182" w:type="pct"/>
                  <w:tcBorders>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刷呢</w:t>
                  </w:r>
                </w:p>
              </w:tc>
              <w:tc>
                <w:tcPr>
                  <w:tcW w:w="3051" w:type="pct"/>
                  <w:tcBorders>
                    <w:tl2br w:val="nil"/>
                    <w:tr2bl w:val="nil"/>
                  </w:tcBorders>
                  <w:vAlign w:val="center"/>
                </w:tcPr>
                <w:p>
                  <w:pPr>
                    <w:pStyle w:val="180"/>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150-345 r/min、呢速控制在5-20 m/min、温度30–45℃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5</w:t>
                  </w:r>
                </w:p>
              </w:tc>
              <w:tc>
                <w:tcPr>
                  <w:tcW w:w="1182" w:type="pct"/>
                  <w:tcBorders>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剪毛</w:t>
                  </w:r>
                </w:p>
              </w:tc>
              <w:tc>
                <w:tcPr>
                  <w:tcW w:w="3051" w:type="pct"/>
                  <w:tcBorders>
                    <w:tl2br w:val="nil"/>
                    <w:tr2bl w:val="nil"/>
                  </w:tcBorders>
                  <w:vAlign w:val="center"/>
                </w:tcPr>
                <w:p>
                  <w:pPr>
                    <w:pStyle w:val="180"/>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rPr>
                    <w:t>800</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1200r/min、正面剪毛4</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7次，反面1</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2次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6</w:t>
                  </w:r>
                </w:p>
              </w:tc>
              <w:tc>
                <w:tcPr>
                  <w:tcW w:w="1182" w:type="pct"/>
                  <w:tcBorders>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烫光</w:t>
                  </w:r>
                </w:p>
              </w:tc>
              <w:tc>
                <w:tcPr>
                  <w:tcW w:w="3051" w:type="pct"/>
                  <w:tcBorders>
                    <w:tl2br w:val="nil"/>
                    <w:tr2bl w:val="nil"/>
                  </w:tcBorders>
                  <w:vAlign w:val="center"/>
                </w:tcPr>
                <w:p>
                  <w:pPr>
                    <w:pStyle w:val="180"/>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rPr>
                    <w:t>烫辊温度150</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180</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、接触深度70%</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90%、布速6</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10m/min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7</w:t>
                  </w:r>
                </w:p>
              </w:tc>
              <w:tc>
                <w:tcPr>
                  <w:tcW w:w="1182" w:type="pct"/>
                  <w:tcBorders>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预缩</w:t>
                  </w:r>
                </w:p>
              </w:tc>
              <w:tc>
                <w:tcPr>
                  <w:tcW w:w="3051" w:type="pct"/>
                  <w:tcBorders>
                    <w:tl2br w:val="nil"/>
                    <w:tr2bl w:val="nil"/>
                  </w:tcBorders>
                  <w:vAlign w:val="center"/>
                </w:tcPr>
                <w:p>
                  <w:pPr>
                    <w:pStyle w:val="180"/>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rPr>
                    <w:t>60</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70℃、蒸汽压力0.39–0.49 MPa、呢速5</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20m/min、超喂率10%–25%‌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8</w:t>
                  </w:r>
                </w:p>
              </w:tc>
              <w:tc>
                <w:tcPr>
                  <w:tcW w:w="1182" w:type="pct"/>
                  <w:tcBorders>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摇粒</w:t>
                  </w:r>
                </w:p>
              </w:tc>
              <w:tc>
                <w:tcPr>
                  <w:tcW w:w="3051" w:type="pct"/>
                  <w:tcBorders>
                    <w:tl2br w:val="nil"/>
                    <w:tr2bl w:val="nil"/>
                  </w:tcBorders>
                  <w:vAlign w:val="center"/>
                </w:tcPr>
                <w:p>
                  <w:pPr>
                    <w:pStyle w:val="180"/>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rPr>
                    <w:t>46–60℃、处理时间20</w:t>
                  </w:r>
                  <w:r>
                    <w:rPr>
                      <w:rFonts w:hint="default" w:ascii="Times New Roman" w:hAnsi="Times New Roman" w:cs="Times New Roman"/>
                      <w:color w:val="auto"/>
                      <w:sz w:val="20"/>
                      <w:szCs w:val="20"/>
                      <w:lang w:val="en-US" w:eastAsia="zh-CN"/>
                    </w:rPr>
                    <w:t>min</w:t>
                  </w:r>
                  <w:r>
                    <w:rPr>
                      <w:rFonts w:hint="default" w:ascii="Times New Roman" w:hAnsi="Times New Roman" w:cs="Times New Roman"/>
                      <w:color w:val="auto"/>
                      <w:sz w:val="20"/>
                      <w:szCs w:val="20"/>
                      <w:lang w:val="en-US"/>
                    </w:rPr>
                    <w:t>布速30</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40m/min、圆刀转速1000rpm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66" w:type="pct"/>
                  <w:tcBorders>
                    <w:tl2br w:val="nil"/>
                    <w:tr2bl w:val="nil"/>
                  </w:tcBorders>
                  <w:vAlign w:val="center"/>
                </w:tcPr>
                <w:p>
                  <w:pPr>
                    <w:pStyle w:val="180"/>
                    <w:rPr>
                      <w:color w:val="auto"/>
                      <w:sz w:val="20"/>
                      <w:szCs w:val="20"/>
                      <w:lang w:val="en-US"/>
                    </w:rPr>
                  </w:pPr>
                  <w:r>
                    <w:rPr>
                      <w:rFonts w:hint="eastAsia"/>
                      <w:color w:val="auto"/>
                      <w:sz w:val="20"/>
                      <w:szCs w:val="20"/>
                      <w:lang w:val="en-US"/>
                    </w:rPr>
                    <w:t>9</w:t>
                  </w:r>
                </w:p>
              </w:tc>
              <w:tc>
                <w:tcPr>
                  <w:tcW w:w="1182" w:type="pct"/>
                  <w:tcBorders>
                    <w:tl2br w:val="nil"/>
                    <w:tr2bl w:val="nil"/>
                  </w:tcBorders>
                  <w:vAlign w:val="center"/>
                </w:tcPr>
                <w:p>
                  <w:pPr>
                    <w:pStyle w:val="180"/>
                    <w:rPr>
                      <w:rFonts w:hint="eastAsia" w:eastAsia="宋体"/>
                      <w:color w:val="auto"/>
                      <w:sz w:val="20"/>
                      <w:szCs w:val="20"/>
                      <w:lang w:val="en-US" w:eastAsia="zh-CN"/>
                    </w:rPr>
                  </w:pPr>
                  <w:r>
                    <w:rPr>
                      <w:rFonts w:hint="eastAsia"/>
                      <w:color w:val="auto"/>
                      <w:sz w:val="20"/>
                      <w:szCs w:val="20"/>
                      <w:lang w:val="en-US" w:eastAsia="zh-CN"/>
                    </w:rPr>
                    <w:t>蒸呢</w:t>
                  </w:r>
                </w:p>
              </w:tc>
              <w:tc>
                <w:tcPr>
                  <w:tcW w:w="3051" w:type="pct"/>
                  <w:tcBorders>
                    <w:tl2br w:val="nil"/>
                    <w:tr2bl w:val="nil"/>
                  </w:tcBorders>
                  <w:vAlign w:val="center"/>
                </w:tcPr>
                <w:p>
                  <w:pPr>
                    <w:pStyle w:val="180"/>
                    <w:rPr>
                      <w:rFonts w:hint="default" w:ascii="Times New Roman" w:hAnsi="Times New Roman" w:cs="Times New Roman"/>
                      <w:color w:val="auto"/>
                      <w:sz w:val="20"/>
                      <w:szCs w:val="20"/>
                      <w:lang w:val="en-US"/>
                    </w:rPr>
                  </w:pPr>
                  <w:r>
                    <w:rPr>
                      <w:rFonts w:hint="default" w:ascii="Times New Roman" w:hAnsi="Times New Roman" w:cs="Times New Roman"/>
                      <w:color w:val="auto"/>
                      <w:sz w:val="20"/>
                      <w:szCs w:val="20"/>
                      <w:lang w:val="en-US" w:eastAsia="zh-CN"/>
                    </w:rPr>
                    <w:t>220-240</w:t>
                  </w:r>
                  <w:r>
                    <w:rPr>
                      <w:rFonts w:hint="default" w:ascii="Times New Roman" w:hAnsi="Times New Roman" w:cs="Times New Roman"/>
                      <w:color w:val="auto"/>
                      <w:sz w:val="20"/>
                      <w:szCs w:val="20"/>
                      <w:lang w:val="en-US"/>
                    </w:rPr>
                    <w:t>℃、蒸汽压力147–294 kPa、处理时间5</w:t>
                  </w:r>
                  <w:r>
                    <w:rPr>
                      <w:rFonts w:hint="default" w:ascii="Times New Roman" w:hAnsi="Times New Roman" w:cs="Times New Roman"/>
                      <w:color w:val="auto"/>
                      <w:sz w:val="20"/>
                      <w:szCs w:val="20"/>
                      <w:lang w:val="en-US" w:eastAsia="zh-CN"/>
                    </w:rPr>
                    <w:t>-</w:t>
                  </w:r>
                  <w:r>
                    <w:rPr>
                      <w:rFonts w:hint="default" w:ascii="Times New Roman" w:hAnsi="Times New Roman" w:cs="Times New Roman"/>
                      <w:color w:val="auto"/>
                      <w:sz w:val="20"/>
                      <w:szCs w:val="20"/>
                      <w:lang w:val="en-US"/>
                    </w:rPr>
                    <w:t>15</w:t>
                  </w:r>
                  <w:r>
                    <w:rPr>
                      <w:rFonts w:hint="default" w:ascii="Times New Roman" w:hAnsi="Times New Roman" w:cs="Times New Roman"/>
                      <w:color w:val="auto"/>
                      <w:sz w:val="20"/>
                      <w:szCs w:val="20"/>
                      <w:lang w:val="en-US" w:eastAsia="zh-CN"/>
                    </w:rPr>
                    <w:t>min</w:t>
                  </w:r>
                  <w:r>
                    <w:rPr>
                      <w:rFonts w:hint="default" w:ascii="Times New Roman" w:hAnsi="Times New Roman" w:cs="Times New Roman"/>
                      <w:color w:val="auto"/>
                      <w:sz w:val="20"/>
                      <w:szCs w:val="20"/>
                      <w:lang w:val="en-US"/>
                    </w:rPr>
                    <w:t>、冷却至＜30℃出机</w:t>
                  </w:r>
                </w:p>
              </w:tc>
            </w:tr>
          </w:tbl>
          <w:p>
            <w:pPr>
              <w:autoSpaceDE w:val="0"/>
              <w:autoSpaceDN w:val="0"/>
              <w:adjustRightInd w:val="0"/>
              <w:snapToGrid w:val="0"/>
              <w:spacing w:line="400" w:lineRule="exact"/>
              <w:ind w:firstLine="422" w:firstLineChars="200"/>
              <w:jc w:val="lef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2.2 纯水制备流程</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b w:val="0"/>
                <w:bCs w:val="0"/>
                <w:color w:val="FF0000"/>
                <w:szCs w:val="21"/>
                <w:lang w:val="en-US" w:eastAsia="zh-CN"/>
              </w:rPr>
            </w:pPr>
            <w:r>
              <w:rPr>
                <w:rFonts w:hint="default" w:ascii="Times New Roman" w:hAnsi="Times New Roman" w:eastAsia="宋体" w:cs="Times New Roman"/>
                <w:b w:val="0"/>
                <w:bCs w:val="0"/>
                <w:color w:val="FF0000"/>
                <w:szCs w:val="21"/>
                <w:lang w:val="en-US" w:eastAsia="zh-CN"/>
              </w:rPr>
              <w:t>根据设计资料，生产原水（自来水）→原水箱→原水泵→一级RO保安过滤器→一级RO高压泵→一级反渗透装置→一级RO产水箱→二级RO增压泵→二级RO保安过滤器→二级RO高压泵→二级反渗透装置→二级RO产水箱（→ 200K供水泵）→EDI增压泵→EDI精密过滤器→EDI装置→抛光混床→供水</w:t>
            </w:r>
          </w:p>
          <w:p>
            <w:pPr>
              <w:autoSpaceDE w:val="0"/>
              <w:autoSpaceDN w:val="0"/>
              <w:adjustRightInd w:val="0"/>
              <w:snapToGrid w:val="0"/>
              <w:spacing w:line="400" w:lineRule="exact"/>
              <w:ind w:firstLine="420" w:firstLineChars="200"/>
              <w:jc w:val="left"/>
              <w:rPr>
                <w:rFonts w:hint="eastAsia" w:ascii="Times New Roman" w:hAnsi="Times New Roman" w:eastAsia="宋体" w:cs="Times New Roman"/>
                <w:b w:val="0"/>
                <w:bCs w:val="0"/>
                <w:color w:val="FF0000"/>
                <w:szCs w:val="21"/>
                <w:lang w:val="en-US" w:eastAsia="zh-CN"/>
              </w:rPr>
            </w:pPr>
            <w:r>
              <w:rPr>
                <w:rFonts w:hint="eastAsia" w:ascii="Times New Roman" w:hAnsi="Times New Roman" w:eastAsia="宋体" w:cs="Times New Roman"/>
                <w:b w:val="0"/>
                <w:bCs w:val="0"/>
                <w:color w:val="FF0000"/>
                <w:szCs w:val="21"/>
                <w:lang w:val="en-US" w:eastAsia="zh-CN"/>
              </w:rPr>
              <w:t>纯水制备工艺见图2-6及制水参数见表2-</w:t>
            </w:r>
            <w:r>
              <w:rPr>
                <w:rFonts w:hint="eastAsia" w:cs="Times New Roman"/>
                <w:b w:val="0"/>
                <w:bCs w:val="0"/>
                <w:color w:val="FF0000"/>
                <w:szCs w:val="21"/>
                <w:lang w:val="en-US" w:eastAsia="zh-CN"/>
              </w:rPr>
              <w:t>10</w:t>
            </w:r>
            <w:r>
              <w:rPr>
                <w:rFonts w:hint="eastAsia" w:ascii="Times New Roman" w:hAnsi="Times New Roman" w:eastAsia="宋体" w:cs="Times New Roman"/>
                <w:b w:val="0"/>
                <w:bCs w:val="0"/>
                <w:color w:val="FF0000"/>
                <w:szCs w:val="21"/>
                <w:lang w:val="en-US" w:eastAsia="zh-CN"/>
              </w:rPr>
              <w:t>。</w:t>
            </w:r>
          </w:p>
          <w:p>
            <w:pPr>
              <w:autoSpaceDE w:val="0"/>
              <w:autoSpaceDN w:val="0"/>
              <w:adjustRightInd w:val="0"/>
              <w:snapToGrid w:val="0"/>
              <w:spacing w:line="400" w:lineRule="exact"/>
              <w:ind w:firstLine="420" w:firstLineChars="200"/>
              <w:jc w:val="left"/>
              <w:rPr>
                <w:rFonts w:hint="default" w:ascii="Times New Roman" w:hAnsi="Times New Roman" w:eastAsia="宋体" w:cs="Times New Roman"/>
                <w:b w:val="0"/>
                <w:bCs w:val="0"/>
                <w:color w:val="auto"/>
                <w:szCs w:val="21"/>
                <w:lang w:val="en-US" w:eastAsia="zh-CN"/>
              </w:rPr>
            </w:pPr>
          </w:p>
          <w:p>
            <w:pPr>
              <w:adjustRightInd w:val="0"/>
              <w:snapToGrid w:val="0"/>
              <w:jc w:val="center"/>
              <w:outlineLvl w:val="0"/>
              <w:rPr>
                <w:b/>
                <w:bCs/>
                <w:color w:val="auto"/>
                <w:szCs w:val="21"/>
              </w:rPr>
            </w:pPr>
            <w:r>
              <w:rPr>
                <w:color w:val="auto"/>
              </w:rPr>
              <w:object>
                <v:shape id="_x0000_i1026" o:spt="75" type="#_x0000_t75" style="height:247.8pt;width:223.5pt;" o:ole="t" filled="f" o:preferrelative="t" stroked="f" coordsize="21600,21600">
                  <v:path/>
                  <v:fill on="f" focussize="0,0"/>
                  <v:stroke on="f"/>
                  <v:imagedata r:id="rId23" o:title=""/>
                  <o:lock v:ext="edit" aspectratio="t"/>
                  <w10:wrap type="none"/>
                  <w10:anchorlock/>
                </v:shape>
                <o:OLEObject Type="Embed" ProgID="Visio.Drawing.15" ShapeID="_x0000_i1026" DrawAspect="Content" ObjectID="_1468075729" r:id="rId22">
                  <o:LockedField>false</o:LockedField>
                </o:OLEObject>
              </w:object>
            </w:r>
          </w:p>
          <w:p>
            <w:pPr>
              <w:adjustRightInd w:val="0"/>
              <w:snapToGrid w:val="0"/>
              <w:spacing w:line="400" w:lineRule="exact"/>
              <w:jc w:val="center"/>
              <w:outlineLvl w:val="0"/>
              <w:rPr>
                <w:b/>
                <w:bCs/>
                <w:color w:val="auto"/>
                <w:szCs w:val="21"/>
              </w:rPr>
            </w:pPr>
            <w:r>
              <w:rPr>
                <w:b/>
                <w:bCs/>
                <w:color w:val="auto"/>
                <w:szCs w:val="21"/>
              </w:rPr>
              <w:t>图2-</w:t>
            </w:r>
            <w:r>
              <w:rPr>
                <w:rFonts w:hint="eastAsia"/>
                <w:b/>
                <w:bCs/>
                <w:color w:val="auto"/>
                <w:szCs w:val="21"/>
                <w:lang w:val="en-US" w:eastAsia="zh-CN"/>
              </w:rPr>
              <w:t>6</w:t>
            </w:r>
            <w:r>
              <w:rPr>
                <w:b/>
                <w:bCs/>
                <w:color w:val="auto"/>
                <w:szCs w:val="21"/>
              </w:rPr>
              <w:t xml:space="preserve">  </w:t>
            </w:r>
            <w:r>
              <w:rPr>
                <w:rFonts w:hint="eastAsia"/>
                <w:b/>
                <w:bCs/>
                <w:color w:val="auto"/>
                <w:szCs w:val="21"/>
                <w:lang w:val="en-US" w:eastAsia="zh-CN"/>
              </w:rPr>
              <w:t>锅炉用</w:t>
            </w:r>
            <w:r>
              <w:rPr>
                <w:b/>
                <w:bCs/>
                <w:color w:val="auto"/>
                <w:szCs w:val="21"/>
              </w:rPr>
              <w:t>纯水制备工艺流程图</w:t>
            </w:r>
          </w:p>
          <w:p>
            <w:pPr>
              <w:adjustRightInd w:val="0"/>
              <w:snapToGrid w:val="0"/>
              <w:spacing w:line="400" w:lineRule="exact"/>
              <w:jc w:val="center"/>
              <w:outlineLvl w:val="0"/>
              <w:rPr>
                <w:b/>
                <w:bCs/>
                <w:color w:val="auto"/>
                <w:szCs w:val="21"/>
              </w:rPr>
            </w:pPr>
            <w:r>
              <w:rPr>
                <w:b/>
                <w:bCs/>
                <w:color w:val="auto"/>
                <w:szCs w:val="21"/>
              </w:rPr>
              <w:t>表2</w:t>
            </w:r>
            <w:r>
              <w:rPr>
                <w:rFonts w:hint="eastAsia"/>
                <w:b/>
                <w:bCs/>
                <w:color w:val="auto"/>
                <w:szCs w:val="21"/>
                <w:lang w:val="en-US" w:eastAsia="zh-CN"/>
              </w:rPr>
              <w:t>-10</w:t>
            </w:r>
            <w:r>
              <w:rPr>
                <w:b/>
                <w:bCs/>
                <w:color w:val="auto"/>
                <w:szCs w:val="21"/>
              </w:rPr>
              <w:t xml:space="preserve"> 纯水制备系统参数一览表</w:t>
            </w:r>
          </w:p>
          <w:tbl>
            <w:tblPr>
              <w:tblStyle w:val="91"/>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65"/>
              <w:gridCol w:w="4037"/>
              <w:gridCol w:w="10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5" w:type="dxa"/>
                  <w:tcBorders>
                    <w:top w:val="single" w:color="auto" w:sz="12" w:space="0"/>
                    <w:bottom w:val="single" w:color="auto" w:sz="12" w:space="0"/>
                  </w:tcBorders>
                  <w:vAlign w:val="center"/>
                </w:tcPr>
                <w:p>
                  <w:pPr>
                    <w:adjustRightInd w:val="0"/>
                    <w:snapToGrid w:val="0"/>
                    <w:jc w:val="center"/>
                    <w:rPr>
                      <w:b/>
                      <w:bCs/>
                      <w:color w:val="auto"/>
                      <w:sz w:val="20"/>
                      <w:szCs w:val="20"/>
                    </w:rPr>
                  </w:pPr>
                  <w:r>
                    <w:rPr>
                      <w:b/>
                      <w:bCs/>
                      <w:color w:val="auto"/>
                      <w:sz w:val="20"/>
                      <w:szCs w:val="20"/>
                    </w:rPr>
                    <w:t>纯水工艺</w:t>
                  </w:r>
                </w:p>
              </w:tc>
              <w:tc>
                <w:tcPr>
                  <w:tcW w:w="4037" w:type="dxa"/>
                  <w:tcBorders>
                    <w:top w:val="single" w:color="auto" w:sz="12" w:space="0"/>
                    <w:bottom w:val="single" w:color="auto" w:sz="12" w:space="0"/>
                  </w:tcBorders>
                  <w:vAlign w:val="center"/>
                </w:tcPr>
                <w:p>
                  <w:pPr>
                    <w:adjustRightInd w:val="0"/>
                    <w:snapToGrid w:val="0"/>
                    <w:jc w:val="center"/>
                    <w:rPr>
                      <w:b/>
                      <w:bCs/>
                      <w:color w:val="auto"/>
                      <w:sz w:val="20"/>
                      <w:szCs w:val="20"/>
                    </w:rPr>
                  </w:pPr>
                  <w:r>
                    <w:rPr>
                      <w:b/>
                      <w:bCs/>
                      <w:color w:val="auto"/>
                      <w:sz w:val="20"/>
                      <w:szCs w:val="20"/>
                    </w:rPr>
                    <w:t>水质参数</w:t>
                  </w:r>
                </w:p>
              </w:tc>
              <w:tc>
                <w:tcPr>
                  <w:tcW w:w="1095" w:type="dxa"/>
                  <w:tcBorders>
                    <w:top w:val="single" w:color="auto" w:sz="12" w:space="0"/>
                    <w:bottom w:val="single" w:color="auto" w:sz="12" w:space="0"/>
                  </w:tcBorders>
                  <w:vAlign w:val="center"/>
                </w:tcPr>
                <w:p>
                  <w:pPr>
                    <w:adjustRightInd w:val="0"/>
                    <w:snapToGrid w:val="0"/>
                    <w:jc w:val="center"/>
                    <w:rPr>
                      <w:b/>
                      <w:bCs/>
                      <w:color w:val="auto"/>
                      <w:sz w:val="20"/>
                      <w:szCs w:val="20"/>
                    </w:rPr>
                  </w:pPr>
                  <w:r>
                    <w:rPr>
                      <w:b/>
                      <w:bCs/>
                      <w:color w:val="auto"/>
                      <w:sz w:val="20"/>
                      <w:szCs w:val="20"/>
                    </w:rPr>
                    <w:t>制水率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5" w:type="dxa"/>
                  <w:tcBorders>
                    <w:top w:val="single" w:color="auto" w:sz="12" w:space="0"/>
                  </w:tcBorders>
                  <w:vAlign w:val="center"/>
                </w:tcPr>
                <w:p>
                  <w:pPr>
                    <w:adjustRightInd w:val="0"/>
                    <w:snapToGrid w:val="0"/>
                    <w:jc w:val="center"/>
                    <w:rPr>
                      <w:color w:val="auto"/>
                      <w:sz w:val="20"/>
                      <w:szCs w:val="20"/>
                    </w:rPr>
                  </w:pPr>
                  <w:r>
                    <w:rPr>
                      <w:color w:val="auto"/>
                      <w:sz w:val="20"/>
                      <w:szCs w:val="20"/>
                    </w:rPr>
                    <w:t>超滤</w:t>
                  </w:r>
                </w:p>
              </w:tc>
              <w:tc>
                <w:tcPr>
                  <w:tcW w:w="4037" w:type="dxa"/>
                  <w:tcBorders>
                    <w:top w:val="single" w:color="auto" w:sz="12" w:space="0"/>
                  </w:tcBorders>
                  <w:vAlign w:val="center"/>
                </w:tcPr>
                <w:p>
                  <w:pPr>
                    <w:adjustRightInd w:val="0"/>
                    <w:snapToGrid w:val="0"/>
                    <w:jc w:val="center"/>
                    <w:rPr>
                      <w:color w:val="auto"/>
                      <w:sz w:val="20"/>
                      <w:szCs w:val="20"/>
                    </w:rPr>
                  </w:pPr>
                  <w:r>
                    <w:rPr>
                      <w:color w:val="auto"/>
                      <w:sz w:val="20"/>
                      <w:szCs w:val="20"/>
                    </w:rPr>
                    <w:t>产水SDI：&lt;3；浊度：&lt;0.5NTU</w:t>
                  </w:r>
                </w:p>
              </w:tc>
              <w:tc>
                <w:tcPr>
                  <w:tcW w:w="1095" w:type="dxa"/>
                  <w:tcBorders>
                    <w:top w:val="single" w:color="auto" w:sz="12" w:space="0"/>
                  </w:tcBorders>
                  <w:vAlign w:val="center"/>
                </w:tcPr>
                <w:p>
                  <w:pPr>
                    <w:adjustRightInd w:val="0"/>
                    <w:snapToGrid w:val="0"/>
                    <w:jc w:val="center"/>
                    <w:rPr>
                      <w:color w:val="auto"/>
                      <w:sz w:val="20"/>
                      <w:szCs w:val="20"/>
                    </w:rPr>
                  </w:pPr>
                  <w:r>
                    <w:rPr>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5" w:type="dxa"/>
                  <w:vAlign w:val="center"/>
                </w:tcPr>
                <w:p>
                  <w:pPr>
                    <w:adjustRightInd w:val="0"/>
                    <w:snapToGrid w:val="0"/>
                    <w:jc w:val="center"/>
                    <w:rPr>
                      <w:color w:val="auto"/>
                      <w:sz w:val="20"/>
                      <w:szCs w:val="20"/>
                    </w:rPr>
                  </w:pPr>
                  <w:r>
                    <w:rPr>
                      <w:color w:val="auto"/>
                      <w:sz w:val="20"/>
                      <w:szCs w:val="20"/>
                    </w:rPr>
                    <w:t>一级RO</w:t>
                  </w:r>
                </w:p>
              </w:tc>
              <w:tc>
                <w:tcPr>
                  <w:tcW w:w="4037" w:type="dxa"/>
                  <w:vAlign w:val="center"/>
                </w:tcPr>
                <w:p>
                  <w:pPr>
                    <w:adjustRightInd w:val="0"/>
                    <w:snapToGrid w:val="0"/>
                    <w:jc w:val="center"/>
                    <w:rPr>
                      <w:color w:val="auto"/>
                      <w:sz w:val="20"/>
                      <w:szCs w:val="20"/>
                    </w:rPr>
                  </w:pPr>
                  <w:r>
                    <w:rPr>
                      <w:color w:val="auto"/>
                      <w:sz w:val="20"/>
                      <w:szCs w:val="20"/>
                    </w:rPr>
                    <w:t>电导率：≤10μs/cm（25℃）</w:t>
                  </w:r>
                </w:p>
              </w:tc>
              <w:tc>
                <w:tcPr>
                  <w:tcW w:w="1095" w:type="dxa"/>
                  <w:vAlign w:val="center"/>
                </w:tcPr>
                <w:p>
                  <w:pPr>
                    <w:adjustRightInd w:val="0"/>
                    <w:snapToGrid w:val="0"/>
                    <w:jc w:val="center"/>
                    <w:rPr>
                      <w:color w:val="auto"/>
                      <w:sz w:val="20"/>
                      <w:szCs w:val="20"/>
                    </w:rPr>
                  </w:pPr>
                  <w:r>
                    <w:rPr>
                      <w:color w:val="auto"/>
                      <w:sz w:val="20"/>
                      <w:szCs w:val="20"/>
                    </w:rPr>
                    <w:t>≥75%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5" w:type="dxa"/>
                  <w:vAlign w:val="center"/>
                </w:tcPr>
                <w:p>
                  <w:pPr>
                    <w:adjustRightInd w:val="0"/>
                    <w:snapToGrid w:val="0"/>
                    <w:jc w:val="center"/>
                    <w:rPr>
                      <w:color w:val="auto"/>
                      <w:sz w:val="20"/>
                      <w:szCs w:val="20"/>
                    </w:rPr>
                  </w:pPr>
                  <w:r>
                    <w:rPr>
                      <w:color w:val="auto"/>
                      <w:sz w:val="20"/>
                      <w:szCs w:val="20"/>
                    </w:rPr>
                    <w:t>二级RO</w:t>
                  </w:r>
                </w:p>
              </w:tc>
              <w:tc>
                <w:tcPr>
                  <w:tcW w:w="4037" w:type="dxa"/>
                  <w:vAlign w:val="center"/>
                </w:tcPr>
                <w:p>
                  <w:pPr>
                    <w:adjustRightInd w:val="0"/>
                    <w:snapToGrid w:val="0"/>
                    <w:jc w:val="center"/>
                    <w:rPr>
                      <w:color w:val="auto"/>
                      <w:sz w:val="20"/>
                      <w:szCs w:val="20"/>
                    </w:rPr>
                  </w:pPr>
                  <w:r>
                    <w:rPr>
                      <w:color w:val="auto"/>
                      <w:sz w:val="20"/>
                      <w:szCs w:val="20"/>
                    </w:rPr>
                    <w:t>产水电导率：≤2μs/cm（25℃）</w:t>
                  </w:r>
                </w:p>
              </w:tc>
              <w:tc>
                <w:tcPr>
                  <w:tcW w:w="1095" w:type="dxa"/>
                  <w:vAlign w:val="center"/>
                </w:tcPr>
                <w:p>
                  <w:pPr>
                    <w:adjustRightInd w:val="0"/>
                    <w:snapToGrid w:val="0"/>
                    <w:jc w:val="center"/>
                    <w:rPr>
                      <w:color w:val="auto"/>
                      <w:sz w:val="20"/>
                      <w:szCs w:val="20"/>
                    </w:rPr>
                  </w:pPr>
                  <w:r>
                    <w:rPr>
                      <w:color w:val="auto"/>
                      <w:sz w:val="20"/>
                      <w:szCs w:val="20"/>
                    </w:rPr>
                    <w:t>≥85%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5" w:type="dxa"/>
                  <w:vAlign w:val="center"/>
                </w:tcPr>
                <w:p>
                  <w:pPr>
                    <w:adjustRightInd w:val="0"/>
                    <w:snapToGrid w:val="0"/>
                    <w:jc w:val="center"/>
                    <w:rPr>
                      <w:rFonts w:hint="eastAsia" w:eastAsia="宋体"/>
                      <w:color w:val="auto"/>
                      <w:sz w:val="20"/>
                      <w:szCs w:val="20"/>
                      <w:lang w:eastAsia="zh-CN"/>
                    </w:rPr>
                  </w:pPr>
                  <w:r>
                    <w:rPr>
                      <w:color w:val="auto"/>
                      <w:sz w:val="20"/>
                      <w:szCs w:val="20"/>
                    </w:rPr>
                    <w:t>EDI</w:t>
                  </w:r>
                  <w:r>
                    <w:rPr>
                      <w:rFonts w:hint="eastAsia"/>
                      <w:color w:val="auto"/>
                      <w:sz w:val="20"/>
                      <w:szCs w:val="20"/>
                      <w:lang w:eastAsia="zh-CN"/>
                    </w:rPr>
                    <w:t>（</w:t>
                  </w:r>
                  <w:r>
                    <w:rPr>
                      <w:color w:val="auto"/>
                      <w:sz w:val="20"/>
                      <w:szCs w:val="20"/>
                    </w:rPr>
                    <w:t>电渗析与离子交换技术</w:t>
                  </w:r>
                  <w:r>
                    <w:rPr>
                      <w:rFonts w:hint="eastAsia"/>
                      <w:color w:val="auto"/>
                      <w:sz w:val="20"/>
                      <w:szCs w:val="20"/>
                      <w:lang w:eastAsia="zh-CN"/>
                    </w:rPr>
                    <w:t>）</w:t>
                  </w:r>
                </w:p>
              </w:tc>
              <w:tc>
                <w:tcPr>
                  <w:tcW w:w="4037" w:type="dxa"/>
                  <w:vAlign w:val="center"/>
                </w:tcPr>
                <w:p>
                  <w:pPr>
                    <w:adjustRightInd w:val="0"/>
                    <w:snapToGrid w:val="0"/>
                    <w:jc w:val="center"/>
                    <w:rPr>
                      <w:color w:val="auto"/>
                      <w:sz w:val="20"/>
                      <w:szCs w:val="20"/>
                    </w:rPr>
                  </w:pPr>
                  <w:r>
                    <w:rPr>
                      <w:color w:val="auto"/>
                      <w:sz w:val="20"/>
                      <w:szCs w:val="20"/>
                    </w:rPr>
                    <w:t>产水电阻率：≥15M</w:t>
                  </w:r>
                  <w:r>
                    <w:rPr>
                      <w:rFonts w:eastAsia="微软雅黑"/>
                      <w:color w:val="auto"/>
                      <w:sz w:val="20"/>
                      <w:szCs w:val="20"/>
                    </w:rPr>
                    <w:t>Ω</w:t>
                  </w:r>
                  <w:r>
                    <w:rPr>
                      <w:color w:val="auto"/>
                      <w:sz w:val="20"/>
                      <w:szCs w:val="20"/>
                    </w:rPr>
                    <w:t>·CM（25℃）</w:t>
                  </w:r>
                </w:p>
              </w:tc>
              <w:tc>
                <w:tcPr>
                  <w:tcW w:w="1095" w:type="dxa"/>
                  <w:vAlign w:val="center"/>
                </w:tcPr>
                <w:p>
                  <w:pPr>
                    <w:adjustRightInd w:val="0"/>
                    <w:snapToGrid w:val="0"/>
                    <w:jc w:val="center"/>
                    <w:rPr>
                      <w:color w:val="auto"/>
                      <w:sz w:val="20"/>
                      <w:szCs w:val="20"/>
                    </w:rPr>
                  </w:pPr>
                  <w:r>
                    <w:rPr>
                      <w:color w:val="auto"/>
                      <w:sz w:val="20"/>
                      <w:szCs w:val="20"/>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65" w:type="dxa"/>
                  <w:vAlign w:val="center"/>
                </w:tcPr>
                <w:p>
                  <w:pPr>
                    <w:adjustRightInd w:val="0"/>
                    <w:snapToGrid w:val="0"/>
                    <w:jc w:val="center"/>
                    <w:rPr>
                      <w:rFonts w:hint="eastAsia" w:eastAsia="宋体"/>
                      <w:color w:val="auto"/>
                      <w:sz w:val="20"/>
                      <w:szCs w:val="20"/>
                      <w:lang w:eastAsia="zh-CN"/>
                    </w:rPr>
                  </w:pPr>
                  <w:r>
                    <w:rPr>
                      <w:color w:val="auto"/>
                      <w:sz w:val="20"/>
                      <w:szCs w:val="20"/>
                    </w:rPr>
                    <w:t>抛光混床</w:t>
                  </w:r>
                  <w:r>
                    <w:rPr>
                      <w:rFonts w:hint="eastAsia"/>
                      <w:color w:val="auto"/>
                      <w:sz w:val="20"/>
                      <w:szCs w:val="20"/>
                      <w:lang w:eastAsia="zh-CN"/>
                    </w:rPr>
                    <w:t>（</w:t>
                  </w:r>
                  <w:r>
                    <w:rPr>
                      <w:rFonts w:hint="eastAsia"/>
                      <w:color w:val="auto"/>
                      <w:sz w:val="20"/>
                      <w:szCs w:val="20"/>
                    </w:rPr>
                    <w:t>超高纯度阴、阳离子交换树脂按一定比例均匀混合在一个交换柱内</w:t>
                  </w:r>
                  <w:r>
                    <w:rPr>
                      <w:rFonts w:hint="eastAsia"/>
                      <w:color w:val="auto"/>
                      <w:sz w:val="20"/>
                      <w:szCs w:val="20"/>
                      <w:lang w:eastAsia="zh-CN"/>
                    </w:rPr>
                    <w:t>）</w:t>
                  </w:r>
                </w:p>
              </w:tc>
              <w:tc>
                <w:tcPr>
                  <w:tcW w:w="4037" w:type="dxa"/>
                  <w:vAlign w:val="center"/>
                </w:tcPr>
                <w:p>
                  <w:pPr>
                    <w:adjustRightInd w:val="0"/>
                    <w:snapToGrid w:val="0"/>
                    <w:jc w:val="center"/>
                    <w:rPr>
                      <w:color w:val="auto"/>
                      <w:sz w:val="20"/>
                      <w:szCs w:val="20"/>
                    </w:rPr>
                  </w:pPr>
                  <w:r>
                    <w:rPr>
                      <w:color w:val="auto"/>
                      <w:sz w:val="20"/>
                      <w:szCs w:val="20"/>
                    </w:rPr>
                    <w:t>电阻率：≥18M</w:t>
                  </w:r>
                  <w:r>
                    <w:rPr>
                      <w:rFonts w:eastAsia="微软雅黑"/>
                      <w:color w:val="auto"/>
                      <w:sz w:val="20"/>
                      <w:szCs w:val="20"/>
                    </w:rPr>
                    <w:t>Ω</w:t>
                  </w:r>
                  <w:r>
                    <w:rPr>
                      <w:color w:val="auto"/>
                      <w:sz w:val="20"/>
                      <w:szCs w:val="20"/>
                    </w:rPr>
                    <w:t>·CM（25℃）</w:t>
                  </w:r>
                </w:p>
              </w:tc>
              <w:tc>
                <w:tcPr>
                  <w:tcW w:w="1095" w:type="dxa"/>
                  <w:vAlign w:val="center"/>
                </w:tcPr>
                <w:p>
                  <w:pPr>
                    <w:adjustRightInd w:val="0"/>
                    <w:snapToGrid w:val="0"/>
                    <w:jc w:val="center"/>
                    <w:rPr>
                      <w:color w:val="auto"/>
                      <w:sz w:val="20"/>
                      <w:szCs w:val="20"/>
                    </w:rPr>
                  </w:pPr>
                  <w:r>
                    <w:rPr>
                      <w:color w:val="auto"/>
                      <w:sz w:val="20"/>
                      <w:szCs w:val="20"/>
                    </w:rPr>
                    <w:t>/</w:t>
                  </w:r>
                </w:p>
              </w:tc>
            </w:tr>
          </w:tbl>
          <w:p>
            <w:pPr>
              <w:autoSpaceDE w:val="0"/>
              <w:autoSpaceDN w:val="0"/>
              <w:adjustRightInd w:val="0"/>
              <w:snapToGrid w:val="0"/>
              <w:spacing w:line="400" w:lineRule="exact"/>
              <w:ind w:firstLine="422" w:firstLineChars="200"/>
              <w:jc w:val="left"/>
              <w:rPr>
                <w:b/>
                <w:bCs/>
                <w:color w:val="auto"/>
                <w:szCs w:val="21"/>
              </w:rPr>
            </w:pPr>
            <w:r>
              <w:rPr>
                <w:rFonts w:hint="eastAsia"/>
                <w:b/>
                <w:bCs/>
                <w:color w:val="auto"/>
                <w:szCs w:val="21"/>
                <w:lang w:val="en-US" w:eastAsia="zh-CN"/>
              </w:rPr>
              <w:t xml:space="preserve">2.3 </w:t>
            </w:r>
            <w:r>
              <w:rPr>
                <w:b/>
                <w:bCs/>
                <w:color w:val="auto"/>
                <w:szCs w:val="21"/>
              </w:rPr>
              <w:t>产排污环节</w:t>
            </w:r>
          </w:p>
          <w:p>
            <w:pPr>
              <w:pStyle w:val="47"/>
              <w:spacing w:line="400" w:lineRule="exact"/>
              <w:ind w:firstLine="420"/>
              <w:outlineLvl w:val="0"/>
              <w:rPr>
                <w:rFonts w:ascii="Times New Roman" w:hAnsi="Times New Roman"/>
                <w:color w:val="auto"/>
                <w:szCs w:val="21"/>
                <w:lang w:val="en-US"/>
              </w:rPr>
            </w:pPr>
            <w:r>
              <w:rPr>
                <w:rFonts w:ascii="Times New Roman" w:hAnsi="Times New Roman"/>
                <w:color w:val="auto"/>
                <w:szCs w:val="21"/>
                <w:lang w:val="en-US"/>
              </w:rPr>
              <w:t>本项目主要污染在运营期，主要污染工序</w:t>
            </w:r>
            <w:r>
              <w:rPr>
                <w:rFonts w:hint="eastAsia" w:ascii="Times New Roman" w:hAnsi="Times New Roman"/>
                <w:color w:val="auto"/>
                <w:szCs w:val="21"/>
                <w:lang w:val="en-US"/>
              </w:rPr>
              <w:t>及污染物产生处置情况</w:t>
            </w:r>
            <w:r>
              <w:rPr>
                <w:rFonts w:ascii="Times New Roman" w:hAnsi="Times New Roman"/>
                <w:color w:val="auto"/>
                <w:szCs w:val="21"/>
                <w:lang w:val="en-US"/>
              </w:rPr>
              <w:t>见表2-</w:t>
            </w:r>
            <w:r>
              <w:rPr>
                <w:rFonts w:hint="eastAsia" w:ascii="Times New Roman" w:hAnsi="Times New Roman"/>
                <w:color w:val="auto"/>
                <w:szCs w:val="21"/>
                <w:lang w:val="en-US" w:eastAsia="zh-CN"/>
              </w:rPr>
              <w:t>11</w:t>
            </w:r>
            <w:r>
              <w:rPr>
                <w:rFonts w:ascii="Times New Roman" w:hAnsi="Times New Roman"/>
                <w:color w:val="auto"/>
                <w:szCs w:val="21"/>
                <w:lang w:val="en-US"/>
              </w:rPr>
              <w:t>。</w:t>
            </w:r>
          </w:p>
          <w:p>
            <w:pPr>
              <w:pStyle w:val="47"/>
              <w:spacing w:line="400" w:lineRule="exact"/>
              <w:ind w:firstLine="0" w:firstLineChars="0"/>
              <w:jc w:val="center"/>
              <w:outlineLvl w:val="0"/>
              <w:rPr>
                <w:rFonts w:ascii="Times New Roman" w:hAnsi="Times New Roman"/>
                <w:b/>
                <w:color w:val="auto"/>
                <w:szCs w:val="21"/>
                <w:lang w:val="en-US"/>
              </w:rPr>
            </w:pPr>
            <w:r>
              <w:rPr>
                <w:rFonts w:ascii="Times New Roman" w:hAnsi="Times New Roman"/>
                <w:b/>
                <w:color w:val="auto"/>
                <w:szCs w:val="21"/>
                <w:lang w:val="en-US"/>
              </w:rPr>
              <w:t>表2</w:t>
            </w:r>
            <w:r>
              <w:rPr>
                <w:rFonts w:hint="eastAsia" w:ascii="Times New Roman" w:hAnsi="Times New Roman"/>
                <w:b/>
                <w:color w:val="auto"/>
                <w:szCs w:val="21"/>
                <w:lang w:val="en-US"/>
              </w:rPr>
              <w:t>-</w:t>
            </w:r>
            <w:r>
              <w:rPr>
                <w:rFonts w:hint="eastAsia" w:ascii="Times New Roman" w:hAnsi="Times New Roman"/>
                <w:b/>
                <w:color w:val="auto"/>
                <w:szCs w:val="21"/>
                <w:lang w:val="en-US" w:eastAsia="zh-CN"/>
              </w:rPr>
              <w:t>11</w:t>
            </w:r>
            <w:r>
              <w:rPr>
                <w:rFonts w:ascii="Times New Roman" w:hAnsi="Times New Roman"/>
                <w:b/>
                <w:color w:val="auto"/>
                <w:szCs w:val="21"/>
                <w:lang w:val="en-US"/>
              </w:rPr>
              <w:t xml:space="preserve">  本项目主要污染工序</w:t>
            </w:r>
            <w:r>
              <w:rPr>
                <w:rFonts w:hint="eastAsia" w:ascii="Times New Roman" w:hAnsi="Times New Roman"/>
                <w:b/>
                <w:color w:val="auto"/>
                <w:szCs w:val="21"/>
                <w:lang w:val="en-US"/>
              </w:rPr>
              <w:t>及污染物产生处置情况</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729"/>
              <w:gridCol w:w="1284"/>
              <w:gridCol w:w="1131"/>
              <w:gridCol w:w="2553"/>
              <w:gridCol w:w="2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tcBorders>
                    <w:top w:val="single" w:color="auto" w:sz="12" w:space="0"/>
                    <w:bottom w:val="single" w:color="auto" w:sz="12" w:space="0"/>
                  </w:tcBorders>
                  <w:vAlign w:val="center"/>
                </w:tcPr>
                <w:p>
                  <w:pPr>
                    <w:pStyle w:val="180"/>
                    <w:rPr>
                      <w:b/>
                      <w:color w:val="auto"/>
                      <w:sz w:val="20"/>
                      <w:szCs w:val="20"/>
                      <w:lang w:val="en-US"/>
                    </w:rPr>
                  </w:pPr>
                  <w:r>
                    <w:rPr>
                      <w:b/>
                      <w:color w:val="auto"/>
                      <w:sz w:val="20"/>
                      <w:szCs w:val="20"/>
                      <w:lang w:val="en-US"/>
                    </w:rPr>
                    <w:t>类别</w:t>
                  </w:r>
                </w:p>
              </w:tc>
              <w:tc>
                <w:tcPr>
                  <w:tcW w:w="1473" w:type="pct"/>
                  <w:gridSpan w:val="2"/>
                  <w:tcBorders>
                    <w:top w:val="single" w:color="auto" w:sz="12" w:space="0"/>
                    <w:bottom w:val="single" w:color="auto" w:sz="12" w:space="0"/>
                  </w:tcBorders>
                  <w:vAlign w:val="center"/>
                </w:tcPr>
                <w:p>
                  <w:pPr>
                    <w:pStyle w:val="180"/>
                    <w:rPr>
                      <w:b/>
                      <w:color w:val="auto"/>
                      <w:sz w:val="20"/>
                      <w:szCs w:val="20"/>
                      <w:lang w:val="en-US"/>
                    </w:rPr>
                  </w:pPr>
                  <w:r>
                    <w:rPr>
                      <w:b/>
                      <w:color w:val="auto"/>
                      <w:sz w:val="20"/>
                      <w:szCs w:val="20"/>
                      <w:lang w:val="en-US"/>
                    </w:rPr>
                    <w:t>产污环节</w:t>
                  </w:r>
                </w:p>
              </w:tc>
              <w:tc>
                <w:tcPr>
                  <w:tcW w:w="1557" w:type="pct"/>
                  <w:tcBorders>
                    <w:top w:val="single" w:color="auto" w:sz="12" w:space="0"/>
                    <w:bottom w:val="single" w:color="auto" w:sz="12" w:space="0"/>
                  </w:tcBorders>
                  <w:vAlign w:val="center"/>
                </w:tcPr>
                <w:p>
                  <w:pPr>
                    <w:pStyle w:val="180"/>
                    <w:rPr>
                      <w:b/>
                      <w:color w:val="auto"/>
                      <w:sz w:val="20"/>
                      <w:szCs w:val="20"/>
                      <w:lang w:val="en-US"/>
                    </w:rPr>
                  </w:pPr>
                  <w:r>
                    <w:rPr>
                      <w:b/>
                      <w:color w:val="auto"/>
                      <w:sz w:val="20"/>
                      <w:szCs w:val="20"/>
                      <w:lang w:val="en-US"/>
                    </w:rPr>
                    <w:t>主要污染物</w:t>
                  </w:r>
                </w:p>
              </w:tc>
              <w:tc>
                <w:tcPr>
                  <w:tcW w:w="1524" w:type="pct"/>
                  <w:tcBorders>
                    <w:top w:val="single" w:color="auto" w:sz="12" w:space="0"/>
                    <w:bottom w:val="single" w:color="auto" w:sz="12" w:space="0"/>
                  </w:tcBorders>
                  <w:vAlign w:val="center"/>
                </w:tcPr>
                <w:p>
                  <w:pPr>
                    <w:pStyle w:val="180"/>
                    <w:rPr>
                      <w:b/>
                      <w:color w:val="auto"/>
                      <w:sz w:val="20"/>
                      <w:szCs w:val="20"/>
                      <w:lang w:val="en-US"/>
                    </w:rPr>
                  </w:pPr>
                  <w:r>
                    <w:rPr>
                      <w:b/>
                      <w:color w:val="auto"/>
                      <w:sz w:val="20"/>
                      <w:szCs w:val="20"/>
                      <w:lang w:val="en-US"/>
                    </w:rPr>
                    <w:t>治理措施及排放去向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restart"/>
                  <w:tcBorders>
                    <w:top w:val="single" w:color="auto" w:sz="12" w:space="0"/>
                  </w:tcBorders>
                  <w:vAlign w:val="center"/>
                </w:tcPr>
                <w:p>
                  <w:pPr>
                    <w:pStyle w:val="180"/>
                    <w:rPr>
                      <w:color w:val="auto"/>
                      <w:sz w:val="20"/>
                      <w:szCs w:val="20"/>
                      <w:lang w:val="en-US"/>
                    </w:rPr>
                  </w:pPr>
                  <w:r>
                    <w:rPr>
                      <w:color w:val="auto"/>
                      <w:sz w:val="20"/>
                      <w:szCs w:val="20"/>
                      <w:lang w:val="en-US"/>
                    </w:rPr>
                    <w:t>废气</w:t>
                  </w:r>
                </w:p>
              </w:tc>
              <w:tc>
                <w:tcPr>
                  <w:tcW w:w="783" w:type="pct"/>
                  <w:tcBorders>
                    <w:top w:val="single" w:color="auto" w:sz="12" w:space="0"/>
                  </w:tcBorders>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拉毛</w:t>
                  </w:r>
                </w:p>
              </w:tc>
              <w:tc>
                <w:tcPr>
                  <w:tcW w:w="689" w:type="pct"/>
                  <w:tcBorders>
                    <w:top w:val="single" w:color="auto" w:sz="12" w:space="0"/>
                  </w:tcBorders>
                  <w:vAlign w:val="center"/>
                </w:tcPr>
                <w:p>
                  <w:pPr>
                    <w:pStyle w:val="180"/>
                    <w:rPr>
                      <w:rFonts w:hint="default" w:eastAsia="宋体"/>
                      <w:color w:val="auto"/>
                      <w:sz w:val="20"/>
                      <w:szCs w:val="20"/>
                      <w:lang w:val="en-US" w:eastAsia="zh-CN"/>
                    </w:rPr>
                  </w:pPr>
                  <w:r>
                    <w:rPr>
                      <w:rFonts w:hint="eastAsia"/>
                      <w:color w:val="auto"/>
                      <w:sz w:val="20"/>
                      <w:szCs w:val="20"/>
                      <w:lang w:val="en-US" w:eastAsia="zh-CN"/>
                    </w:rPr>
                    <w:t>G1</w:t>
                  </w:r>
                </w:p>
              </w:tc>
              <w:tc>
                <w:tcPr>
                  <w:tcW w:w="1557" w:type="pct"/>
                  <w:tcBorders>
                    <w:top w:val="single" w:color="auto" w:sz="12" w:space="0"/>
                  </w:tcBorders>
                  <w:vAlign w:val="center"/>
                </w:tcPr>
                <w:p>
                  <w:pPr>
                    <w:pStyle w:val="180"/>
                    <w:rPr>
                      <w:color w:val="auto"/>
                      <w:sz w:val="20"/>
                      <w:szCs w:val="20"/>
                      <w:lang w:val="en-US"/>
                    </w:rPr>
                  </w:pPr>
                  <w:r>
                    <w:rPr>
                      <w:rFonts w:hint="eastAsia"/>
                      <w:sz w:val="20"/>
                      <w:szCs w:val="20"/>
                    </w:rPr>
                    <w:t>颗粒物</w:t>
                  </w:r>
                </w:p>
              </w:tc>
              <w:tc>
                <w:tcPr>
                  <w:tcW w:w="1524" w:type="pct"/>
                  <w:vMerge w:val="restart"/>
                  <w:tcBorders>
                    <w:top w:val="single" w:color="auto" w:sz="12" w:space="0"/>
                  </w:tcBorders>
                  <w:vAlign w:val="center"/>
                </w:tcPr>
                <w:p>
                  <w:pPr>
                    <w:pStyle w:val="180"/>
                    <w:rPr>
                      <w:rFonts w:hint="default" w:eastAsia="宋体"/>
                      <w:color w:val="auto"/>
                      <w:sz w:val="20"/>
                      <w:szCs w:val="20"/>
                      <w:lang w:val="en-US" w:eastAsia="zh-CN"/>
                    </w:rPr>
                  </w:pPr>
                  <w:r>
                    <w:rPr>
                      <w:rFonts w:hint="eastAsia"/>
                      <w:color w:val="auto"/>
                      <w:sz w:val="20"/>
                      <w:szCs w:val="20"/>
                      <w:lang w:val="en-US" w:eastAsia="zh-CN"/>
                    </w:rPr>
                    <w:t>布袋除尘+</w:t>
                  </w:r>
                  <w:r>
                    <w:rPr>
                      <w:rFonts w:hint="eastAsia"/>
                      <w:sz w:val="20"/>
                      <w:szCs w:val="20"/>
                      <w:lang w:val="en-US" w:eastAsia="zh-CN"/>
                    </w:rPr>
                    <w:t>DA001/15m排气筒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刷呢</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G3</w:t>
                  </w:r>
                </w:p>
              </w:tc>
              <w:tc>
                <w:tcPr>
                  <w:tcW w:w="1557" w:type="pct"/>
                  <w:shd w:val="clear" w:color="auto" w:fill="auto"/>
                  <w:vAlign w:val="center"/>
                </w:tcPr>
                <w:p>
                  <w:pPr>
                    <w:jc w:val="center"/>
                    <w:rPr>
                      <w:rFonts w:hint="eastAsia" w:ascii="Times New Roman" w:hAnsi="Times New Roman" w:eastAsia="宋体" w:cs="Times New Roman"/>
                      <w:color w:val="auto"/>
                      <w:kern w:val="2"/>
                      <w:sz w:val="20"/>
                      <w:szCs w:val="20"/>
                      <w:lang w:val="en-US" w:eastAsia="zh-CN" w:bidi="ar-SA"/>
                    </w:rPr>
                  </w:pPr>
                  <w:r>
                    <w:rPr>
                      <w:rFonts w:hint="eastAsia"/>
                      <w:sz w:val="20"/>
                      <w:szCs w:val="20"/>
                    </w:rPr>
                    <w:t>颗粒物</w:t>
                  </w:r>
                </w:p>
              </w:tc>
              <w:tc>
                <w:tcPr>
                  <w:tcW w:w="1524" w:type="pct"/>
                  <w:vMerge w:val="continue"/>
                  <w:vAlign w:val="center"/>
                </w:tcPr>
                <w:p>
                  <w:pPr>
                    <w:pStyle w:val="180"/>
                    <w:rPr>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剪毛</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G4</w:t>
                  </w:r>
                </w:p>
              </w:tc>
              <w:tc>
                <w:tcPr>
                  <w:tcW w:w="1557" w:type="pct"/>
                  <w:shd w:val="clear" w:color="auto" w:fill="auto"/>
                  <w:vAlign w:val="center"/>
                </w:tcPr>
                <w:p>
                  <w:pPr>
                    <w:jc w:val="center"/>
                    <w:rPr>
                      <w:rFonts w:hint="eastAsia" w:ascii="Times New Roman" w:hAnsi="Times New Roman" w:eastAsia="宋体" w:cs="Times New Roman"/>
                      <w:color w:val="auto"/>
                      <w:kern w:val="2"/>
                      <w:sz w:val="20"/>
                      <w:szCs w:val="20"/>
                      <w:lang w:val="en-US" w:eastAsia="zh-CN" w:bidi="ar-SA"/>
                    </w:rPr>
                  </w:pPr>
                  <w:r>
                    <w:rPr>
                      <w:rFonts w:hint="eastAsia"/>
                      <w:sz w:val="20"/>
                      <w:szCs w:val="20"/>
                    </w:rPr>
                    <w:t>颗粒物</w:t>
                  </w:r>
                </w:p>
              </w:tc>
              <w:tc>
                <w:tcPr>
                  <w:tcW w:w="1524" w:type="pct"/>
                  <w:vMerge w:val="continue"/>
                  <w:vAlign w:val="center"/>
                </w:tcPr>
                <w:p>
                  <w:pPr>
                    <w:pStyle w:val="180"/>
                    <w:rPr>
                      <w:rFonts w:hint="eastAsia" w:eastAsia="宋体"/>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烫光</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G5</w:t>
                  </w:r>
                </w:p>
              </w:tc>
              <w:tc>
                <w:tcPr>
                  <w:tcW w:w="1557" w:type="pct"/>
                  <w:shd w:val="clear" w:color="auto" w:fill="auto"/>
                  <w:vAlign w:val="center"/>
                </w:tcPr>
                <w:p>
                  <w:pPr>
                    <w:jc w:val="center"/>
                    <w:rPr>
                      <w:rFonts w:hint="eastAsia" w:ascii="Times New Roman" w:hAnsi="Times New Roman" w:eastAsia="宋体" w:cs="Times New Roman"/>
                      <w:color w:val="auto"/>
                      <w:kern w:val="2"/>
                      <w:sz w:val="20"/>
                      <w:szCs w:val="20"/>
                      <w:lang w:val="en-US" w:eastAsia="zh-CN" w:bidi="ar-SA"/>
                    </w:rPr>
                  </w:pPr>
                  <w:r>
                    <w:rPr>
                      <w:rFonts w:hint="eastAsia"/>
                      <w:sz w:val="20"/>
                      <w:szCs w:val="20"/>
                    </w:rPr>
                    <w:t>颗粒物</w:t>
                  </w:r>
                </w:p>
              </w:tc>
              <w:tc>
                <w:tcPr>
                  <w:tcW w:w="1524" w:type="pct"/>
                  <w:vMerge w:val="continue"/>
                  <w:vAlign w:val="center"/>
                </w:tcPr>
                <w:p>
                  <w:pPr>
                    <w:pStyle w:val="180"/>
                    <w:rPr>
                      <w:rFonts w:hint="eastAsia"/>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摇粒</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G6</w:t>
                  </w:r>
                </w:p>
              </w:tc>
              <w:tc>
                <w:tcPr>
                  <w:tcW w:w="1557" w:type="pct"/>
                  <w:shd w:val="clear" w:color="auto" w:fill="auto"/>
                  <w:vAlign w:val="center"/>
                </w:tcPr>
                <w:p>
                  <w:pPr>
                    <w:jc w:val="center"/>
                    <w:rPr>
                      <w:rFonts w:hint="eastAsia" w:ascii="Times New Roman" w:hAnsi="Times New Roman" w:eastAsia="宋体" w:cs="Times New Roman"/>
                      <w:color w:val="auto"/>
                      <w:kern w:val="2"/>
                      <w:sz w:val="20"/>
                      <w:szCs w:val="20"/>
                      <w:lang w:val="en-US" w:eastAsia="zh-CN" w:bidi="ar-SA"/>
                    </w:rPr>
                  </w:pPr>
                  <w:r>
                    <w:rPr>
                      <w:rFonts w:hint="eastAsia"/>
                      <w:sz w:val="20"/>
                      <w:szCs w:val="20"/>
                    </w:rPr>
                    <w:t>颗粒物</w:t>
                  </w:r>
                </w:p>
              </w:tc>
              <w:tc>
                <w:tcPr>
                  <w:tcW w:w="1524" w:type="pct"/>
                  <w:vMerge w:val="continue"/>
                  <w:vAlign w:val="center"/>
                </w:tcPr>
                <w:p>
                  <w:pPr>
                    <w:pStyle w:val="180"/>
                    <w:rPr>
                      <w:rFonts w:hint="eastAsia"/>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定型</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G2</w:t>
                  </w:r>
                </w:p>
              </w:tc>
              <w:tc>
                <w:tcPr>
                  <w:tcW w:w="1557" w:type="pct"/>
                  <w:shd w:val="clear" w:color="auto" w:fill="auto"/>
                  <w:vAlign w:val="center"/>
                </w:tcPr>
                <w:p>
                  <w:pPr>
                    <w:pStyle w:val="180"/>
                    <w:rPr>
                      <w:rFonts w:ascii="Times New Roman" w:hAnsi="Times New Roman" w:eastAsia="宋体" w:cs="Times New Roman"/>
                      <w:color w:val="auto"/>
                      <w:kern w:val="0"/>
                      <w:sz w:val="20"/>
                      <w:szCs w:val="20"/>
                      <w:lang w:val="en-US" w:eastAsia="zh-CN" w:bidi="ar-SA"/>
                    </w:rPr>
                  </w:pPr>
                  <w:r>
                    <w:rPr>
                      <w:rFonts w:hint="eastAsia"/>
                      <w:sz w:val="20"/>
                      <w:szCs w:val="20"/>
                    </w:rPr>
                    <w:t>非甲烷总烃、颗粒物</w:t>
                  </w:r>
                </w:p>
              </w:tc>
              <w:tc>
                <w:tcPr>
                  <w:tcW w:w="1524" w:type="pct"/>
                  <w:vMerge w:val="restart"/>
                  <w:vAlign w:val="center"/>
                </w:tcPr>
                <w:p>
                  <w:pPr>
                    <w:pStyle w:val="180"/>
                    <w:rPr>
                      <w:color w:val="auto"/>
                      <w:sz w:val="20"/>
                      <w:szCs w:val="20"/>
                      <w:lang w:val="en-US"/>
                    </w:rPr>
                  </w:pPr>
                  <w:r>
                    <w:rPr>
                      <w:rFonts w:hint="eastAsia"/>
                      <w:sz w:val="20"/>
                      <w:szCs w:val="20"/>
                    </w:rPr>
                    <w:t>水喷淋+静电</w:t>
                  </w:r>
                  <w:r>
                    <w:rPr>
                      <w:rFonts w:hint="eastAsia"/>
                      <w:sz w:val="20"/>
                      <w:szCs w:val="20"/>
                      <w:lang w:val="en-US" w:eastAsia="zh-CN"/>
                    </w:rPr>
                    <w:t>净化+DA001/15m排气筒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eastAsia" w:eastAsia="宋体"/>
                      <w:color w:val="auto"/>
                      <w:sz w:val="20"/>
                      <w:szCs w:val="20"/>
                      <w:lang w:val="en-US" w:eastAsia="zh-CN"/>
                    </w:rPr>
                  </w:pPr>
                  <w:r>
                    <w:rPr>
                      <w:rFonts w:hint="eastAsia"/>
                      <w:color w:val="auto"/>
                      <w:sz w:val="20"/>
                      <w:szCs w:val="20"/>
                      <w:lang w:val="en-US" w:eastAsia="zh-CN"/>
                    </w:rPr>
                    <w:t>蒸呢</w:t>
                  </w:r>
                </w:p>
              </w:tc>
              <w:tc>
                <w:tcPr>
                  <w:tcW w:w="689"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G7</w:t>
                  </w:r>
                </w:p>
              </w:tc>
              <w:tc>
                <w:tcPr>
                  <w:tcW w:w="1557" w:type="pct"/>
                  <w:vAlign w:val="center"/>
                </w:tcPr>
                <w:p>
                  <w:pPr>
                    <w:jc w:val="center"/>
                    <w:rPr>
                      <w:color w:val="auto"/>
                      <w:sz w:val="20"/>
                      <w:szCs w:val="20"/>
                      <w:lang w:val="en-US"/>
                    </w:rPr>
                  </w:pPr>
                  <w:r>
                    <w:rPr>
                      <w:rFonts w:hint="eastAsia"/>
                      <w:sz w:val="20"/>
                      <w:szCs w:val="20"/>
                    </w:rPr>
                    <w:t>非甲烷总烃、颗粒物</w:t>
                  </w:r>
                </w:p>
              </w:tc>
              <w:tc>
                <w:tcPr>
                  <w:tcW w:w="1524" w:type="pct"/>
                  <w:vMerge w:val="continue"/>
                  <w:vAlign w:val="center"/>
                </w:tcPr>
                <w:p>
                  <w:pPr>
                    <w:pStyle w:val="180"/>
                    <w:rPr>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color w:val="auto"/>
                      <w:sz w:val="20"/>
                      <w:szCs w:val="20"/>
                      <w:lang w:val="en-US" w:eastAsia="zh-CN"/>
                    </w:rPr>
                  </w:pPr>
                  <w:r>
                    <w:rPr>
                      <w:rFonts w:hint="eastAsia"/>
                      <w:color w:val="auto"/>
                      <w:sz w:val="20"/>
                      <w:szCs w:val="20"/>
                      <w:lang w:val="en-US" w:eastAsia="zh-CN"/>
                    </w:rPr>
                    <w:t>生物质锅炉</w:t>
                  </w:r>
                </w:p>
              </w:tc>
              <w:tc>
                <w:tcPr>
                  <w:tcW w:w="689" w:type="pct"/>
                  <w:vAlign w:val="center"/>
                </w:tcPr>
                <w:p>
                  <w:pPr>
                    <w:pStyle w:val="180"/>
                    <w:rPr>
                      <w:rFonts w:hint="default"/>
                      <w:color w:val="auto"/>
                      <w:sz w:val="20"/>
                      <w:szCs w:val="20"/>
                      <w:lang w:val="en-US" w:eastAsia="zh-CN"/>
                    </w:rPr>
                  </w:pPr>
                  <w:r>
                    <w:rPr>
                      <w:rFonts w:hint="eastAsia"/>
                      <w:color w:val="auto"/>
                      <w:sz w:val="20"/>
                      <w:szCs w:val="20"/>
                      <w:lang w:val="en-US" w:eastAsia="zh-CN"/>
                    </w:rPr>
                    <w:t>G8</w:t>
                  </w:r>
                </w:p>
              </w:tc>
              <w:tc>
                <w:tcPr>
                  <w:tcW w:w="1557"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sz w:val="20"/>
                      <w:szCs w:val="20"/>
                    </w:rPr>
                    <w:t>颗粒物、二氧化硫、氮氧化物</w:t>
                  </w:r>
                  <w:r>
                    <w:rPr>
                      <w:rFonts w:hint="eastAsia"/>
                      <w:sz w:val="20"/>
                      <w:szCs w:val="20"/>
                      <w:lang w:eastAsia="zh-CN"/>
                    </w:rPr>
                    <w:t>、</w:t>
                  </w:r>
                  <w:r>
                    <w:rPr>
                      <w:rFonts w:hint="eastAsia"/>
                      <w:sz w:val="20"/>
                      <w:szCs w:val="20"/>
                      <w:lang w:val="en-US" w:eastAsia="zh-CN"/>
                    </w:rPr>
                    <w:t>汞</w:t>
                  </w:r>
                </w:p>
              </w:tc>
              <w:tc>
                <w:tcPr>
                  <w:tcW w:w="1524"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pacing w:val="7"/>
                      <w:sz w:val="20"/>
                      <w:szCs w:val="20"/>
                      <w:highlight w:val="none"/>
                      <w:lang w:val="en-US" w:eastAsia="zh-CN"/>
                    </w:rPr>
                    <w:t>低氮燃烧+</w:t>
                  </w:r>
                  <w:r>
                    <w:rPr>
                      <w:rFonts w:hint="eastAsia" w:ascii="Times New Roman" w:hAnsi="Times New Roman" w:eastAsia="宋体"/>
                      <w:color w:val="auto"/>
                      <w:spacing w:val="7"/>
                      <w:sz w:val="20"/>
                      <w:szCs w:val="20"/>
                      <w:highlight w:val="none"/>
                      <w:lang w:val="en-US" w:eastAsia="zh-CN"/>
                    </w:rPr>
                    <w:t>SNCR+</w:t>
                  </w:r>
                  <w:r>
                    <w:rPr>
                      <w:rFonts w:hint="eastAsia" w:ascii="Times New Roman" w:hAnsi="Times New Roman" w:eastAsia="宋体" w:cs="Times New Roman"/>
                      <w:color w:val="auto"/>
                      <w:spacing w:val="7"/>
                      <w:sz w:val="20"/>
                      <w:szCs w:val="20"/>
                      <w:highlight w:val="none"/>
                      <w:lang w:val="en-US" w:eastAsia="zh-CN"/>
                    </w:rPr>
                    <w:t>石灰喷雾干燥+</w:t>
                  </w:r>
                  <w:r>
                    <w:rPr>
                      <w:rFonts w:hint="eastAsia" w:ascii="Times New Roman" w:hAnsi="Times New Roman" w:eastAsia="宋体"/>
                      <w:color w:val="auto"/>
                      <w:spacing w:val="7"/>
                      <w:sz w:val="20"/>
                      <w:szCs w:val="20"/>
                      <w:highlight w:val="none"/>
                      <w:lang w:val="en-US" w:eastAsia="zh-CN"/>
                    </w:rPr>
                    <w:t>余热回收+旋风除尘+布袋除尘</w:t>
                  </w:r>
                  <w:r>
                    <w:rPr>
                      <w:rFonts w:hint="eastAsia"/>
                      <w:color w:val="auto"/>
                      <w:spacing w:val="7"/>
                      <w:sz w:val="20"/>
                      <w:szCs w:val="20"/>
                      <w:highlight w:val="none"/>
                      <w:lang w:val="en-US" w:eastAsia="zh-CN"/>
                    </w:rPr>
                    <w:t>+</w:t>
                  </w:r>
                  <w:r>
                    <w:rPr>
                      <w:rFonts w:hint="eastAsia" w:ascii="Times New Roman" w:hAnsi="Times New Roman" w:eastAsia="宋体"/>
                      <w:color w:val="auto"/>
                      <w:spacing w:val="7"/>
                      <w:sz w:val="20"/>
                      <w:szCs w:val="20"/>
                      <w:highlight w:val="none"/>
                      <w:lang w:val="en-US" w:eastAsia="zh-CN"/>
                    </w:rPr>
                    <w:t>水幕除尘</w:t>
                  </w:r>
                  <w:r>
                    <w:rPr>
                      <w:rFonts w:hint="eastAsia"/>
                      <w:color w:val="auto"/>
                      <w:spacing w:val="7"/>
                      <w:sz w:val="20"/>
                      <w:szCs w:val="20"/>
                      <w:highlight w:val="none"/>
                      <w:lang w:val="en-US" w:eastAsia="zh-CN"/>
                    </w:rPr>
                    <w:t>处理经DA002/35m排气筒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color w:val="auto"/>
                      <w:sz w:val="20"/>
                      <w:szCs w:val="20"/>
                      <w:lang w:val="en-US" w:eastAsia="zh-CN"/>
                    </w:rPr>
                  </w:pPr>
                  <w:r>
                    <w:rPr>
                      <w:rFonts w:hint="eastAsia"/>
                      <w:color w:val="auto"/>
                      <w:sz w:val="20"/>
                      <w:szCs w:val="20"/>
                      <w:lang w:val="en-US" w:eastAsia="zh-CN"/>
                    </w:rPr>
                    <w:t>导热油炉</w:t>
                  </w:r>
                </w:p>
              </w:tc>
              <w:tc>
                <w:tcPr>
                  <w:tcW w:w="689" w:type="pct"/>
                  <w:vAlign w:val="center"/>
                </w:tcPr>
                <w:p>
                  <w:pPr>
                    <w:pStyle w:val="180"/>
                    <w:rPr>
                      <w:rFonts w:hint="default"/>
                      <w:color w:val="auto"/>
                      <w:sz w:val="20"/>
                      <w:szCs w:val="20"/>
                      <w:lang w:val="en-US" w:eastAsia="zh-CN"/>
                    </w:rPr>
                  </w:pPr>
                  <w:r>
                    <w:rPr>
                      <w:rFonts w:hint="eastAsia"/>
                      <w:color w:val="auto"/>
                      <w:sz w:val="20"/>
                      <w:szCs w:val="20"/>
                      <w:lang w:val="en-US" w:eastAsia="zh-CN"/>
                    </w:rPr>
                    <w:t>G9</w:t>
                  </w:r>
                </w:p>
              </w:tc>
              <w:tc>
                <w:tcPr>
                  <w:tcW w:w="1557" w:type="pct"/>
                  <w:vAlign w:val="center"/>
                </w:tcPr>
                <w:p>
                  <w:pPr>
                    <w:pStyle w:val="180"/>
                    <w:rPr>
                      <w:rFonts w:hint="default" w:eastAsia="宋体"/>
                      <w:color w:val="auto"/>
                      <w:sz w:val="20"/>
                      <w:szCs w:val="20"/>
                      <w:lang w:val="en-US" w:eastAsia="zh-CN"/>
                    </w:rPr>
                  </w:pPr>
                  <w:r>
                    <w:rPr>
                      <w:rFonts w:hint="eastAsia"/>
                      <w:sz w:val="20"/>
                      <w:szCs w:val="20"/>
                    </w:rPr>
                    <w:t>颗粒物、二氧化硫、氮氧化物</w:t>
                  </w:r>
                  <w:r>
                    <w:rPr>
                      <w:rFonts w:hint="eastAsia"/>
                      <w:sz w:val="20"/>
                      <w:szCs w:val="20"/>
                      <w:lang w:eastAsia="zh-CN"/>
                    </w:rPr>
                    <w:t>、</w:t>
                  </w:r>
                  <w:r>
                    <w:rPr>
                      <w:rFonts w:hint="eastAsia"/>
                      <w:sz w:val="20"/>
                      <w:szCs w:val="20"/>
                      <w:lang w:val="en-US" w:eastAsia="zh-CN"/>
                    </w:rPr>
                    <w:t>汞</w:t>
                  </w:r>
                </w:p>
              </w:tc>
              <w:tc>
                <w:tcPr>
                  <w:tcW w:w="1524" w:type="pct"/>
                  <w:vAlign w:val="center"/>
                </w:tcPr>
                <w:p>
                  <w:pPr>
                    <w:pStyle w:val="180"/>
                    <w:rPr>
                      <w:color w:val="auto"/>
                      <w:sz w:val="20"/>
                      <w:szCs w:val="20"/>
                      <w:lang w:val="en-US"/>
                    </w:rPr>
                  </w:pPr>
                  <w:r>
                    <w:rPr>
                      <w:rFonts w:hint="eastAsia"/>
                      <w:color w:val="auto"/>
                      <w:spacing w:val="7"/>
                      <w:sz w:val="20"/>
                      <w:szCs w:val="20"/>
                      <w:highlight w:val="none"/>
                      <w:lang w:val="en-US" w:eastAsia="zh-CN"/>
                    </w:rPr>
                    <w:t>低氮燃烧+</w:t>
                  </w:r>
                  <w:r>
                    <w:rPr>
                      <w:rFonts w:hint="eastAsia" w:ascii="Times New Roman" w:hAnsi="Times New Roman" w:eastAsia="宋体"/>
                      <w:color w:val="auto"/>
                      <w:spacing w:val="7"/>
                      <w:sz w:val="20"/>
                      <w:szCs w:val="20"/>
                      <w:highlight w:val="none"/>
                      <w:lang w:val="en-US" w:eastAsia="zh-CN"/>
                    </w:rPr>
                    <w:t>SNCR+</w:t>
                  </w:r>
                  <w:r>
                    <w:rPr>
                      <w:rFonts w:hint="eastAsia" w:ascii="Times New Roman" w:hAnsi="Times New Roman" w:eastAsia="宋体" w:cs="Times New Roman"/>
                      <w:color w:val="auto"/>
                      <w:spacing w:val="7"/>
                      <w:sz w:val="20"/>
                      <w:szCs w:val="20"/>
                      <w:highlight w:val="none"/>
                      <w:lang w:val="en-US" w:eastAsia="zh-CN"/>
                    </w:rPr>
                    <w:t>石灰喷雾干燥+</w:t>
                  </w:r>
                  <w:r>
                    <w:rPr>
                      <w:rFonts w:hint="eastAsia" w:ascii="Times New Roman" w:hAnsi="Times New Roman" w:eastAsia="宋体"/>
                      <w:color w:val="auto"/>
                      <w:spacing w:val="7"/>
                      <w:sz w:val="20"/>
                      <w:szCs w:val="20"/>
                      <w:highlight w:val="none"/>
                      <w:lang w:val="en-US" w:eastAsia="zh-CN"/>
                    </w:rPr>
                    <w:t>余热回收+旋风除尘+布袋除尘</w:t>
                  </w:r>
                  <w:r>
                    <w:rPr>
                      <w:rFonts w:hint="eastAsia"/>
                      <w:color w:val="auto"/>
                      <w:spacing w:val="7"/>
                      <w:sz w:val="20"/>
                      <w:szCs w:val="20"/>
                      <w:highlight w:val="none"/>
                      <w:lang w:val="en-US" w:eastAsia="zh-CN"/>
                    </w:rPr>
                    <w:t>+</w:t>
                  </w:r>
                  <w:r>
                    <w:rPr>
                      <w:rFonts w:hint="eastAsia" w:ascii="Times New Roman" w:hAnsi="Times New Roman" w:eastAsia="宋体"/>
                      <w:color w:val="auto"/>
                      <w:spacing w:val="7"/>
                      <w:sz w:val="20"/>
                      <w:szCs w:val="20"/>
                      <w:highlight w:val="none"/>
                      <w:lang w:val="en-US" w:eastAsia="zh-CN"/>
                    </w:rPr>
                    <w:t>水幕除尘</w:t>
                  </w:r>
                  <w:r>
                    <w:rPr>
                      <w:rFonts w:hint="eastAsia"/>
                      <w:color w:val="auto"/>
                      <w:spacing w:val="7"/>
                      <w:sz w:val="20"/>
                      <w:szCs w:val="20"/>
                      <w:highlight w:val="none"/>
                      <w:lang w:val="en-US" w:eastAsia="zh-CN"/>
                    </w:rPr>
                    <w:t>处理经DA003/35m排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restart"/>
                  <w:vAlign w:val="center"/>
                </w:tcPr>
                <w:p>
                  <w:pPr>
                    <w:pStyle w:val="180"/>
                    <w:rPr>
                      <w:color w:val="auto"/>
                      <w:sz w:val="20"/>
                      <w:szCs w:val="20"/>
                      <w:lang w:val="en-US"/>
                    </w:rPr>
                  </w:pPr>
                  <w:r>
                    <w:rPr>
                      <w:rFonts w:hint="eastAsia"/>
                      <w:color w:val="auto"/>
                      <w:sz w:val="20"/>
                      <w:szCs w:val="20"/>
                      <w:lang w:val="en-US"/>
                    </w:rPr>
                    <w:t>废水</w:t>
                  </w:r>
                </w:p>
              </w:tc>
              <w:tc>
                <w:tcPr>
                  <w:tcW w:w="783"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sz w:val="20"/>
                      <w:szCs w:val="20"/>
                    </w:rPr>
                    <w:t>蒸汽冷凝</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W1</w:t>
                  </w:r>
                </w:p>
              </w:tc>
              <w:tc>
                <w:tcPr>
                  <w:tcW w:w="1557"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rPr>
                    <w:t>COD、SS</w:t>
                  </w:r>
                </w:p>
              </w:tc>
              <w:tc>
                <w:tcPr>
                  <w:tcW w:w="1524"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rPr>
                    <w:t>回用</w:t>
                  </w:r>
                  <w:r>
                    <w:rPr>
                      <w:rFonts w:hint="eastAsia"/>
                      <w:color w:val="auto"/>
                      <w:sz w:val="20"/>
                      <w:szCs w:val="20"/>
                      <w:lang w:val="en-US" w:eastAsia="zh-CN"/>
                    </w:rPr>
                    <w:t>锅炉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rFonts w:hint="eastAsia"/>
                      <w:color w:val="auto"/>
                      <w:sz w:val="20"/>
                      <w:szCs w:val="20"/>
                      <w:lang w:val="en-US"/>
                    </w:rPr>
                  </w:pPr>
                </w:p>
              </w:tc>
              <w:tc>
                <w:tcPr>
                  <w:tcW w:w="783"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喷淋废水</w:t>
                  </w:r>
                </w:p>
              </w:tc>
              <w:tc>
                <w:tcPr>
                  <w:tcW w:w="689"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rPr>
                    <w:t>W</w:t>
                  </w:r>
                  <w:r>
                    <w:rPr>
                      <w:rFonts w:hint="eastAsia"/>
                      <w:color w:val="auto"/>
                      <w:sz w:val="20"/>
                      <w:szCs w:val="20"/>
                      <w:lang w:val="en-US" w:eastAsia="zh-CN"/>
                    </w:rPr>
                    <w:t>2</w:t>
                  </w:r>
                </w:p>
              </w:tc>
              <w:tc>
                <w:tcPr>
                  <w:tcW w:w="1557" w:type="pct"/>
                  <w:shd w:val="clear" w:color="auto" w:fill="auto"/>
                  <w:vAlign w:val="center"/>
                </w:tcPr>
                <w:p>
                  <w:pPr>
                    <w:pStyle w:val="180"/>
                    <w:rPr>
                      <w:rFonts w:hint="default" w:eastAsia="宋体"/>
                      <w:color w:val="auto"/>
                      <w:sz w:val="20"/>
                      <w:szCs w:val="20"/>
                      <w:lang w:val="en-US" w:eastAsia="zh-CN"/>
                    </w:rPr>
                  </w:pPr>
                  <w:r>
                    <w:rPr>
                      <w:rFonts w:hint="eastAsia"/>
                      <w:color w:val="auto"/>
                      <w:sz w:val="20"/>
                      <w:szCs w:val="20"/>
                      <w:lang w:val="en-US"/>
                    </w:rPr>
                    <w:t>COD、SS</w:t>
                  </w:r>
                </w:p>
              </w:tc>
              <w:tc>
                <w:tcPr>
                  <w:tcW w:w="1524" w:type="pct"/>
                  <w:vMerge w:val="restar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sz w:val="20"/>
                      <w:szCs w:val="20"/>
                      <w:lang w:val="en-US" w:eastAsia="zh-CN"/>
                    </w:rPr>
                    <w:t>依托华胜污水处理站</w:t>
                  </w:r>
                  <w:r>
                    <w:rPr>
                      <w:rFonts w:hint="eastAsia"/>
                      <w:sz w:val="20"/>
                      <w:szCs w:val="20"/>
                    </w:rPr>
                    <w:t>处理后接管至</w:t>
                  </w:r>
                  <w:r>
                    <w:rPr>
                      <w:rFonts w:hint="eastAsia"/>
                      <w:color w:val="auto"/>
                      <w:sz w:val="20"/>
                      <w:szCs w:val="20"/>
                    </w:rPr>
                    <w:t>九华镇污水处理厂处理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rFonts w:hint="eastAsia"/>
                      <w:color w:val="auto"/>
                      <w:sz w:val="20"/>
                      <w:szCs w:val="20"/>
                      <w:lang w:val="en-US"/>
                    </w:rPr>
                  </w:pPr>
                </w:p>
              </w:tc>
              <w:tc>
                <w:tcPr>
                  <w:tcW w:w="783"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水幕除尘废水</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W3</w:t>
                  </w:r>
                </w:p>
              </w:tc>
              <w:tc>
                <w:tcPr>
                  <w:tcW w:w="1557"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rPr>
                    <w:t>COD、SS</w:t>
                  </w:r>
                </w:p>
              </w:tc>
              <w:tc>
                <w:tcPr>
                  <w:tcW w:w="1524" w:type="pct"/>
                  <w:vMerge w:val="continue"/>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widowControl/>
                    <w:jc w:val="center"/>
                    <w:rPr>
                      <w:rFonts w:hint="eastAsia" w:ascii="Times New Roman" w:hAnsi="Times New Roman" w:eastAsia="宋体" w:cs="Times New Roman"/>
                      <w:kern w:val="2"/>
                      <w:sz w:val="20"/>
                      <w:szCs w:val="20"/>
                      <w:lang w:val="en-US" w:eastAsia="zh-CN" w:bidi="ar-SA"/>
                    </w:rPr>
                  </w:pPr>
                  <w:r>
                    <w:rPr>
                      <w:rFonts w:hint="eastAsia"/>
                      <w:sz w:val="20"/>
                      <w:szCs w:val="20"/>
                    </w:rPr>
                    <w:t>员工生活</w:t>
                  </w:r>
                </w:p>
              </w:tc>
              <w:tc>
                <w:tcPr>
                  <w:tcW w:w="689" w:type="pct"/>
                  <w:shd w:val="clear" w:color="auto" w:fill="auto"/>
                  <w:vAlign w:val="center"/>
                </w:tcPr>
                <w:p>
                  <w:pPr>
                    <w:widowControl/>
                    <w:jc w:val="center"/>
                    <w:rPr>
                      <w:rFonts w:hint="default" w:ascii="Times New Roman" w:hAnsi="Times New Roman" w:eastAsia="宋体" w:cs="Times New Roman"/>
                      <w:kern w:val="2"/>
                      <w:sz w:val="20"/>
                      <w:szCs w:val="20"/>
                      <w:lang w:val="en-US" w:eastAsia="zh-CN" w:bidi="ar-SA"/>
                    </w:rPr>
                  </w:pPr>
                  <w:r>
                    <w:rPr>
                      <w:rFonts w:hint="eastAsia" w:cs="Times New Roman"/>
                      <w:kern w:val="2"/>
                      <w:sz w:val="20"/>
                      <w:szCs w:val="20"/>
                      <w:lang w:val="en-US" w:eastAsia="zh-CN" w:bidi="ar-SA"/>
                    </w:rPr>
                    <w:t>W4</w:t>
                  </w:r>
                </w:p>
              </w:tc>
              <w:tc>
                <w:tcPr>
                  <w:tcW w:w="1557" w:type="pct"/>
                  <w:vAlign w:val="center"/>
                </w:tcPr>
                <w:p>
                  <w:pPr>
                    <w:pStyle w:val="180"/>
                    <w:rPr>
                      <w:rFonts w:hint="eastAsia"/>
                      <w:color w:val="auto"/>
                      <w:sz w:val="20"/>
                      <w:szCs w:val="20"/>
                      <w:lang w:val="en-US"/>
                    </w:rPr>
                  </w:pPr>
                  <w:r>
                    <w:rPr>
                      <w:rFonts w:hint="eastAsia"/>
                      <w:sz w:val="20"/>
                      <w:szCs w:val="20"/>
                    </w:rPr>
                    <w:t>COD、SS、NH</w:t>
                  </w:r>
                  <w:r>
                    <w:rPr>
                      <w:rFonts w:hint="eastAsia"/>
                      <w:sz w:val="20"/>
                      <w:szCs w:val="20"/>
                      <w:vertAlign w:val="subscript"/>
                    </w:rPr>
                    <w:t>3</w:t>
                  </w:r>
                  <w:r>
                    <w:rPr>
                      <w:rFonts w:hint="eastAsia"/>
                      <w:sz w:val="20"/>
                      <w:szCs w:val="20"/>
                    </w:rPr>
                    <w:t>-N、TN、TP</w:t>
                  </w:r>
                </w:p>
              </w:tc>
              <w:tc>
                <w:tcPr>
                  <w:tcW w:w="1524" w:type="pct"/>
                  <w:vAlign w:val="center"/>
                </w:tcPr>
                <w:p>
                  <w:pPr>
                    <w:pStyle w:val="180"/>
                    <w:rPr>
                      <w:color w:val="auto"/>
                      <w:sz w:val="20"/>
                      <w:szCs w:val="20"/>
                      <w:lang w:val="en-US"/>
                    </w:rPr>
                  </w:pPr>
                  <w:r>
                    <w:rPr>
                      <w:rFonts w:hint="eastAsia"/>
                      <w:sz w:val="20"/>
                      <w:szCs w:val="20"/>
                      <w:lang w:val="en-US" w:eastAsia="zh-CN"/>
                    </w:rPr>
                    <w:t>依托华胜</w:t>
                  </w:r>
                  <w:r>
                    <w:rPr>
                      <w:rFonts w:hint="eastAsia"/>
                      <w:sz w:val="20"/>
                      <w:szCs w:val="20"/>
                    </w:rPr>
                    <w:t>化粪池处理后接管至</w:t>
                  </w:r>
                  <w:r>
                    <w:rPr>
                      <w:rFonts w:hint="eastAsia"/>
                      <w:color w:val="auto"/>
                      <w:sz w:val="20"/>
                      <w:szCs w:val="20"/>
                    </w:rPr>
                    <w:t>九华镇污水处理厂处理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eastAsia="宋体"/>
                      <w:color w:val="auto"/>
                      <w:sz w:val="20"/>
                      <w:szCs w:val="20"/>
                      <w:lang w:val="en-US" w:eastAsia="zh-CN"/>
                    </w:rPr>
                  </w:pPr>
                  <w:r>
                    <w:rPr>
                      <w:rFonts w:hint="eastAsia"/>
                      <w:color w:val="auto"/>
                      <w:sz w:val="20"/>
                      <w:szCs w:val="20"/>
                      <w:lang w:val="en-US"/>
                    </w:rPr>
                    <w:t>纯水制备</w:t>
                  </w:r>
                  <w:r>
                    <w:rPr>
                      <w:rFonts w:hint="eastAsia"/>
                      <w:color w:val="auto"/>
                      <w:sz w:val="20"/>
                      <w:szCs w:val="20"/>
                      <w:lang w:val="en-US" w:eastAsia="zh-CN"/>
                    </w:rPr>
                    <w:t>浓水</w:t>
                  </w:r>
                </w:p>
              </w:tc>
              <w:tc>
                <w:tcPr>
                  <w:tcW w:w="689"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W5</w:t>
                  </w:r>
                </w:p>
              </w:tc>
              <w:tc>
                <w:tcPr>
                  <w:tcW w:w="1557" w:type="pct"/>
                  <w:vAlign w:val="center"/>
                </w:tcPr>
                <w:p>
                  <w:pPr>
                    <w:pStyle w:val="180"/>
                    <w:rPr>
                      <w:color w:val="auto"/>
                      <w:sz w:val="20"/>
                      <w:szCs w:val="20"/>
                      <w:lang w:val="en-US"/>
                    </w:rPr>
                  </w:pPr>
                  <w:r>
                    <w:rPr>
                      <w:rFonts w:hint="eastAsia"/>
                      <w:color w:val="auto"/>
                      <w:sz w:val="20"/>
                      <w:szCs w:val="20"/>
                      <w:lang w:val="en-US"/>
                    </w:rPr>
                    <w:t>COD、SS</w:t>
                  </w:r>
                </w:p>
              </w:tc>
              <w:tc>
                <w:tcPr>
                  <w:tcW w:w="1524" w:type="pct"/>
                  <w:vAlign w:val="center"/>
                </w:tcPr>
                <w:p>
                  <w:pPr>
                    <w:pStyle w:val="180"/>
                    <w:rPr>
                      <w:color w:val="auto"/>
                      <w:sz w:val="20"/>
                      <w:szCs w:val="20"/>
                      <w:lang w:val="en-US"/>
                    </w:rPr>
                  </w:pPr>
                  <w:r>
                    <w:rPr>
                      <w:color w:val="auto"/>
                      <w:sz w:val="20"/>
                      <w:szCs w:val="20"/>
                      <w:lang w:val="en-US"/>
                    </w:rPr>
                    <w:t>接管至</w:t>
                  </w:r>
                  <w:r>
                    <w:rPr>
                      <w:rFonts w:hint="eastAsia"/>
                      <w:color w:val="auto"/>
                      <w:sz w:val="20"/>
                      <w:szCs w:val="20"/>
                    </w:rPr>
                    <w:t>九华镇污水处理厂处理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Align w:val="center"/>
                </w:tcPr>
                <w:p>
                  <w:pPr>
                    <w:pStyle w:val="180"/>
                    <w:rPr>
                      <w:color w:val="auto"/>
                      <w:sz w:val="20"/>
                      <w:szCs w:val="20"/>
                      <w:lang w:val="en-US"/>
                    </w:rPr>
                  </w:pPr>
                  <w:r>
                    <w:rPr>
                      <w:color w:val="auto"/>
                      <w:sz w:val="20"/>
                      <w:szCs w:val="20"/>
                      <w:lang w:val="en-US"/>
                    </w:rPr>
                    <w:t>噪声</w:t>
                  </w:r>
                </w:p>
              </w:tc>
              <w:tc>
                <w:tcPr>
                  <w:tcW w:w="1473" w:type="pct"/>
                  <w:gridSpan w:val="2"/>
                  <w:vAlign w:val="center"/>
                </w:tcPr>
                <w:p>
                  <w:pPr>
                    <w:pStyle w:val="180"/>
                    <w:rPr>
                      <w:color w:val="auto"/>
                      <w:sz w:val="20"/>
                      <w:szCs w:val="20"/>
                      <w:lang w:val="en-US"/>
                    </w:rPr>
                  </w:pPr>
                  <w:r>
                    <w:rPr>
                      <w:color w:val="auto"/>
                      <w:sz w:val="20"/>
                      <w:szCs w:val="20"/>
                      <w:lang w:val="en-US"/>
                    </w:rPr>
                    <w:t>各类机械设备运转</w:t>
                  </w:r>
                </w:p>
              </w:tc>
              <w:tc>
                <w:tcPr>
                  <w:tcW w:w="1557" w:type="pct"/>
                  <w:vAlign w:val="center"/>
                </w:tcPr>
                <w:p>
                  <w:pPr>
                    <w:pStyle w:val="180"/>
                    <w:rPr>
                      <w:color w:val="auto"/>
                      <w:sz w:val="20"/>
                      <w:szCs w:val="20"/>
                      <w:lang w:val="en-US"/>
                    </w:rPr>
                  </w:pPr>
                  <w:r>
                    <w:rPr>
                      <w:color w:val="auto"/>
                      <w:sz w:val="20"/>
                      <w:szCs w:val="20"/>
                      <w:lang w:val="en-US"/>
                    </w:rPr>
                    <w:t>噪声</w:t>
                  </w:r>
                </w:p>
              </w:tc>
              <w:tc>
                <w:tcPr>
                  <w:tcW w:w="1524" w:type="pct"/>
                  <w:vAlign w:val="center"/>
                </w:tcPr>
                <w:p>
                  <w:pPr>
                    <w:pStyle w:val="180"/>
                    <w:rPr>
                      <w:color w:val="auto"/>
                      <w:sz w:val="20"/>
                      <w:szCs w:val="20"/>
                      <w:lang w:val="en-US"/>
                    </w:rPr>
                  </w:pPr>
                  <w:r>
                    <w:rPr>
                      <w:color w:val="auto"/>
                      <w:sz w:val="20"/>
                      <w:szCs w:val="20"/>
                      <w:lang w:val="en-US"/>
                    </w:rPr>
                    <w:t>合理布局、隔声、减震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restart"/>
                  <w:vAlign w:val="center"/>
                </w:tcPr>
                <w:p>
                  <w:pPr>
                    <w:pStyle w:val="180"/>
                    <w:rPr>
                      <w:color w:val="auto"/>
                      <w:sz w:val="20"/>
                      <w:szCs w:val="20"/>
                      <w:lang w:val="en-US"/>
                    </w:rPr>
                  </w:pPr>
                  <w:r>
                    <w:rPr>
                      <w:color w:val="auto"/>
                      <w:sz w:val="20"/>
                      <w:szCs w:val="20"/>
                      <w:lang w:val="en-US"/>
                    </w:rPr>
                    <w:t>固废</w:t>
                  </w:r>
                </w:p>
              </w:tc>
              <w:tc>
                <w:tcPr>
                  <w:tcW w:w="783" w:type="pct"/>
                  <w:vAlign w:val="center"/>
                </w:tcPr>
                <w:p>
                  <w:pPr>
                    <w:pStyle w:val="180"/>
                    <w:rPr>
                      <w:color w:val="auto"/>
                      <w:sz w:val="20"/>
                      <w:szCs w:val="20"/>
                      <w:lang w:val="en-US"/>
                    </w:rPr>
                  </w:pPr>
                  <w:r>
                    <w:rPr>
                      <w:rFonts w:hint="eastAsia"/>
                      <w:color w:val="auto"/>
                      <w:sz w:val="20"/>
                      <w:szCs w:val="20"/>
                      <w:lang w:val="en-US"/>
                    </w:rPr>
                    <w:t>S1</w:t>
                  </w:r>
                </w:p>
              </w:tc>
              <w:tc>
                <w:tcPr>
                  <w:tcW w:w="689"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翻缝</w:t>
                  </w:r>
                </w:p>
              </w:tc>
              <w:tc>
                <w:tcPr>
                  <w:tcW w:w="1557" w:type="pct"/>
                  <w:vAlign w:val="center"/>
                </w:tcPr>
                <w:p>
                  <w:pPr>
                    <w:pStyle w:val="180"/>
                    <w:rPr>
                      <w:rFonts w:hint="eastAsia" w:eastAsia="宋体"/>
                      <w:color w:val="auto"/>
                      <w:sz w:val="20"/>
                      <w:szCs w:val="20"/>
                      <w:lang w:val="en-US" w:eastAsia="zh-CN"/>
                    </w:rPr>
                  </w:pPr>
                  <w:r>
                    <w:rPr>
                      <w:rFonts w:hint="eastAsia"/>
                      <w:color w:val="auto"/>
                      <w:sz w:val="20"/>
                      <w:szCs w:val="20"/>
                      <w:lang w:val="en-US"/>
                    </w:rPr>
                    <w:t>废</w:t>
                  </w:r>
                  <w:r>
                    <w:rPr>
                      <w:rFonts w:hint="eastAsia"/>
                      <w:color w:val="auto"/>
                      <w:sz w:val="20"/>
                      <w:szCs w:val="20"/>
                      <w:lang w:val="en-US" w:eastAsia="zh-CN"/>
                    </w:rPr>
                    <w:t>布料</w:t>
                  </w:r>
                </w:p>
              </w:tc>
              <w:tc>
                <w:tcPr>
                  <w:tcW w:w="1524" w:type="pct"/>
                  <w:vAlign w:val="center"/>
                </w:tcPr>
                <w:p>
                  <w:pPr>
                    <w:pStyle w:val="180"/>
                    <w:rPr>
                      <w:rFonts w:hint="eastAsia" w:eastAsia="宋体"/>
                      <w:color w:val="auto"/>
                      <w:sz w:val="20"/>
                      <w:szCs w:val="20"/>
                      <w:lang w:val="en-US" w:eastAsia="zh-CN"/>
                    </w:rPr>
                  </w:pPr>
                  <w:r>
                    <w:rPr>
                      <w:rFonts w:hint="eastAsia"/>
                      <w:color w:val="auto"/>
                      <w:sz w:val="20"/>
                      <w:szCs w:val="20"/>
                      <w:lang w:val="en-US" w:eastAsia="zh-CN"/>
                    </w:rPr>
                    <w:t>委托处置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color w:val="auto"/>
                      <w:sz w:val="20"/>
                      <w:szCs w:val="20"/>
                      <w:lang w:val="en-US"/>
                    </w:rPr>
                  </w:pPr>
                  <w:r>
                    <w:rPr>
                      <w:rFonts w:hint="eastAsia"/>
                      <w:color w:val="auto"/>
                      <w:sz w:val="20"/>
                      <w:szCs w:val="20"/>
                      <w:lang w:val="en-US"/>
                    </w:rPr>
                    <w:t>S2</w:t>
                  </w:r>
                </w:p>
              </w:tc>
              <w:tc>
                <w:tcPr>
                  <w:tcW w:w="689" w:type="pct"/>
                  <w:vAlign w:val="center"/>
                </w:tcPr>
                <w:p>
                  <w:pPr>
                    <w:pStyle w:val="180"/>
                    <w:rPr>
                      <w:color w:val="auto"/>
                      <w:sz w:val="20"/>
                      <w:szCs w:val="20"/>
                      <w:lang w:val="en-US"/>
                    </w:rPr>
                  </w:pPr>
                  <w:r>
                    <w:rPr>
                      <w:rFonts w:hint="eastAsia"/>
                      <w:sz w:val="20"/>
                      <w:szCs w:val="20"/>
                      <w:lang w:bidi="ar"/>
                    </w:rPr>
                    <w:t>定型</w:t>
                  </w:r>
                </w:p>
              </w:tc>
              <w:tc>
                <w:tcPr>
                  <w:tcW w:w="1557" w:type="pct"/>
                  <w:vAlign w:val="center"/>
                </w:tcPr>
                <w:p>
                  <w:pPr>
                    <w:pStyle w:val="180"/>
                    <w:rPr>
                      <w:rFonts w:hint="eastAsia" w:eastAsia="宋体"/>
                      <w:color w:val="auto"/>
                      <w:sz w:val="20"/>
                      <w:szCs w:val="20"/>
                      <w:lang w:val="en-US" w:eastAsia="zh-CN"/>
                    </w:rPr>
                  </w:pPr>
                  <w:r>
                    <w:rPr>
                      <w:rFonts w:hint="eastAsia"/>
                      <w:sz w:val="20"/>
                      <w:szCs w:val="20"/>
                      <w:lang w:bidi="ar"/>
                    </w:rPr>
                    <w:t>废导热油</w:t>
                  </w:r>
                </w:p>
              </w:tc>
              <w:tc>
                <w:tcPr>
                  <w:tcW w:w="1524" w:type="pct"/>
                  <w:vAlign w:val="center"/>
                </w:tcPr>
                <w:p>
                  <w:pPr>
                    <w:pStyle w:val="180"/>
                    <w:rPr>
                      <w:color w:val="auto"/>
                      <w:sz w:val="20"/>
                      <w:szCs w:val="20"/>
                      <w:lang w:val="en-US"/>
                    </w:rPr>
                  </w:pPr>
                  <w:r>
                    <w:rPr>
                      <w:color w:val="auto"/>
                      <w:sz w:val="20"/>
                      <w:szCs w:val="20"/>
                      <w:lang w:val="en-US"/>
                    </w:rPr>
                    <w:t>妥善收集后委托资质单位处置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S3</w:t>
                  </w:r>
                </w:p>
              </w:tc>
              <w:tc>
                <w:tcPr>
                  <w:tcW w:w="689" w:type="pct"/>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color w:val="auto"/>
                      <w:sz w:val="20"/>
                      <w:szCs w:val="20"/>
                      <w:lang w:val="en-US" w:eastAsia="zh-CN"/>
                    </w:rPr>
                    <w:t>检验</w:t>
                  </w:r>
                </w:p>
              </w:tc>
              <w:tc>
                <w:tcPr>
                  <w:tcW w:w="1557" w:type="pct"/>
                  <w:shd w:val="clear" w:color="auto" w:fill="auto"/>
                  <w:vAlign w:val="center"/>
                </w:tcPr>
                <w:p>
                  <w:pPr>
                    <w:jc w:val="center"/>
                    <w:rPr>
                      <w:rFonts w:ascii="Times New Roman" w:hAnsi="Times New Roman" w:eastAsia="宋体" w:cs="Times New Roman"/>
                      <w:kern w:val="2"/>
                      <w:sz w:val="20"/>
                      <w:szCs w:val="20"/>
                      <w:lang w:val="en-US" w:eastAsia="zh-CN" w:bidi="ar-SA"/>
                    </w:rPr>
                  </w:pPr>
                  <w:r>
                    <w:rPr>
                      <w:rFonts w:hint="eastAsia"/>
                      <w:color w:val="auto"/>
                      <w:sz w:val="20"/>
                      <w:szCs w:val="20"/>
                      <w:lang w:val="en-US" w:eastAsia="zh-CN"/>
                    </w:rPr>
                    <w:t>不合格品</w:t>
                  </w:r>
                </w:p>
              </w:tc>
              <w:tc>
                <w:tcPr>
                  <w:tcW w:w="1524" w:type="pct"/>
                  <w:vMerge w:val="restart"/>
                  <w:vAlign w:val="center"/>
                </w:tcPr>
                <w:p>
                  <w:pPr>
                    <w:pStyle w:val="180"/>
                    <w:rPr>
                      <w:color w:val="auto"/>
                      <w:sz w:val="20"/>
                      <w:szCs w:val="20"/>
                      <w:lang w:val="en-US"/>
                    </w:rPr>
                  </w:pPr>
                  <w:r>
                    <w:rPr>
                      <w:rFonts w:hint="eastAsia"/>
                      <w:color w:val="auto"/>
                      <w:sz w:val="20"/>
                      <w:szCs w:val="20"/>
                      <w:lang w:val="en-US" w:eastAsia="zh-CN"/>
                    </w:rPr>
                    <w:t>委托处置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color w:val="auto"/>
                      <w:sz w:val="20"/>
                      <w:szCs w:val="20"/>
                      <w:lang w:val="en-US" w:eastAsia="zh-CN"/>
                    </w:rPr>
                  </w:pPr>
                  <w:r>
                    <w:rPr>
                      <w:rFonts w:hint="eastAsia"/>
                      <w:color w:val="auto"/>
                      <w:sz w:val="20"/>
                      <w:szCs w:val="20"/>
                      <w:lang w:val="en-US" w:eastAsia="zh-CN"/>
                    </w:rPr>
                    <w:t>S4</w:t>
                  </w:r>
                </w:p>
              </w:tc>
              <w:tc>
                <w:tcPr>
                  <w:tcW w:w="689" w:type="pct"/>
                  <w:shd w:val="clear" w:color="auto" w:fill="auto"/>
                  <w:vAlign w:val="center"/>
                </w:tcPr>
                <w:p>
                  <w:pPr>
                    <w:jc w:val="center"/>
                    <w:rPr>
                      <w:rFonts w:hint="eastAsia" w:eastAsia="宋体"/>
                      <w:sz w:val="20"/>
                      <w:szCs w:val="20"/>
                      <w:lang w:val="en-US" w:eastAsia="zh-CN" w:bidi="ar"/>
                    </w:rPr>
                  </w:pPr>
                  <w:r>
                    <w:rPr>
                      <w:rFonts w:hint="eastAsia"/>
                      <w:sz w:val="20"/>
                      <w:szCs w:val="20"/>
                      <w:lang w:val="en-US" w:eastAsia="zh-CN" w:bidi="ar"/>
                    </w:rPr>
                    <w:t>预缩</w:t>
                  </w:r>
                </w:p>
              </w:tc>
              <w:tc>
                <w:tcPr>
                  <w:tcW w:w="1557" w:type="pct"/>
                  <w:shd w:val="clear" w:color="auto" w:fill="auto"/>
                  <w:vAlign w:val="center"/>
                </w:tcPr>
                <w:p>
                  <w:pPr>
                    <w:jc w:val="center"/>
                    <w:rPr>
                      <w:rFonts w:hint="eastAsia" w:eastAsia="宋体"/>
                      <w:sz w:val="20"/>
                      <w:szCs w:val="20"/>
                      <w:lang w:val="en-US" w:eastAsia="zh-CN" w:bidi="ar"/>
                    </w:rPr>
                  </w:pPr>
                  <w:r>
                    <w:rPr>
                      <w:rFonts w:hint="eastAsia"/>
                      <w:sz w:val="20"/>
                      <w:szCs w:val="20"/>
                      <w:lang w:val="en-US" w:eastAsia="zh-CN" w:bidi="ar"/>
                    </w:rPr>
                    <w:t>废滤网</w:t>
                  </w:r>
                </w:p>
              </w:tc>
              <w:tc>
                <w:tcPr>
                  <w:tcW w:w="1524" w:type="pct"/>
                  <w:vMerge w:val="continue"/>
                  <w:vAlign w:val="center"/>
                </w:tcPr>
                <w:p>
                  <w:pPr>
                    <w:pStyle w:val="180"/>
                    <w:rPr>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S5</w:t>
                  </w:r>
                </w:p>
              </w:tc>
              <w:tc>
                <w:tcPr>
                  <w:tcW w:w="689"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rPr>
                    <w:t>纯水制备</w:t>
                  </w:r>
                </w:p>
              </w:tc>
              <w:tc>
                <w:tcPr>
                  <w:tcW w:w="1557"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rPr>
                    <w:t>废离子交换树脂、废RO膜</w:t>
                  </w:r>
                </w:p>
              </w:tc>
              <w:tc>
                <w:tcPr>
                  <w:tcW w:w="1524" w:type="pct"/>
                  <w:vMerge w:val="continue"/>
                  <w:shd w:val="clear" w:color="auto" w:fill="auto"/>
                  <w:vAlign w:val="center"/>
                </w:tcPr>
                <w:p>
                  <w:pPr>
                    <w:pStyle w:val="180"/>
                    <w:rPr>
                      <w:rFonts w:ascii="Times New Roman" w:hAnsi="Times New Roman" w:eastAsia="宋体" w:cs="Times New Roman"/>
                      <w:color w:val="auto"/>
                      <w:kern w:val="0"/>
                      <w:sz w:val="20"/>
                      <w:szCs w:val="20"/>
                      <w:lang w:val="en-US" w:eastAsia="zh-CN" w:bidi="ar-SA"/>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S6</w:t>
                  </w:r>
                </w:p>
              </w:tc>
              <w:tc>
                <w:tcPr>
                  <w:tcW w:w="689" w:type="pct"/>
                  <w:shd w:val="clear" w:color="auto" w:fill="auto"/>
                  <w:vAlign w:val="center"/>
                </w:tcPr>
                <w:p>
                  <w:pPr>
                    <w:jc w:val="center"/>
                    <w:rPr>
                      <w:rFonts w:ascii="Times New Roman" w:hAnsi="Times New Roman" w:eastAsia="宋体" w:cs="Times New Roman"/>
                      <w:kern w:val="2"/>
                      <w:sz w:val="20"/>
                      <w:szCs w:val="20"/>
                      <w:lang w:val="en-US" w:eastAsia="zh-CN" w:bidi="ar-SA"/>
                    </w:rPr>
                  </w:pPr>
                  <w:r>
                    <w:rPr>
                      <w:rFonts w:hint="eastAsia"/>
                      <w:sz w:val="20"/>
                      <w:szCs w:val="20"/>
                      <w:lang w:bidi="ar"/>
                    </w:rPr>
                    <w:t>锅炉维护</w:t>
                  </w:r>
                </w:p>
              </w:tc>
              <w:tc>
                <w:tcPr>
                  <w:tcW w:w="1557" w:type="pct"/>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bidi="ar"/>
                    </w:rPr>
                    <w:t>废炉渣</w:t>
                  </w:r>
                </w:p>
              </w:tc>
              <w:tc>
                <w:tcPr>
                  <w:tcW w:w="1524" w:type="pct"/>
                  <w:vMerge w:val="restart"/>
                  <w:vAlign w:val="center"/>
                </w:tcPr>
                <w:p>
                  <w:pPr>
                    <w:pStyle w:val="180"/>
                    <w:rPr>
                      <w:color w:val="auto"/>
                      <w:sz w:val="20"/>
                      <w:szCs w:val="20"/>
                      <w:lang w:val="en-US"/>
                    </w:rPr>
                  </w:pPr>
                  <w:r>
                    <w:rPr>
                      <w:color w:val="auto"/>
                      <w:sz w:val="20"/>
                      <w:szCs w:val="20"/>
                      <w:lang w:val="en-US"/>
                    </w:rPr>
                    <w:t>妥善收集后委托资质单位处置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S7</w:t>
                  </w:r>
                </w:p>
              </w:tc>
              <w:tc>
                <w:tcPr>
                  <w:tcW w:w="689" w:type="pct"/>
                  <w:shd w:val="clear" w:color="auto" w:fill="auto"/>
                  <w:vAlign w:val="center"/>
                </w:tcPr>
                <w:p>
                  <w:pPr>
                    <w:jc w:val="center"/>
                    <w:rPr>
                      <w:rFonts w:ascii="Times New Roman" w:hAnsi="Times New Roman" w:eastAsia="宋体" w:cs="Times New Roman"/>
                      <w:kern w:val="2"/>
                      <w:sz w:val="20"/>
                      <w:szCs w:val="20"/>
                      <w:lang w:val="en-US" w:eastAsia="zh-CN" w:bidi="ar-SA"/>
                    </w:rPr>
                  </w:pPr>
                  <w:r>
                    <w:rPr>
                      <w:rFonts w:hint="eastAsia"/>
                      <w:sz w:val="20"/>
                      <w:szCs w:val="20"/>
                      <w:lang w:bidi="ar"/>
                    </w:rPr>
                    <w:t>劳保</w:t>
                  </w:r>
                </w:p>
              </w:tc>
              <w:tc>
                <w:tcPr>
                  <w:tcW w:w="1557" w:type="pct"/>
                  <w:shd w:val="clear" w:color="auto" w:fill="auto"/>
                  <w:vAlign w:val="center"/>
                </w:tcPr>
                <w:p>
                  <w:pPr>
                    <w:jc w:val="center"/>
                    <w:rPr>
                      <w:rFonts w:ascii="Times New Roman" w:hAnsi="Times New Roman" w:eastAsia="宋体" w:cs="Times New Roman"/>
                      <w:kern w:val="2"/>
                      <w:sz w:val="20"/>
                      <w:szCs w:val="20"/>
                      <w:lang w:val="en-US" w:eastAsia="zh-CN" w:bidi="ar-SA"/>
                    </w:rPr>
                  </w:pPr>
                  <w:r>
                    <w:rPr>
                      <w:rFonts w:hint="eastAsia"/>
                      <w:sz w:val="20"/>
                      <w:szCs w:val="20"/>
                      <w:lang w:bidi="ar"/>
                    </w:rPr>
                    <w:t>含油抹布手套</w:t>
                  </w:r>
                </w:p>
              </w:tc>
              <w:tc>
                <w:tcPr>
                  <w:tcW w:w="1524" w:type="pct"/>
                  <w:vMerge w:val="continue"/>
                  <w:vAlign w:val="center"/>
                </w:tcPr>
                <w:p>
                  <w:pPr>
                    <w:pStyle w:val="180"/>
                    <w:rPr>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S8</w:t>
                  </w:r>
                </w:p>
              </w:tc>
              <w:tc>
                <w:tcPr>
                  <w:tcW w:w="689" w:type="pct"/>
                  <w:vAlign w:val="center"/>
                </w:tcPr>
                <w:p>
                  <w:pPr>
                    <w:pStyle w:val="180"/>
                    <w:rPr>
                      <w:rFonts w:hint="eastAsia" w:eastAsia="宋体"/>
                      <w:color w:val="auto"/>
                      <w:sz w:val="20"/>
                      <w:szCs w:val="20"/>
                      <w:lang w:val="en-US" w:eastAsia="zh-CN"/>
                    </w:rPr>
                  </w:pPr>
                  <w:r>
                    <w:rPr>
                      <w:rFonts w:hint="eastAsia"/>
                      <w:color w:val="auto"/>
                      <w:sz w:val="20"/>
                      <w:szCs w:val="20"/>
                      <w:lang w:val="en-US" w:eastAsia="zh-CN"/>
                    </w:rPr>
                    <w:t>设备维护</w:t>
                  </w:r>
                </w:p>
              </w:tc>
              <w:tc>
                <w:tcPr>
                  <w:tcW w:w="1557" w:type="pct"/>
                  <w:vAlign w:val="center"/>
                </w:tcPr>
                <w:p>
                  <w:pPr>
                    <w:pStyle w:val="180"/>
                    <w:rPr>
                      <w:color w:val="auto"/>
                      <w:sz w:val="20"/>
                      <w:szCs w:val="20"/>
                      <w:lang w:val="en-US"/>
                    </w:rPr>
                  </w:pPr>
                  <w:r>
                    <w:rPr>
                      <w:rFonts w:hint="eastAsia"/>
                      <w:color w:val="auto"/>
                      <w:sz w:val="20"/>
                      <w:szCs w:val="20"/>
                      <w:lang w:val="en-US" w:eastAsia="zh-CN"/>
                    </w:rPr>
                    <w:t>废机油</w:t>
                  </w:r>
                </w:p>
              </w:tc>
              <w:tc>
                <w:tcPr>
                  <w:tcW w:w="1524" w:type="pct"/>
                  <w:vMerge w:val="continue"/>
                  <w:vAlign w:val="center"/>
                </w:tcPr>
                <w:p>
                  <w:pPr>
                    <w:pStyle w:val="180"/>
                    <w:rPr>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S9</w:t>
                  </w:r>
                </w:p>
              </w:tc>
              <w:tc>
                <w:tcPr>
                  <w:tcW w:w="689" w:type="pct"/>
                  <w:shd w:val="clear" w:color="auto" w:fill="auto"/>
                  <w:vAlign w:val="center"/>
                </w:tcPr>
                <w:p>
                  <w:pPr>
                    <w:pStyle w:val="180"/>
                    <w:rPr>
                      <w:rFonts w:ascii="Times New Roman" w:hAnsi="Times New Roman" w:eastAsia="宋体" w:cs="Times New Roman"/>
                      <w:color w:val="auto"/>
                      <w:kern w:val="0"/>
                      <w:sz w:val="20"/>
                      <w:szCs w:val="20"/>
                      <w:lang w:val="en-US" w:eastAsia="zh-CN" w:bidi="ar-SA"/>
                    </w:rPr>
                  </w:pPr>
                  <w:r>
                    <w:rPr>
                      <w:rFonts w:hint="eastAsia"/>
                      <w:color w:val="auto"/>
                      <w:sz w:val="20"/>
                      <w:szCs w:val="20"/>
                      <w:lang w:val="en-US"/>
                    </w:rPr>
                    <w:t>废气处理</w:t>
                  </w:r>
                </w:p>
              </w:tc>
              <w:tc>
                <w:tcPr>
                  <w:tcW w:w="1557"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ascii="宋体" w:hAnsi="宋体" w:eastAsia="宋体" w:cs="宋体"/>
                      <w:spacing w:val="-7"/>
                      <w:sz w:val="20"/>
                      <w:szCs w:val="20"/>
                    </w:rPr>
                    <w:t>磨</w:t>
                  </w:r>
                  <w:r>
                    <w:rPr>
                      <w:rFonts w:ascii="宋体" w:hAnsi="宋体" w:eastAsia="宋体" w:cs="宋体"/>
                      <w:spacing w:val="-6"/>
                      <w:sz w:val="20"/>
                      <w:szCs w:val="20"/>
                    </w:rPr>
                    <w:t>毛、纱线粉尘</w:t>
                  </w:r>
                </w:p>
              </w:tc>
              <w:tc>
                <w:tcPr>
                  <w:tcW w:w="1524" w:type="pct"/>
                  <w:vAlign w:val="center"/>
                </w:tcPr>
                <w:p>
                  <w:pPr>
                    <w:pStyle w:val="180"/>
                    <w:rPr>
                      <w:color w:val="auto"/>
                      <w:sz w:val="20"/>
                      <w:szCs w:val="20"/>
                      <w:lang w:val="en-US"/>
                    </w:rPr>
                  </w:pPr>
                  <w:r>
                    <w:rPr>
                      <w:rFonts w:hint="eastAsia"/>
                      <w:color w:val="auto"/>
                      <w:sz w:val="20"/>
                      <w:szCs w:val="20"/>
                      <w:lang w:val="en-US" w:eastAsia="zh-CN"/>
                    </w:rPr>
                    <w:t>委托处置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S10</w:t>
                  </w:r>
                </w:p>
              </w:tc>
              <w:tc>
                <w:tcPr>
                  <w:tcW w:w="689" w:type="pct"/>
                  <w:shd w:val="clear" w:color="auto" w:fill="auto"/>
                  <w:vAlign w:val="center"/>
                </w:tcPr>
                <w:p>
                  <w:pPr>
                    <w:pStyle w:val="180"/>
                    <w:rPr>
                      <w:rFonts w:ascii="Times New Roman" w:hAnsi="Times New Roman" w:eastAsia="宋体" w:cs="Times New Roman"/>
                      <w:color w:val="auto"/>
                      <w:kern w:val="0"/>
                      <w:sz w:val="20"/>
                      <w:szCs w:val="20"/>
                      <w:lang w:val="en-US" w:eastAsia="zh-CN" w:bidi="ar-SA"/>
                    </w:rPr>
                  </w:pPr>
                  <w:r>
                    <w:rPr>
                      <w:rFonts w:hint="eastAsia"/>
                      <w:color w:val="auto"/>
                      <w:sz w:val="20"/>
                      <w:szCs w:val="20"/>
                      <w:lang w:val="en-US"/>
                    </w:rPr>
                    <w:t>废气处理</w:t>
                  </w:r>
                </w:p>
              </w:tc>
              <w:tc>
                <w:tcPr>
                  <w:tcW w:w="1557" w:type="pct"/>
                  <w:vAlign w:val="center"/>
                </w:tcPr>
                <w:p>
                  <w:pPr>
                    <w:pStyle w:val="180"/>
                    <w:rPr>
                      <w:color w:val="auto"/>
                      <w:sz w:val="20"/>
                      <w:szCs w:val="20"/>
                      <w:lang w:val="en-US"/>
                    </w:rPr>
                  </w:pPr>
                  <w:r>
                    <w:rPr>
                      <w:rFonts w:ascii="宋体" w:hAnsi="宋体" w:eastAsia="宋体" w:cs="宋体"/>
                      <w:spacing w:val="8"/>
                      <w:sz w:val="20"/>
                      <w:szCs w:val="20"/>
                    </w:rPr>
                    <w:t>静电装置收集</w:t>
                  </w:r>
                  <w:r>
                    <w:rPr>
                      <w:rFonts w:ascii="宋体" w:hAnsi="宋体" w:eastAsia="宋体" w:cs="宋体"/>
                      <w:spacing w:val="5"/>
                      <w:sz w:val="20"/>
                      <w:szCs w:val="20"/>
                    </w:rPr>
                    <w:t>废油</w:t>
                  </w:r>
                </w:p>
              </w:tc>
              <w:tc>
                <w:tcPr>
                  <w:tcW w:w="1524" w:type="pct"/>
                  <w:vMerge w:val="restart"/>
                  <w:vAlign w:val="center"/>
                </w:tcPr>
                <w:p>
                  <w:pPr>
                    <w:pStyle w:val="180"/>
                    <w:rPr>
                      <w:color w:val="auto"/>
                      <w:sz w:val="20"/>
                      <w:szCs w:val="20"/>
                      <w:lang w:val="en-US"/>
                    </w:rPr>
                  </w:pPr>
                  <w:r>
                    <w:rPr>
                      <w:color w:val="auto"/>
                      <w:sz w:val="20"/>
                      <w:szCs w:val="20"/>
                      <w:lang w:val="en-US"/>
                    </w:rPr>
                    <w:t>妥善收集后委托资质单位处置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S11</w:t>
                  </w:r>
                </w:p>
              </w:tc>
              <w:tc>
                <w:tcPr>
                  <w:tcW w:w="689" w:type="pct"/>
                  <w:shd w:val="clear" w:color="auto" w:fill="auto"/>
                  <w:vAlign w:val="center"/>
                </w:tcPr>
                <w:p>
                  <w:pPr>
                    <w:pStyle w:val="180"/>
                    <w:rPr>
                      <w:rFonts w:ascii="Times New Roman" w:hAnsi="Times New Roman" w:eastAsia="宋体" w:cs="Times New Roman"/>
                      <w:color w:val="auto"/>
                      <w:kern w:val="0"/>
                      <w:sz w:val="20"/>
                      <w:szCs w:val="20"/>
                      <w:lang w:val="en-US" w:eastAsia="zh-CN" w:bidi="ar-SA"/>
                    </w:rPr>
                  </w:pPr>
                  <w:r>
                    <w:rPr>
                      <w:rFonts w:hint="eastAsia"/>
                      <w:color w:val="auto"/>
                      <w:sz w:val="20"/>
                      <w:szCs w:val="20"/>
                      <w:lang w:val="en-US"/>
                    </w:rPr>
                    <w:t>原料使用</w:t>
                  </w:r>
                </w:p>
              </w:tc>
              <w:tc>
                <w:tcPr>
                  <w:tcW w:w="1557"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rPr>
                    <w:t>废</w:t>
                  </w:r>
                  <w:r>
                    <w:rPr>
                      <w:rFonts w:hint="eastAsia"/>
                      <w:color w:val="auto"/>
                      <w:sz w:val="20"/>
                      <w:szCs w:val="20"/>
                      <w:lang w:val="en-US" w:eastAsia="zh-CN"/>
                    </w:rPr>
                    <w:t>包装桶</w:t>
                  </w:r>
                </w:p>
              </w:tc>
              <w:tc>
                <w:tcPr>
                  <w:tcW w:w="1524" w:type="pct"/>
                  <w:vMerge w:val="continue"/>
                  <w:vAlign w:val="center"/>
                </w:tcPr>
                <w:p>
                  <w:pPr>
                    <w:pStyle w:val="180"/>
                    <w:rPr>
                      <w:color w:val="auto"/>
                      <w:sz w:val="20"/>
                      <w:szCs w:val="20"/>
                      <w:lang w:val="en-US"/>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eastAsia"/>
                      <w:color w:val="auto"/>
                      <w:sz w:val="20"/>
                      <w:szCs w:val="20"/>
                      <w:lang w:val="en-US" w:eastAsia="zh-CN"/>
                    </w:rPr>
                  </w:pPr>
                  <w:r>
                    <w:rPr>
                      <w:rFonts w:hint="eastAsia"/>
                      <w:color w:val="auto"/>
                      <w:sz w:val="20"/>
                      <w:szCs w:val="20"/>
                      <w:lang w:val="en-US" w:eastAsia="zh-CN"/>
                    </w:rPr>
                    <w:t>S12</w:t>
                  </w:r>
                </w:p>
              </w:tc>
              <w:tc>
                <w:tcPr>
                  <w:tcW w:w="689" w:type="pct"/>
                  <w:vAlign w:val="center"/>
                </w:tcPr>
                <w:p>
                  <w:pPr>
                    <w:pStyle w:val="180"/>
                    <w:rPr>
                      <w:rFonts w:hint="eastAsia" w:eastAsia="宋体"/>
                      <w:color w:val="auto"/>
                      <w:sz w:val="20"/>
                      <w:szCs w:val="20"/>
                      <w:lang w:val="en-US" w:eastAsia="zh-CN"/>
                    </w:rPr>
                  </w:pPr>
                  <w:r>
                    <w:rPr>
                      <w:rFonts w:hint="eastAsia"/>
                      <w:color w:val="auto"/>
                      <w:sz w:val="20"/>
                      <w:szCs w:val="20"/>
                      <w:lang w:val="en-US" w:eastAsia="zh-CN"/>
                    </w:rPr>
                    <w:t>原料使用</w:t>
                  </w:r>
                </w:p>
              </w:tc>
              <w:tc>
                <w:tcPr>
                  <w:tcW w:w="1557" w:type="pct"/>
                  <w:vAlign w:val="center"/>
                </w:tcPr>
                <w:p>
                  <w:pPr>
                    <w:pStyle w:val="180"/>
                    <w:rPr>
                      <w:rFonts w:hint="eastAsia" w:eastAsia="宋体"/>
                      <w:color w:val="auto"/>
                      <w:sz w:val="20"/>
                      <w:szCs w:val="20"/>
                      <w:lang w:val="en-US" w:eastAsia="zh-CN"/>
                    </w:rPr>
                  </w:pPr>
                  <w:r>
                    <w:rPr>
                      <w:rFonts w:hint="eastAsia"/>
                      <w:color w:val="auto"/>
                      <w:sz w:val="20"/>
                      <w:szCs w:val="20"/>
                      <w:lang w:val="en-US" w:eastAsia="zh-CN"/>
                    </w:rPr>
                    <w:t>废油桶</w:t>
                  </w:r>
                </w:p>
              </w:tc>
              <w:tc>
                <w:tcPr>
                  <w:tcW w:w="1524" w:type="pct"/>
                  <w:vMerge w:val="continue"/>
                  <w:vAlign w:val="center"/>
                </w:tcPr>
                <w:p>
                  <w:pPr>
                    <w:pStyle w:val="180"/>
                    <w:rPr>
                      <w:rFonts w:hint="eastAsia"/>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color w:val="auto"/>
                      <w:sz w:val="20"/>
                      <w:szCs w:val="20"/>
                      <w:lang w:val="en-US" w:eastAsia="zh-CN"/>
                    </w:rPr>
                  </w:pPr>
                  <w:r>
                    <w:rPr>
                      <w:rFonts w:hint="eastAsia"/>
                      <w:color w:val="auto"/>
                      <w:sz w:val="20"/>
                      <w:szCs w:val="20"/>
                      <w:lang w:val="en-US" w:eastAsia="zh-CN"/>
                    </w:rPr>
                    <w:t>S13</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叉车</w:t>
                  </w:r>
                </w:p>
              </w:tc>
              <w:tc>
                <w:tcPr>
                  <w:tcW w:w="1557"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废蓄电池</w:t>
                  </w:r>
                </w:p>
              </w:tc>
              <w:tc>
                <w:tcPr>
                  <w:tcW w:w="1524" w:type="pct"/>
                  <w:vMerge w:val="continue"/>
                  <w:vAlign w:val="center"/>
                </w:tcPr>
                <w:p>
                  <w:pPr>
                    <w:pStyle w:val="180"/>
                    <w:rPr>
                      <w:rFonts w:hint="eastAsia"/>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rFonts w:hint="default"/>
                      <w:color w:val="auto"/>
                      <w:sz w:val="20"/>
                      <w:szCs w:val="20"/>
                      <w:lang w:val="en-US" w:eastAsia="zh-CN"/>
                    </w:rPr>
                  </w:pPr>
                  <w:r>
                    <w:rPr>
                      <w:rFonts w:hint="eastAsia"/>
                      <w:color w:val="auto"/>
                      <w:sz w:val="20"/>
                      <w:szCs w:val="20"/>
                      <w:lang w:val="en-US" w:eastAsia="zh-CN"/>
                    </w:rPr>
                    <w:t>S14</w:t>
                  </w:r>
                </w:p>
              </w:tc>
              <w:tc>
                <w:tcPr>
                  <w:tcW w:w="689"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废气处理</w:t>
                  </w:r>
                </w:p>
              </w:tc>
              <w:tc>
                <w:tcPr>
                  <w:tcW w:w="1557" w:type="pct"/>
                  <w:shd w:val="clear" w:color="auto" w:fill="auto"/>
                  <w:vAlign w:val="center"/>
                </w:tcPr>
                <w:p>
                  <w:pPr>
                    <w:pStyle w:val="180"/>
                    <w:rPr>
                      <w:rFonts w:hint="default"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脱硫渣</w:t>
                  </w:r>
                </w:p>
              </w:tc>
              <w:tc>
                <w:tcPr>
                  <w:tcW w:w="1524" w:type="pct"/>
                  <w:shd w:val="clear" w:color="auto" w:fill="auto"/>
                  <w:vAlign w:val="center"/>
                </w:tcPr>
                <w:p>
                  <w:pPr>
                    <w:pStyle w:val="180"/>
                    <w:rPr>
                      <w:rFonts w:hint="eastAsia"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委托处置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44" w:type="pct"/>
                  <w:vMerge w:val="continue"/>
                  <w:vAlign w:val="center"/>
                </w:tcPr>
                <w:p>
                  <w:pPr>
                    <w:pStyle w:val="180"/>
                    <w:rPr>
                      <w:color w:val="auto"/>
                      <w:sz w:val="20"/>
                      <w:szCs w:val="20"/>
                      <w:lang w:val="en-US"/>
                    </w:rPr>
                  </w:pPr>
                </w:p>
              </w:tc>
              <w:tc>
                <w:tcPr>
                  <w:tcW w:w="783" w:type="pct"/>
                  <w:vAlign w:val="center"/>
                </w:tcPr>
                <w:p>
                  <w:pPr>
                    <w:pStyle w:val="180"/>
                    <w:rPr>
                      <w:color w:val="auto"/>
                      <w:sz w:val="20"/>
                      <w:szCs w:val="20"/>
                      <w:lang w:val="en-US"/>
                    </w:rPr>
                  </w:pPr>
                  <w:r>
                    <w:rPr>
                      <w:rFonts w:hint="eastAsia"/>
                      <w:color w:val="auto"/>
                      <w:sz w:val="20"/>
                      <w:szCs w:val="20"/>
                      <w:lang w:val="en-US"/>
                    </w:rPr>
                    <w:t>员工生活</w:t>
                  </w:r>
                </w:p>
              </w:tc>
              <w:tc>
                <w:tcPr>
                  <w:tcW w:w="689" w:type="pct"/>
                  <w:vAlign w:val="center"/>
                </w:tcPr>
                <w:p>
                  <w:pPr>
                    <w:jc w:val="center"/>
                    <w:rPr>
                      <w:color w:val="auto"/>
                      <w:kern w:val="0"/>
                      <w:sz w:val="20"/>
                      <w:szCs w:val="20"/>
                    </w:rPr>
                  </w:pPr>
                  <w:r>
                    <w:rPr>
                      <w:rFonts w:hint="eastAsia"/>
                      <w:color w:val="auto"/>
                      <w:sz w:val="20"/>
                      <w:szCs w:val="20"/>
                    </w:rPr>
                    <w:t>/</w:t>
                  </w:r>
                </w:p>
              </w:tc>
              <w:tc>
                <w:tcPr>
                  <w:tcW w:w="1557" w:type="pct"/>
                  <w:vAlign w:val="center"/>
                </w:tcPr>
                <w:p>
                  <w:pPr>
                    <w:pStyle w:val="180"/>
                    <w:rPr>
                      <w:color w:val="auto"/>
                      <w:sz w:val="20"/>
                      <w:szCs w:val="20"/>
                      <w:lang w:val="en-US"/>
                    </w:rPr>
                  </w:pPr>
                  <w:r>
                    <w:rPr>
                      <w:rFonts w:hint="eastAsia"/>
                      <w:color w:val="auto"/>
                      <w:sz w:val="20"/>
                      <w:szCs w:val="20"/>
                      <w:lang w:val="en-US"/>
                    </w:rPr>
                    <w:t>生活垃圾</w:t>
                  </w:r>
                </w:p>
              </w:tc>
              <w:tc>
                <w:tcPr>
                  <w:tcW w:w="1524" w:type="pct"/>
                  <w:vAlign w:val="center"/>
                </w:tcPr>
                <w:p>
                  <w:pPr>
                    <w:pStyle w:val="180"/>
                    <w:rPr>
                      <w:color w:val="auto"/>
                      <w:sz w:val="20"/>
                      <w:szCs w:val="20"/>
                      <w:lang w:val="en-US"/>
                    </w:rPr>
                  </w:pPr>
                  <w:r>
                    <w:rPr>
                      <w:rFonts w:hint="eastAsia"/>
                      <w:color w:val="auto"/>
                      <w:sz w:val="20"/>
                      <w:szCs w:val="20"/>
                      <w:lang w:val="en-US"/>
                    </w:rPr>
                    <w:t>环卫清运</w:t>
                  </w:r>
                </w:p>
              </w:tc>
            </w:tr>
          </w:tbl>
          <w:p>
            <w:pPr>
              <w:pStyle w:val="180"/>
              <w:spacing w:line="400" w:lineRule="exact"/>
              <w:jc w:val="both"/>
              <w:rPr>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1" w:type="dxa"/>
            <w:vAlign w:val="center"/>
          </w:tcPr>
          <w:p>
            <w:pPr>
              <w:pStyle w:val="82"/>
              <w:jc w:val="center"/>
              <w:rPr>
                <w:rFonts w:ascii="Times New Roman" w:hAnsi="Times New Roman"/>
                <w:color w:val="auto"/>
                <w:sz w:val="21"/>
                <w:szCs w:val="21"/>
                <w:lang w:val="en-US"/>
              </w:rPr>
            </w:pPr>
            <w:r>
              <w:rPr>
                <w:rFonts w:ascii="Times New Roman" w:hAnsi="Times New Roman"/>
                <w:bCs/>
                <w:color w:val="auto"/>
                <w:kern w:val="2"/>
                <w:sz w:val="21"/>
                <w:szCs w:val="21"/>
                <w:lang w:val="en-US"/>
              </w:rPr>
              <w:t>与项目有关的原有环境污染问题</w:t>
            </w:r>
          </w:p>
        </w:tc>
        <w:tc>
          <w:tcPr>
            <w:tcW w:w="8413" w:type="dxa"/>
            <w:vAlign w:val="center"/>
          </w:tcPr>
          <w:p>
            <w:pPr>
              <w:pStyle w:val="47"/>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本项目租用南通华胜数码纺织科技有限公司位于如皋市九华镇马桥村18组现有闲置</w:t>
            </w:r>
            <w:r>
              <w:rPr>
                <w:rFonts w:hint="eastAsia" w:ascii="Times New Roman" w:hAnsi="Times New Roman" w:cs="Times New Roman"/>
                <w:bCs/>
                <w:color w:val="auto"/>
                <w:kern w:val="2"/>
                <w:sz w:val="21"/>
                <w:szCs w:val="21"/>
                <w:lang w:val="en-US" w:eastAsia="zh-CN" w:bidi="ar-SA"/>
              </w:rPr>
              <w:t>北侧闲置</w:t>
            </w:r>
            <w:r>
              <w:rPr>
                <w:rFonts w:hint="eastAsia" w:ascii="Times New Roman" w:hAnsi="Times New Roman" w:eastAsia="宋体" w:cs="Times New Roman"/>
                <w:bCs/>
                <w:color w:val="auto"/>
                <w:kern w:val="2"/>
                <w:sz w:val="21"/>
                <w:szCs w:val="21"/>
                <w:lang w:val="en-US" w:eastAsia="zh-CN" w:bidi="ar-SA"/>
              </w:rPr>
              <w:t>厂房做生产车间，</w:t>
            </w:r>
            <w:r>
              <w:rPr>
                <w:rFonts w:hint="eastAsia" w:ascii="Times New Roman" w:hAnsi="Times New Roman" w:cs="Times New Roman"/>
                <w:bCs/>
                <w:color w:val="auto"/>
                <w:kern w:val="2"/>
                <w:sz w:val="21"/>
                <w:szCs w:val="21"/>
                <w:lang w:val="en-US" w:eastAsia="zh-CN" w:bidi="ar-SA"/>
              </w:rPr>
              <w:t>东北侧闲置厂房作</w:t>
            </w:r>
            <w:r>
              <w:rPr>
                <w:rFonts w:hint="eastAsia" w:ascii="Times New Roman" w:hAnsi="Times New Roman" w:eastAsia="宋体" w:cs="Times New Roman"/>
                <w:bCs/>
                <w:color w:val="auto"/>
                <w:kern w:val="2"/>
                <w:sz w:val="21"/>
                <w:szCs w:val="21"/>
                <w:lang w:val="en-US" w:eastAsia="zh-CN" w:bidi="ar-SA"/>
              </w:rPr>
              <w:t>锅炉房。</w:t>
            </w:r>
          </w:p>
          <w:p>
            <w:pPr>
              <w:pStyle w:val="47"/>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据现场调查，南通华胜数码纺织科技有限公司为纺织面料的数码印花研发、设计、喷绘坯布加工、生产等公司，该厂房原先为</w:t>
            </w:r>
            <w:r>
              <w:rPr>
                <w:rFonts w:hint="eastAsia" w:ascii="Times New Roman" w:hAnsi="Times New Roman" w:cs="Times New Roman"/>
                <w:bCs/>
                <w:color w:val="auto"/>
                <w:kern w:val="2"/>
                <w:sz w:val="21"/>
                <w:szCs w:val="21"/>
                <w:lang w:val="en-US" w:eastAsia="zh-CN" w:bidi="ar-SA"/>
              </w:rPr>
              <w:t>众隆</w:t>
            </w:r>
            <w:r>
              <w:rPr>
                <w:rFonts w:hint="eastAsia" w:ascii="Times New Roman" w:hAnsi="Times New Roman" w:eastAsia="宋体" w:cs="Times New Roman"/>
                <w:bCs/>
                <w:color w:val="auto"/>
                <w:kern w:val="2"/>
                <w:sz w:val="21"/>
                <w:szCs w:val="21"/>
                <w:lang w:val="en-US" w:eastAsia="zh-CN" w:bidi="ar-SA"/>
              </w:rPr>
              <w:t>后整理车间，目前已闲置，旧设备将出售，</w:t>
            </w:r>
            <w:r>
              <w:rPr>
                <w:rFonts w:hint="eastAsia" w:ascii="Times New Roman" w:hAnsi="Times New Roman" w:eastAsia="宋体" w:cs="Times New Roman"/>
                <w:bCs/>
                <w:color w:val="FF0000"/>
                <w:kern w:val="2"/>
                <w:sz w:val="21"/>
                <w:szCs w:val="21"/>
                <w:lang w:val="en-US" w:eastAsia="zh-CN" w:bidi="ar-SA"/>
              </w:rPr>
              <w:t>旧设备拆除过程将按照《企业拆除活动污染防治技术规定（试行）》（环保部2017年78号令）相关要求进行污染防治，</w:t>
            </w:r>
            <w:r>
              <w:rPr>
                <w:rFonts w:hint="eastAsia" w:ascii="Times New Roman" w:hAnsi="Times New Roman" w:eastAsia="宋体" w:cs="Times New Roman"/>
                <w:bCs/>
                <w:color w:val="auto"/>
                <w:kern w:val="2"/>
                <w:sz w:val="21"/>
                <w:szCs w:val="21"/>
                <w:lang w:val="en-US" w:eastAsia="zh-CN" w:bidi="ar-SA"/>
              </w:rPr>
              <w:t>本项目设备均为新购，未发现先前遗留的主要污染源或环境问题。</w:t>
            </w:r>
          </w:p>
          <w:p>
            <w:pPr>
              <w:pStyle w:val="32"/>
              <w:ind w:left="0" w:leftChars="0" w:firstLine="0" w:firstLineChars="0"/>
              <w:jc w:val="center"/>
              <w:rPr>
                <w:rFonts w:hint="eastAsia"/>
                <w:lang w:val="en-US" w:eastAsia="zh-CN"/>
              </w:rPr>
            </w:pPr>
            <w:r>
              <w:rPr>
                <w:rFonts w:hint="eastAsia"/>
                <w:lang w:val="en-US" w:eastAsia="zh-CN"/>
              </w:rPr>
              <w:drawing>
                <wp:inline distT="0" distB="0" distL="114300" distR="114300">
                  <wp:extent cx="1998980" cy="1498600"/>
                  <wp:effectExtent l="0" t="0" r="1270" b="6350"/>
                  <wp:docPr id="24" name="图片 24" descr="c198e4825b576361e0b6c407e1a95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198e4825b576361e0b6c407e1a95530"/>
                          <pic:cNvPicPr>
                            <a:picLocks noChangeAspect="1"/>
                          </pic:cNvPicPr>
                        </pic:nvPicPr>
                        <pic:blipFill>
                          <a:blip r:embed="rId24"/>
                          <a:stretch>
                            <a:fillRect/>
                          </a:stretch>
                        </pic:blipFill>
                        <pic:spPr>
                          <a:xfrm>
                            <a:off x="0" y="0"/>
                            <a:ext cx="1998980" cy="1498600"/>
                          </a:xfrm>
                          <a:prstGeom prst="rect">
                            <a:avLst/>
                          </a:prstGeom>
                        </pic:spPr>
                      </pic:pic>
                    </a:graphicData>
                  </a:graphic>
                </wp:inline>
              </w:drawing>
            </w:r>
          </w:p>
          <w:p>
            <w:pPr>
              <w:adjustRightInd w:val="0"/>
              <w:snapToGrid w:val="0"/>
              <w:spacing w:line="400" w:lineRule="exact"/>
              <w:jc w:val="center"/>
              <w:outlineLvl w:val="0"/>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图2-7 本项目生产车间现状图</w:t>
            </w:r>
          </w:p>
          <w:p>
            <w:pPr>
              <w:numPr>
                <w:ilvl w:val="0"/>
                <w:numId w:val="25"/>
              </w:numPr>
              <w:autoSpaceDE w:val="0"/>
              <w:autoSpaceDN w:val="0"/>
              <w:adjustRightInd w:val="0"/>
              <w:snapToGrid w:val="0"/>
              <w:spacing w:line="400" w:lineRule="exact"/>
              <w:ind w:firstLine="422" w:firstLineChars="200"/>
              <w:rPr>
                <w:rFonts w:ascii="Times New Roman" w:hAnsi="Times New Roman" w:eastAsia="宋体" w:cs="Times New Roman"/>
                <w:b/>
                <w:bCs w:val="0"/>
                <w:color w:val="auto"/>
                <w:spacing w:val="-1"/>
                <w:szCs w:val="24"/>
                <w:lang w:val="en-US" w:eastAsia="zh-CN"/>
              </w:rPr>
            </w:pPr>
            <w:r>
              <w:rPr>
                <w:rFonts w:hint="eastAsia" w:ascii="Times New Roman" w:hAnsi="Times New Roman" w:eastAsia="宋体" w:cs="Times New Roman"/>
                <w:b/>
                <w:bCs w:val="0"/>
                <w:color w:val="auto"/>
                <w:szCs w:val="21"/>
                <w:lang w:val="en-US" w:eastAsia="zh-CN"/>
              </w:rPr>
              <w:t>华胜公司</w:t>
            </w:r>
            <w:r>
              <w:rPr>
                <w:rFonts w:ascii="Times New Roman" w:hAnsi="Times New Roman" w:eastAsia="宋体" w:cs="Times New Roman"/>
                <w:b/>
                <w:bCs w:val="0"/>
                <w:color w:val="auto"/>
                <w:spacing w:val="-1"/>
                <w:szCs w:val="24"/>
                <w:lang w:val="en-US" w:eastAsia="zh-CN"/>
              </w:rPr>
              <w:t>现有项目环保手续概况</w:t>
            </w:r>
          </w:p>
          <w:p>
            <w:pPr>
              <w:numPr>
                <w:ilvl w:val="0"/>
                <w:numId w:val="0"/>
              </w:numPr>
              <w:autoSpaceDE w:val="0"/>
              <w:autoSpaceDN w:val="0"/>
              <w:adjustRightInd w:val="0"/>
              <w:snapToGrid w:val="0"/>
              <w:spacing w:line="400" w:lineRule="exact"/>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南通华胜数码纺织科技有限公司纺织、数码喷绘项目2016年10月取得如皋市行政审批局环评批复（皋行审环表复【2016】109 号），2017年6月通过如皋市行政审批局项目竣工环境保护验收（皋行审环验（表）【2017】24 号）。</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2018年9月，南通华胜数码纺织科技有限公司数码喷绘生产线技改项目取得如皋市行政审批局批复（皋行审环表复【201</w:t>
            </w:r>
            <w:r>
              <w:rPr>
                <w:rFonts w:hint="eastAsia" w:cs="Times New Roman"/>
                <w:bCs/>
                <w:color w:val="auto"/>
                <w:szCs w:val="21"/>
                <w:lang w:val="en-US" w:eastAsia="zh-CN"/>
              </w:rPr>
              <w:t>8</w:t>
            </w:r>
            <w:r>
              <w:rPr>
                <w:rFonts w:hint="eastAsia" w:ascii="Times New Roman" w:hAnsi="Times New Roman" w:eastAsia="宋体" w:cs="Times New Roman"/>
                <w:bCs/>
                <w:color w:val="auto"/>
                <w:szCs w:val="21"/>
                <w:lang w:val="en-US" w:eastAsia="zh-CN"/>
              </w:rPr>
              <w:t>】197 号），2019年7月通过如皋市行政审批局竣工环境保护验收（皋行审环验【201</w:t>
            </w:r>
            <w:r>
              <w:rPr>
                <w:rFonts w:hint="eastAsia" w:cs="Times New Roman"/>
                <w:bCs/>
                <w:color w:val="auto"/>
                <w:szCs w:val="21"/>
                <w:lang w:val="en-US" w:eastAsia="zh-CN"/>
              </w:rPr>
              <w:t>9</w:t>
            </w:r>
            <w:r>
              <w:rPr>
                <w:rFonts w:hint="eastAsia" w:ascii="Times New Roman" w:hAnsi="Times New Roman" w:eastAsia="宋体" w:cs="Times New Roman"/>
                <w:bCs/>
                <w:color w:val="auto"/>
                <w:szCs w:val="21"/>
                <w:lang w:val="en-US" w:eastAsia="zh-CN"/>
              </w:rPr>
              <w:t>】144号）。</w:t>
            </w:r>
          </w:p>
          <w:p>
            <w:pPr>
              <w:autoSpaceDE w:val="0"/>
              <w:autoSpaceDN w:val="0"/>
              <w:adjustRightInd w:val="0"/>
              <w:snapToGrid w:val="0"/>
              <w:spacing w:line="400" w:lineRule="exact"/>
              <w:ind w:firstLine="420" w:firstLineChars="200"/>
              <w:rPr>
                <w:rFonts w:hint="eastAsia"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202</w:t>
            </w:r>
            <w:r>
              <w:rPr>
                <w:rFonts w:hint="eastAsia" w:cs="Times New Roman"/>
                <w:bCs/>
                <w:color w:val="auto"/>
                <w:szCs w:val="21"/>
                <w:lang w:val="en-US" w:eastAsia="zh-CN"/>
              </w:rPr>
              <w:t>0</w:t>
            </w:r>
            <w:r>
              <w:rPr>
                <w:rFonts w:hint="eastAsia" w:ascii="Times New Roman" w:hAnsi="Times New Roman" w:eastAsia="宋体" w:cs="Times New Roman"/>
                <w:bCs/>
                <w:color w:val="auto"/>
                <w:szCs w:val="21"/>
                <w:lang w:val="en-US" w:eastAsia="zh-CN"/>
              </w:rPr>
              <w:t>年1</w:t>
            </w:r>
            <w:r>
              <w:rPr>
                <w:rFonts w:hint="eastAsia" w:cs="Times New Roman"/>
                <w:bCs/>
                <w:color w:val="auto"/>
                <w:szCs w:val="21"/>
                <w:lang w:val="en-US" w:eastAsia="zh-CN"/>
              </w:rPr>
              <w:t>2</w:t>
            </w:r>
            <w:r>
              <w:rPr>
                <w:rFonts w:hint="eastAsia" w:ascii="Times New Roman" w:hAnsi="Times New Roman" w:eastAsia="宋体" w:cs="Times New Roman"/>
                <w:bCs/>
                <w:color w:val="auto"/>
                <w:szCs w:val="21"/>
                <w:lang w:val="en-US" w:eastAsia="zh-CN"/>
              </w:rPr>
              <w:t>月，南通华胜数码纺织科技有限公司纺织面料生产线技改项目取得如皋市行政审批局批复</w:t>
            </w:r>
            <w:r>
              <w:rPr>
                <w:rFonts w:hint="eastAsia" w:cs="Times New Roman"/>
                <w:bCs/>
                <w:color w:val="auto"/>
                <w:szCs w:val="21"/>
                <w:lang w:val="en-US" w:eastAsia="zh-CN"/>
              </w:rPr>
              <w:t>，</w:t>
            </w:r>
            <w:r>
              <w:rPr>
                <w:rFonts w:hint="eastAsia" w:ascii="Times New Roman" w:hAnsi="Times New Roman" w:eastAsia="宋体" w:cs="Times New Roman"/>
                <w:bCs/>
                <w:color w:val="auto"/>
                <w:szCs w:val="21"/>
                <w:lang w:val="en-US" w:eastAsia="zh-CN"/>
              </w:rPr>
              <w:t>并</w:t>
            </w:r>
            <w:r>
              <w:rPr>
                <w:rFonts w:hint="eastAsia" w:cs="Times New Roman"/>
                <w:bCs/>
                <w:color w:val="auto"/>
                <w:szCs w:val="21"/>
                <w:lang w:val="en-US" w:eastAsia="zh-CN"/>
              </w:rPr>
              <w:t>于2021年12月</w:t>
            </w:r>
            <w:r>
              <w:rPr>
                <w:rFonts w:hint="eastAsia" w:ascii="Times New Roman" w:hAnsi="Times New Roman" w:eastAsia="宋体" w:cs="Times New Roman"/>
                <w:bCs/>
                <w:color w:val="auto"/>
                <w:szCs w:val="21"/>
                <w:lang w:val="en-US" w:eastAsia="zh-CN"/>
              </w:rPr>
              <w:t>完成企业自主验收。</w:t>
            </w:r>
          </w:p>
          <w:p>
            <w:pPr>
              <w:autoSpaceDE w:val="0"/>
              <w:autoSpaceDN w:val="0"/>
              <w:adjustRightInd w:val="0"/>
              <w:snapToGrid w:val="0"/>
              <w:spacing w:line="400" w:lineRule="exact"/>
              <w:ind w:firstLine="420" w:firstLineChars="200"/>
              <w:rPr>
                <w:rFonts w:hint="eastAsia" w:cs="Times New Roman"/>
                <w:bCs/>
                <w:color w:val="auto"/>
                <w:szCs w:val="21"/>
                <w:lang w:val="en-US" w:eastAsia="zh-CN"/>
              </w:rPr>
            </w:pPr>
            <w:r>
              <w:rPr>
                <w:rFonts w:hint="eastAsia" w:ascii="Times New Roman" w:hAnsi="Times New Roman" w:eastAsia="宋体" w:cs="Times New Roman"/>
                <w:bCs/>
                <w:color w:val="auto"/>
                <w:szCs w:val="21"/>
                <w:lang w:val="en-US" w:eastAsia="zh-CN"/>
              </w:rPr>
              <w:t>2025年10月完成排污许可证变更，目前，生产正常。</w:t>
            </w:r>
          </w:p>
          <w:p>
            <w:pPr>
              <w:pStyle w:val="47"/>
              <w:keepNext w:val="0"/>
              <w:keepLines w:val="0"/>
              <w:pageBreakBefore w:val="0"/>
              <w:widowControl w:val="0"/>
              <w:kinsoku/>
              <w:wordWrap/>
              <w:overflowPunct/>
              <w:topLinePunct w:val="0"/>
              <w:autoSpaceDE/>
              <w:autoSpaceDN/>
              <w:bidi w:val="0"/>
              <w:adjustRightInd w:val="0"/>
              <w:snapToGrid w:val="0"/>
              <w:spacing w:line="400" w:lineRule="exact"/>
              <w:ind w:firstLine="422" w:firstLineChars="200"/>
              <w:jc w:val="left"/>
              <w:textAlignment w:val="auto"/>
              <w:rPr>
                <w:rFonts w:hint="eastAsia" w:ascii="Times New Roman" w:hAnsi="Times New Roman" w:eastAsia="宋体" w:cs="Times New Roman"/>
                <w:b/>
                <w:bCs w:val="0"/>
                <w:color w:val="auto"/>
                <w:kern w:val="2"/>
                <w:sz w:val="21"/>
                <w:szCs w:val="21"/>
                <w:lang w:val="en-US" w:eastAsia="zh-CN" w:bidi="ar-SA"/>
              </w:rPr>
            </w:pPr>
            <w:r>
              <w:rPr>
                <w:rFonts w:hint="eastAsia" w:ascii="Times New Roman" w:hAnsi="Times New Roman" w:eastAsia="宋体" w:cs="Times New Roman"/>
                <w:b/>
                <w:bCs w:val="0"/>
                <w:color w:val="auto"/>
                <w:kern w:val="2"/>
                <w:sz w:val="21"/>
                <w:szCs w:val="21"/>
                <w:lang w:val="en-US" w:eastAsia="zh-CN" w:bidi="ar-SA"/>
              </w:rPr>
              <w:t>（2）本项目依托华胜公司可行性</w:t>
            </w:r>
          </w:p>
          <w:p>
            <w:pPr>
              <w:pStyle w:val="47"/>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本项目依托华胜公司现有化粪池、雨水管网、雨水排口、污水管网、污水排口、初期雨水池和事故应急池，环保法律责任由华胜公司承担。</w:t>
            </w:r>
          </w:p>
          <w:p>
            <w:pPr>
              <w:pStyle w:val="47"/>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①初期雨水池</w:t>
            </w:r>
          </w:p>
          <w:p>
            <w:pPr>
              <w:pStyle w:val="47"/>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华胜现有厂区初期雨水已全厂核算，本项目生产、装卸、物料暂存</w:t>
            </w:r>
            <w:r>
              <w:rPr>
                <w:rFonts w:hint="eastAsia" w:ascii="Times New Roman" w:hAnsi="Times New Roman" w:cs="Times New Roman"/>
                <w:bCs/>
                <w:color w:val="auto"/>
                <w:kern w:val="2"/>
                <w:sz w:val="21"/>
                <w:szCs w:val="21"/>
                <w:lang w:val="en-US" w:eastAsia="zh-CN" w:bidi="ar-SA"/>
              </w:rPr>
              <w:t>及锅炉房</w:t>
            </w:r>
            <w:r>
              <w:rPr>
                <w:rFonts w:hint="eastAsia" w:ascii="Times New Roman" w:hAnsi="Times New Roman" w:eastAsia="宋体" w:cs="Times New Roman"/>
                <w:bCs/>
                <w:color w:val="auto"/>
                <w:kern w:val="2"/>
                <w:sz w:val="21"/>
                <w:szCs w:val="21"/>
                <w:lang w:val="en-US" w:eastAsia="zh-CN" w:bidi="ar-SA"/>
              </w:rPr>
              <w:t>均在华胜厂区内，不新增初期雨水量，本项目可依托华胜240m</w:t>
            </w:r>
            <w:r>
              <w:rPr>
                <w:rFonts w:hint="eastAsia" w:ascii="Times New Roman" w:hAnsi="Times New Roman" w:eastAsia="宋体" w:cs="Times New Roman"/>
                <w:bCs/>
                <w:color w:val="auto"/>
                <w:kern w:val="2"/>
                <w:sz w:val="21"/>
                <w:szCs w:val="21"/>
                <w:vertAlign w:val="superscript"/>
                <w:lang w:val="en-US" w:eastAsia="zh-CN" w:bidi="ar-SA"/>
              </w:rPr>
              <w:t>3</w:t>
            </w:r>
            <w:r>
              <w:rPr>
                <w:rFonts w:hint="eastAsia" w:ascii="Times New Roman" w:hAnsi="Times New Roman" w:eastAsia="宋体" w:cs="Times New Roman"/>
                <w:bCs/>
                <w:color w:val="auto"/>
                <w:kern w:val="2"/>
                <w:sz w:val="21"/>
                <w:szCs w:val="21"/>
                <w:lang w:val="en-US" w:eastAsia="zh-CN" w:bidi="ar-SA"/>
              </w:rPr>
              <w:t>初期雨水池。</w:t>
            </w:r>
          </w:p>
          <w:p>
            <w:pPr>
              <w:pStyle w:val="47"/>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②事故应急池</w:t>
            </w:r>
          </w:p>
          <w:p>
            <w:pPr>
              <w:keepNext w:val="0"/>
              <w:keepLines w:val="0"/>
              <w:pageBreakBefore w:val="0"/>
              <w:widowControl w:val="0"/>
              <w:kinsoku/>
              <w:wordWrap/>
              <w:overflowPunct/>
              <w:topLinePunct w:val="0"/>
              <w:autoSpaceDE/>
              <w:autoSpaceDN/>
              <w:bidi w:val="0"/>
              <w:spacing w:line="400" w:lineRule="exact"/>
              <w:ind w:firstLine="420" w:firstLineChars="200"/>
              <w:textAlignment w:val="auto"/>
              <w:rPr>
                <w:color w:val="000000"/>
              </w:rPr>
            </w:pPr>
            <w:r>
              <w:rPr>
                <w:color w:val="000000"/>
                <w:kern w:val="0"/>
              </w:rPr>
              <w:t>根据《事故状态下水体污染的预防和控制规范》(Q/SY08190-2019)，事故应急池容纳符合性计算如下：</w:t>
            </w:r>
          </w:p>
          <w:p>
            <w:pPr>
              <w:spacing w:line="360" w:lineRule="auto"/>
              <w:ind w:firstLine="420" w:firstLineChars="200"/>
              <w:jc w:val="center"/>
              <w:rPr>
                <w:color w:val="000000"/>
              </w:rPr>
            </w:pPr>
            <w:r>
              <w:rPr>
                <w:color w:val="000000"/>
              </w:rPr>
              <w:t>V</w:t>
            </w:r>
            <w:r>
              <w:rPr>
                <w:color w:val="000000"/>
                <w:vertAlign w:val="subscript"/>
              </w:rPr>
              <w:t>总</w:t>
            </w:r>
            <w:r>
              <w:rPr>
                <w:color w:val="000000"/>
              </w:rPr>
              <w:t>=（V</w:t>
            </w:r>
            <w:r>
              <w:rPr>
                <w:color w:val="000000"/>
                <w:vertAlign w:val="subscript"/>
              </w:rPr>
              <w:t>1</w:t>
            </w:r>
            <w:r>
              <w:rPr>
                <w:color w:val="000000"/>
              </w:rPr>
              <w:t>+V</w:t>
            </w:r>
            <w:r>
              <w:rPr>
                <w:color w:val="000000"/>
                <w:vertAlign w:val="subscript"/>
              </w:rPr>
              <w:t>2</w:t>
            </w:r>
            <w:r>
              <w:rPr>
                <w:color w:val="000000"/>
              </w:rPr>
              <w:t>-V</w:t>
            </w:r>
            <w:r>
              <w:rPr>
                <w:color w:val="000000"/>
                <w:vertAlign w:val="subscript"/>
              </w:rPr>
              <w:t>3</w:t>
            </w:r>
            <w:r>
              <w:rPr>
                <w:color w:val="000000"/>
              </w:rPr>
              <w:t>）max+V</w:t>
            </w:r>
            <w:r>
              <w:rPr>
                <w:color w:val="000000"/>
                <w:vertAlign w:val="subscript"/>
              </w:rPr>
              <w:t>4</w:t>
            </w:r>
            <w:r>
              <w:rPr>
                <w:color w:val="000000"/>
              </w:rPr>
              <w:t>+V</w:t>
            </w:r>
            <w:r>
              <w:rPr>
                <w:color w:val="000000"/>
                <w:vertAlign w:val="subscript"/>
              </w:rPr>
              <w:t>5</w:t>
            </w:r>
          </w:p>
          <w:p>
            <w:pPr>
              <w:spacing w:line="360" w:lineRule="auto"/>
              <w:ind w:firstLine="420" w:firstLineChars="200"/>
              <w:rPr>
                <w:color w:val="000000"/>
              </w:rPr>
            </w:pPr>
            <w:r>
              <w:rPr>
                <w:color w:val="000000"/>
              </w:rPr>
              <w:t>V</w:t>
            </w:r>
            <w:r>
              <w:rPr>
                <w:color w:val="000000"/>
                <w:vertAlign w:val="subscript"/>
              </w:rPr>
              <w:t>1</w:t>
            </w:r>
            <w:r>
              <w:rPr>
                <w:color w:val="000000"/>
              </w:rPr>
              <w:t>——最大一个容量的设备或贮罐。本项目不涉及，V1取0m</w:t>
            </w:r>
            <w:r>
              <w:rPr>
                <w:color w:val="000000"/>
                <w:vertAlign w:val="superscript"/>
              </w:rPr>
              <w:t>3</w:t>
            </w:r>
            <w:r>
              <w:rPr>
                <w:color w:val="000000"/>
              </w:rPr>
              <w:t>。</w:t>
            </w:r>
          </w:p>
          <w:p>
            <w:pPr>
              <w:spacing w:line="360" w:lineRule="auto"/>
              <w:ind w:firstLine="420" w:firstLineChars="200"/>
              <w:rPr>
                <w:color w:val="000000"/>
              </w:rPr>
            </w:pPr>
            <w:r>
              <w:rPr>
                <w:color w:val="000000"/>
              </w:rPr>
              <w:t>V</w:t>
            </w:r>
            <w:r>
              <w:rPr>
                <w:color w:val="000000"/>
                <w:vertAlign w:val="subscript"/>
              </w:rPr>
              <w:t>2</w:t>
            </w:r>
            <w:r>
              <w:rPr>
                <w:color w:val="000000"/>
              </w:rPr>
              <w:t>——在装置区或贮罐区一旦发生火灾、爆炸时的消防用水量，包括扑灭火灾所需用水量和保护临近设备或贮罐的喷淋水量。</w:t>
            </w:r>
          </w:p>
          <w:p>
            <w:pPr>
              <w:spacing w:line="360" w:lineRule="auto"/>
              <w:ind w:firstLine="420" w:firstLineChars="200"/>
              <w:rPr>
                <w:rFonts w:hint="default" w:ascii="Times New Roman" w:hAnsi="Times New Roman" w:cs="Times New Roman"/>
                <w:color w:val="000000"/>
              </w:rPr>
            </w:pPr>
            <w:r>
              <w:rPr>
                <w:rFonts w:hint="default" w:ascii="Times New Roman" w:hAnsi="Times New Roman" w:cs="Times New Roman"/>
                <w:color w:val="000000"/>
              </w:rPr>
              <w:t>本项目</w:t>
            </w:r>
            <w:r>
              <w:rPr>
                <w:rFonts w:hint="default" w:ascii="Times New Roman" w:hAnsi="Times New Roman" w:cs="Times New Roman"/>
                <w:color w:val="000000"/>
                <w:lang w:val="en-US" w:eastAsia="zh-CN"/>
              </w:rPr>
              <w:t>生产车间</w:t>
            </w:r>
            <w:r>
              <w:rPr>
                <w:rFonts w:hint="eastAsia" w:cs="Times New Roman"/>
                <w:color w:val="000000"/>
                <w:lang w:val="en-US" w:eastAsia="zh-CN"/>
              </w:rPr>
              <w:t>和锅炉房</w:t>
            </w:r>
            <w:r>
              <w:rPr>
                <w:rFonts w:hint="default" w:ascii="Times New Roman" w:hAnsi="Times New Roman" w:cs="Times New Roman"/>
                <w:color w:val="000000"/>
                <w:lang w:val="en-US" w:eastAsia="zh-CN"/>
              </w:rPr>
              <w:t>利旧，</w:t>
            </w:r>
            <w:r>
              <w:rPr>
                <w:rFonts w:hint="eastAsia" w:cs="Times New Roman"/>
                <w:color w:val="000000"/>
                <w:lang w:val="en-US" w:eastAsia="zh-CN"/>
              </w:rPr>
              <w:t>生产车间</w:t>
            </w:r>
            <w:r>
              <w:rPr>
                <w:rFonts w:hint="default" w:ascii="Times New Roman" w:hAnsi="Times New Roman" w:cs="Times New Roman"/>
                <w:color w:val="000000"/>
              </w:rPr>
              <w:t>占地面积为</w:t>
            </w:r>
            <w:r>
              <w:rPr>
                <w:rFonts w:hint="eastAsia" w:cs="Times New Roman"/>
                <w:color w:val="000000"/>
                <w:lang w:val="en-US" w:eastAsia="zh-CN"/>
              </w:rPr>
              <w:t>12</w:t>
            </w:r>
            <w:r>
              <w:rPr>
                <w:rFonts w:hint="default" w:ascii="Times New Roman" w:hAnsi="Times New Roman" w:cs="Times New Roman"/>
                <w:color w:val="000000"/>
                <w:lang w:val="en-US" w:eastAsia="zh-CN"/>
              </w:rPr>
              <w:t>00</w:t>
            </w:r>
            <w:r>
              <w:rPr>
                <w:rFonts w:hint="default" w:ascii="Times New Roman" w:hAnsi="Times New Roman" w:cs="Times New Roman"/>
                <w:color w:val="000000"/>
              </w:rPr>
              <w:t>m</w:t>
            </w:r>
            <w:r>
              <w:rPr>
                <w:rFonts w:hint="default" w:ascii="Times New Roman" w:hAnsi="Times New Roman" w:cs="Times New Roman"/>
                <w:color w:val="000000"/>
                <w:vertAlign w:val="superscript"/>
              </w:rPr>
              <w:t>2</w:t>
            </w:r>
            <w:r>
              <w:rPr>
                <w:rFonts w:hint="default" w:ascii="Times New Roman" w:hAnsi="Times New Roman" w:cs="Times New Roman"/>
                <w:color w:val="000000"/>
              </w:rPr>
              <w:t>，高度约</w:t>
            </w:r>
            <w:r>
              <w:rPr>
                <w:rFonts w:hint="eastAsia" w:cs="Times New Roman"/>
                <w:color w:val="000000"/>
                <w:lang w:val="en-US" w:eastAsia="zh-CN"/>
              </w:rPr>
              <w:t>8.5</w:t>
            </w:r>
            <w:r>
              <w:rPr>
                <w:rFonts w:hint="default" w:ascii="Times New Roman" w:hAnsi="Times New Roman" w:cs="Times New Roman"/>
                <w:color w:val="000000"/>
              </w:rPr>
              <w:t>m，则建筑体积为</w:t>
            </w:r>
            <w:r>
              <w:rPr>
                <w:rFonts w:hint="eastAsia" w:cs="Times New Roman"/>
                <w:color w:val="000000"/>
                <w:lang w:val="en-US" w:eastAsia="zh-CN"/>
              </w:rPr>
              <w:t>10200</w:t>
            </w:r>
            <w:r>
              <w:rPr>
                <w:rFonts w:hint="default" w:ascii="Times New Roman" w:hAnsi="Times New Roman" w:cs="Times New Roman"/>
                <w:color w:val="000000"/>
              </w:rPr>
              <w:t>m</w:t>
            </w:r>
            <w:r>
              <w:rPr>
                <w:rFonts w:hint="default" w:ascii="Times New Roman" w:hAnsi="Times New Roman" w:cs="Times New Roman"/>
                <w:color w:val="000000"/>
                <w:vertAlign w:val="superscript"/>
              </w:rPr>
              <w:t>3</w:t>
            </w:r>
            <w:r>
              <w:rPr>
                <w:rFonts w:hint="default" w:ascii="Times New Roman" w:hAnsi="Times New Roman" w:cs="Times New Roman"/>
                <w:color w:val="000000"/>
              </w:rPr>
              <w:t>，参考《消防给水及消火栓系统技术规范》（GB5097-2014）表3.3.2</w:t>
            </w:r>
            <w:r>
              <w:rPr>
                <w:rFonts w:hint="default" w:ascii="Times New Roman" w:hAnsi="Times New Roman" w:cs="Times New Roman"/>
                <w:color w:val="000000"/>
                <w:lang w:val="en-US" w:eastAsia="zh-CN"/>
              </w:rPr>
              <w:t>丁</w:t>
            </w:r>
            <w:r>
              <w:rPr>
                <w:rFonts w:hint="default" w:ascii="Times New Roman" w:hAnsi="Times New Roman" w:cs="Times New Roman"/>
                <w:color w:val="000000"/>
              </w:rPr>
              <w:t>类厂房建筑体积5000&lt;V&lt;20000m</w:t>
            </w:r>
            <w:r>
              <w:rPr>
                <w:rFonts w:hint="default" w:ascii="Times New Roman" w:hAnsi="Times New Roman" w:cs="Times New Roman"/>
                <w:color w:val="000000"/>
                <w:vertAlign w:val="superscript"/>
              </w:rPr>
              <w:t>3</w:t>
            </w:r>
            <w:r>
              <w:rPr>
                <w:rFonts w:hint="default" w:ascii="Times New Roman" w:hAnsi="Times New Roman" w:cs="Times New Roman"/>
                <w:color w:val="000000"/>
              </w:rPr>
              <w:t>，室外消防用水量按</w:t>
            </w:r>
            <w:r>
              <w:rPr>
                <w:rFonts w:hint="default" w:ascii="Times New Roman" w:hAnsi="Times New Roman" w:cs="Times New Roman"/>
                <w:color w:val="000000"/>
                <w:lang w:val="en-US" w:eastAsia="zh-CN"/>
              </w:rPr>
              <w:t>15</w:t>
            </w:r>
            <w:r>
              <w:rPr>
                <w:rFonts w:hint="default" w:ascii="Times New Roman" w:hAnsi="Times New Roman" w:cs="Times New Roman"/>
                <w:color w:val="000000"/>
              </w:rPr>
              <w:t>L/s，参考表3.6.2丙类厂房消防用水延续时间按</w:t>
            </w:r>
            <w:r>
              <w:rPr>
                <w:rFonts w:hint="default" w:ascii="Times New Roman" w:hAnsi="Times New Roman" w:cs="Times New Roman"/>
                <w:color w:val="000000"/>
                <w:lang w:val="en-US" w:eastAsia="zh-CN"/>
              </w:rPr>
              <w:t>2</w:t>
            </w:r>
            <w:r>
              <w:rPr>
                <w:rFonts w:hint="default" w:ascii="Times New Roman" w:hAnsi="Times New Roman" w:cs="Times New Roman"/>
                <w:color w:val="000000"/>
              </w:rPr>
              <w:t>h计，事故发生时考虑室内室外同时灭火，参考表3.5.2丙类厂房h＜</w:t>
            </w:r>
            <w:r>
              <w:rPr>
                <w:rFonts w:hint="default" w:ascii="Times New Roman" w:hAnsi="Times New Roman" w:cs="Times New Roman"/>
                <w:color w:val="000000"/>
                <w:lang w:val="en-US" w:eastAsia="zh-CN"/>
              </w:rPr>
              <w:t>24</w:t>
            </w:r>
            <w:r>
              <w:rPr>
                <w:rFonts w:hint="default" w:ascii="Times New Roman" w:hAnsi="Times New Roman" w:cs="Times New Roman"/>
                <w:color w:val="000000"/>
              </w:rPr>
              <w:t>，消防栓设计流量为</w:t>
            </w:r>
            <w:r>
              <w:rPr>
                <w:rFonts w:hint="default" w:ascii="Times New Roman" w:hAnsi="Times New Roman" w:cs="Times New Roman"/>
                <w:color w:val="000000"/>
                <w:lang w:val="en-US" w:eastAsia="zh-CN"/>
              </w:rPr>
              <w:t>10</w:t>
            </w:r>
            <w:r>
              <w:rPr>
                <w:rFonts w:hint="default" w:ascii="Times New Roman" w:hAnsi="Times New Roman" w:cs="Times New Roman"/>
                <w:color w:val="000000"/>
              </w:rPr>
              <w:t>L/s，则本项目消防尾水产生量V2=</w:t>
            </w:r>
            <w:r>
              <w:rPr>
                <w:rFonts w:hint="default" w:ascii="Times New Roman" w:hAnsi="Times New Roman" w:cs="Times New Roman"/>
                <w:color w:val="000000"/>
                <w:lang w:val="en-US" w:eastAsia="zh-CN"/>
              </w:rPr>
              <w:t>180</w:t>
            </w:r>
            <w:r>
              <w:rPr>
                <w:rFonts w:hint="default" w:ascii="Times New Roman" w:hAnsi="Times New Roman" w:cs="Times New Roman"/>
                <w:color w:val="000000"/>
              </w:rPr>
              <w:t>m</w:t>
            </w:r>
            <w:r>
              <w:rPr>
                <w:rFonts w:hint="default" w:ascii="Times New Roman" w:hAnsi="Times New Roman" w:cs="Times New Roman"/>
                <w:color w:val="000000"/>
                <w:vertAlign w:val="superscript"/>
              </w:rPr>
              <w:t>3</w:t>
            </w:r>
            <w:r>
              <w:rPr>
                <w:rFonts w:hint="default" w:ascii="Times New Roman" w:hAnsi="Times New Roman" w:cs="Times New Roman"/>
                <w:color w:val="000000"/>
              </w:rPr>
              <w:t>。</w:t>
            </w:r>
          </w:p>
          <w:p>
            <w:pPr>
              <w:spacing w:line="360" w:lineRule="auto"/>
              <w:ind w:firstLine="420" w:firstLineChars="200"/>
              <w:rPr>
                <w:color w:val="000000"/>
              </w:rPr>
            </w:pPr>
            <w:r>
              <w:rPr>
                <w:color w:val="000000"/>
              </w:rPr>
              <w:t>V</w:t>
            </w:r>
            <w:r>
              <w:rPr>
                <w:color w:val="000000"/>
                <w:vertAlign w:val="subscript"/>
              </w:rPr>
              <w:t>3</w:t>
            </w:r>
            <w:r>
              <w:rPr>
                <w:color w:val="000000"/>
              </w:rPr>
              <w:t>——发生事故时可以传输到其他储存或处置设施的物料量，包括事故废水收集系统的装置或罐区围堰、防火堤内净空容量与事故废水导排管道容量之和，m</w:t>
            </w:r>
            <w:r>
              <w:rPr>
                <w:color w:val="000000"/>
                <w:vertAlign w:val="superscript"/>
              </w:rPr>
              <w:t>3</w:t>
            </w:r>
            <w:r>
              <w:rPr>
                <w:color w:val="000000"/>
              </w:rPr>
              <w:t>（V</w:t>
            </w:r>
            <w:r>
              <w:rPr>
                <w:color w:val="000000"/>
                <w:vertAlign w:val="subscript"/>
              </w:rPr>
              <w:t>3</w:t>
            </w:r>
            <w:r>
              <w:rPr>
                <w:rFonts w:hint="eastAsia"/>
                <w:color w:val="000000"/>
                <w:vertAlign w:val="baseline"/>
                <w:lang w:val="en-US" w:eastAsia="zh-CN"/>
              </w:rPr>
              <w:t>取0</w:t>
            </w:r>
            <w:r>
              <w:rPr>
                <w:color w:val="000000"/>
              </w:rPr>
              <w:t>）。</w:t>
            </w:r>
          </w:p>
          <w:p>
            <w:pPr>
              <w:spacing w:line="360" w:lineRule="auto"/>
              <w:ind w:firstLine="420" w:firstLineChars="200"/>
              <w:rPr>
                <w:color w:val="000000"/>
              </w:rPr>
            </w:pPr>
            <w:r>
              <w:rPr>
                <w:color w:val="000000"/>
              </w:rPr>
              <w:t>V</w:t>
            </w:r>
            <w:r>
              <w:rPr>
                <w:color w:val="000000"/>
                <w:vertAlign w:val="subscript"/>
              </w:rPr>
              <w:t>4</w:t>
            </w:r>
            <w:r>
              <w:rPr>
                <w:color w:val="000000"/>
              </w:rPr>
              <w:t>——发生事故时仍必须进入该收集系统的生产废水量，m</w:t>
            </w:r>
            <w:r>
              <w:rPr>
                <w:color w:val="000000"/>
                <w:vertAlign w:val="superscript"/>
              </w:rPr>
              <w:t>3</w:t>
            </w:r>
            <w:r>
              <w:rPr>
                <w:color w:val="000000"/>
              </w:rPr>
              <w:t>（本项目为0m</w:t>
            </w:r>
            <w:r>
              <w:rPr>
                <w:color w:val="000000"/>
                <w:vertAlign w:val="superscript"/>
              </w:rPr>
              <w:t>3</w:t>
            </w:r>
            <w:r>
              <w:rPr>
                <w:color w:val="000000"/>
              </w:rPr>
              <w:t>）。</w:t>
            </w:r>
          </w:p>
          <w:p>
            <w:pPr>
              <w:spacing w:line="360" w:lineRule="auto"/>
              <w:ind w:firstLine="420" w:firstLineChars="200"/>
              <w:rPr>
                <w:color w:val="000000"/>
              </w:rPr>
            </w:pPr>
            <w:r>
              <w:rPr>
                <w:color w:val="000000"/>
              </w:rPr>
              <w:t>V</w:t>
            </w:r>
            <w:r>
              <w:rPr>
                <w:color w:val="000000"/>
                <w:vertAlign w:val="subscript"/>
              </w:rPr>
              <w:t>5</w:t>
            </w:r>
            <w:r>
              <w:rPr>
                <w:color w:val="000000"/>
              </w:rPr>
              <w:t>——发生事故时可能进入该废水收集系统的降雨量，m</w:t>
            </w:r>
            <w:r>
              <w:rPr>
                <w:color w:val="000000"/>
                <w:vertAlign w:val="superscript"/>
              </w:rPr>
              <w:t>3</w:t>
            </w:r>
            <w:r>
              <w:rPr>
                <w:color w:val="000000"/>
              </w:rPr>
              <w:t>。</w:t>
            </w:r>
          </w:p>
          <w:p>
            <w:pPr>
              <w:spacing w:line="360" w:lineRule="auto"/>
              <w:ind w:firstLine="420" w:firstLineChars="200"/>
              <w:rPr>
                <w:bCs/>
              </w:rPr>
            </w:pPr>
            <w:r>
              <w:rPr>
                <w:bCs/>
              </w:rPr>
              <w:t>雨水计算采用如下公式：</w:t>
            </w:r>
          </w:p>
          <w:p>
            <w:pPr>
              <w:widowControl/>
              <w:adjustRightInd w:val="0"/>
              <w:snapToGrid w:val="0"/>
              <w:spacing w:line="360" w:lineRule="auto"/>
              <w:ind w:firstLine="420" w:firstLineChars="200"/>
              <w:jc w:val="center"/>
              <w:rPr>
                <w:color w:val="000000"/>
              </w:rPr>
            </w:pPr>
            <w:r>
              <w:rPr>
                <w:color w:val="000000"/>
              </w:rPr>
              <w:t>V</w:t>
            </w:r>
            <w:r>
              <w:rPr>
                <w:color w:val="000000"/>
                <w:vertAlign w:val="subscript"/>
              </w:rPr>
              <w:t>5</w:t>
            </w:r>
            <w:r>
              <w:rPr>
                <w:color w:val="000000"/>
              </w:rPr>
              <w:t>=10qf</w:t>
            </w:r>
          </w:p>
          <w:p>
            <w:pPr>
              <w:widowControl/>
              <w:adjustRightInd w:val="0"/>
              <w:snapToGrid w:val="0"/>
              <w:spacing w:line="360" w:lineRule="auto"/>
              <w:ind w:firstLine="420" w:firstLineChars="200"/>
              <w:rPr>
                <w:color w:val="000000"/>
              </w:rPr>
            </w:pPr>
            <w:r>
              <w:rPr>
                <w:color w:val="000000"/>
              </w:rPr>
              <w:t>q——降雨强度，mm；按平均日降雨量；</w:t>
            </w:r>
          </w:p>
          <w:p>
            <w:pPr>
              <w:widowControl/>
              <w:adjustRightInd w:val="0"/>
              <w:snapToGrid w:val="0"/>
              <w:spacing w:line="360" w:lineRule="auto"/>
              <w:ind w:firstLine="420" w:firstLineChars="200"/>
              <w:jc w:val="center"/>
              <w:rPr>
                <w:color w:val="000000"/>
              </w:rPr>
            </w:pPr>
            <w:r>
              <w:rPr>
                <w:color w:val="000000"/>
              </w:rPr>
              <w:t>q=q</w:t>
            </w:r>
            <w:r>
              <w:rPr>
                <w:color w:val="000000"/>
                <w:vertAlign w:val="subscript"/>
              </w:rPr>
              <w:t>a</w:t>
            </w:r>
            <w:r>
              <w:rPr>
                <w:color w:val="000000"/>
              </w:rPr>
              <w:t>/n</w:t>
            </w:r>
          </w:p>
          <w:p>
            <w:pPr>
              <w:widowControl/>
              <w:adjustRightInd w:val="0"/>
              <w:snapToGrid w:val="0"/>
              <w:spacing w:line="360" w:lineRule="auto"/>
              <w:ind w:firstLine="420" w:firstLineChars="200"/>
              <w:rPr>
                <w:color w:val="000000"/>
              </w:rPr>
            </w:pPr>
            <w:r>
              <w:rPr>
                <w:color w:val="000000"/>
              </w:rPr>
              <w:t>q</w:t>
            </w:r>
            <w:r>
              <w:rPr>
                <w:color w:val="000000"/>
                <w:vertAlign w:val="subscript"/>
              </w:rPr>
              <w:t>a</w:t>
            </w:r>
            <w:r>
              <w:rPr>
                <w:color w:val="000000"/>
              </w:rPr>
              <w:t>——年平均降雨量，mm；南通市近年年均降水量为1041mm；</w:t>
            </w:r>
          </w:p>
          <w:p>
            <w:pPr>
              <w:widowControl/>
              <w:adjustRightInd w:val="0"/>
              <w:snapToGrid w:val="0"/>
              <w:spacing w:line="360" w:lineRule="auto"/>
              <w:ind w:firstLine="420" w:firstLineChars="200"/>
              <w:rPr>
                <w:color w:val="000000"/>
              </w:rPr>
            </w:pPr>
            <w:r>
              <w:rPr>
                <w:color w:val="000000"/>
              </w:rPr>
              <w:t>n——年平均降雨日数，南通市年降水天数在127天左右。</w:t>
            </w:r>
          </w:p>
          <w:p>
            <w:pPr>
              <w:widowControl/>
              <w:adjustRightInd w:val="0"/>
              <w:snapToGrid w:val="0"/>
              <w:spacing w:line="360" w:lineRule="auto"/>
              <w:ind w:firstLine="420" w:firstLineChars="200"/>
              <w:rPr>
                <w:color w:val="000000"/>
              </w:rPr>
            </w:pPr>
            <w:r>
              <w:rPr>
                <w:color w:val="000000"/>
              </w:rPr>
              <w:t>f——必须进入事故废水收集系统的雨水汇水面积</w:t>
            </w:r>
            <w:r>
              <w:rPr>
                <w:rFonts w:hint="eastAsia"/>
                <w:color w:val="000000"/>
                <w:lang w:eastAsia="zh-CN"/>
              </w:rPr>
              <w:t>（</w:t>
            </w:r>
            <w:r>
              <w:rPr>
                <w:rFonts w:hint="eastAsia"/>
                <w:color w:val="000000"/>
                <w:lang w:val="en-US" w:eastAsia="zh-CN"/>
              </w:rPr>
              <w:t>华胜全厂面积13674m</w:t>
            </w:r>
            <w:r>
              <w:rPr>
                <w:rFonts w:hint="eastAsia"/>
                <w:color w:val="000000"/>
                <w:vertAlign w:val="superscript"/>
                <w:lang w:val="en-US" w:eastAsia="zh-CN"/>
              </w:rPr>
              <w:t>2</w:t>
            </w:r>
            <w:r>
              <w:rPr>
                <w:rFonts w:hint="eastAsia"/>
                <w:color w:val="000000"/>
                <w:lang w:eastAsia="zh-CN"/>
              </w:rPr>
              <w:t>）</w:t>
            </w:r>
            <w:r>
              <w:rPr>
                <w:color w:val="000000"/>
              </w:rPr>
              <w:t>，绿化率为</w:t>
            </w:r>
            <w:r>
              <w:rPr>
                <w:rFonts w:hint="eastAsia"/>
                <w:color w:val="000000"/>
                <w:lang w:val="en-US" w:eastAsia="zh-CN"/>
              </w:rPr>
              <w:t>4</w:t>
            </w:r>
            <w:r>
              <w:rPr>
                <w:color w:val="000000"/>
              </w:rPr>
              <w:t>%，则绿化面积为</w:t>
            </w:r>
            <w:r>
              <w:rPr>
                <w:rFonts w:hint="eastAsia"/>
                <w:color w:val="000000"/>
                <w:lang w:val="en-US" w:eastAsia="zh-CN"/>
              </w:rPr>
              <w:t>547</w:t>
            </w:r>
            <w:r>
              <w:rPr>
                <w:color w:val="000000"/>
              </w:rPr>
              <w:t>m</w:t>
            </w:r>
            <w:r>
              <w:rPr>
                <w:color w:val="000000"/>
                <w:vertAlign w:val="superscript"/>
              </w:rPr>
              <w:t>2</w:t>
            </w:r>
            <w:r>
              <w:rPr>
                <w:color w:val="000000"/>
              </w:rPr>
              <w:t>，则汇水面积为</w:t>
            </w:r>
            <w:r>
              <w:rPr>
                <w:rFonts w:hint="eastAsia"/>
                <w:color w:val="000000"/>
                <w:lang w:val="en-US" w:eastAsia="zh-CN"/>
              </w:rPr>
              <w:t>13127</w:t>
            </w:r>
            <w:r>
              <w:rPr>
                <w:color w:val="000000"/>
              </w:rPr>
              <w:t>m</w:t>
            </w:r>
            <w:r>
              <w:rPr>
                <w:color w:val="000000"/>
                <w:vertAlign w:val="superscript"/>
              </w:rPr>
              <w:t>2</w:t>
            </w:r>
            <w:r>
              <w:rPr>
                <w:color w:val="000000"/>
              </w:rPr>
              <w:t>，则汇水面积为</w:t>
            </w:r>
            <w:r>
              <w:rPr>
                <w:rFonts w:hint="eastAsia"/>
                <w:color w:val="000000"/>
                <w:lang w:val="en-US" w:eastAsia="zh-CN"/>
              </w:rPr>
              <w:t>1.312</w:t>
            </w:r>
            <w:r>
              <w:rPr>
                <w:color w:val="000000"/>
              </w:rPr>
              <w:t>ha）；</w:t>
            </w:r>
          </w:p>
          <w:p>
            <w:pPr>
              <w:widowControl/>
              <w:adjustRightInd w:val="0"/>
              <w:snapToGrid w:val="0"/>
              <w:spacing w:line="360" w:lineRule="auto"/>
              <w:ind w:firstLine="420" w:firstLineChars="200"/>
              <w:rPr>
                <w:color w:val="000000"/>
              </w:rPr>
            </w:pPr>
            <w:r>
              <w:rPr>
                <w:color w:val="000000"/>
              </w:rPr>
              <w:t>据调查项目必须收集的雨水约为V</w:t>
            </w:r>
            <w:r>
              <w:rPr>
                <w:color w:val="000000"/>
                <w:vertAlign w:val="subscript"/>
              </w:rPr>
              <w:t>5</w:t>
            </w:r>
            <w:r>
              <w:rPr>
                <w:color w:val="000000"/>
              </w:rPr>
              <w:t>=</w:t>
            </w:r>
            <w:r>
              <w:rPr>
                <w:rFonts w:hint="eastAsia"/>
                <w:color w:val="000000"/>
                <w:lang w:val="en-US" w:eastAsia="zh-CN"/>
              </w:rPr>
              <w:t>107.5</w:t>
            </w:r>
            <w:r>
              <w:rPr>
                <w:color w:val="000000"/>
              </w:rPr>
              <w:t>m</w:t>
            </w:r>
            <w:r>
              <w:rPr>
                <w:color w:val="000000"/>
                <w:vertAlign w:val="superscript"/>
              </w:rPr>
              <w:t>3</w:t>
            </w:r>
            <w:r>
              <w:rPr>
                <w:color w:val="000000"/>
              </w:rPr>
              <w:t>。</w:t>
            </w:r>
          </w:p>
          <w:p>
            <w:pPr>
              <w:spacing w:line="360" w:lineRule="auto"/>
              <w:ind w:firstLine="420" w:firstLineChars="200"/>
              <w:rPr>
                <w:color w:val="000000"/>
              </w:rPr>
            </w:pPr>
            <w:r>
              <w:rPr>
                <w:color w:val="000000"/>
              </w:rPr>
              <w:t>因此，V总=（0+</w:t>
            </w:r>
            <w:r>
              <w:rPr>
                <w:rFonts w:hint="eastAsia"/>
                <w:color w:val="000000"/>
                <w:lang w:val="en-US" w:eastAsia="zh-CN"/>
              </w:rPr>
              <w:t>180-0</w:t>
            </w:r>
            <w:r>
              <w:rPr>
                <w:color w:val="000000"/>
              </w:rPr>
              <w:t>）+0+</w:t>
            </w:r>
            <w:r>
              <w:rPr>
                <w:rFonts w:hint="eastAsia"/>
                <w:color w:val="000000"/>
                <w:lang w:val="en-US" w:eastAsia="zh-CN"/>
              </w:rPr>
              <w:t>107.5</w:t>
            </w:r>
            <w:r>
              <w:rPr>
                <w:color w:val="000000"/>
              </w:rPr>
              <w:t>=</w:t>
            </w:r>
            <w:r>
              <w:rPr>
                <w:rFonts w:hint="eastAsia"/>
                <w:color w:val="000000"/>
                <w:lang w:val="en-US" w:eastAsia="zh-CN"/>
              </w:rPr>
              <w:t>287.5</w:t>
            </w:r>
            <w:r>
              <w:rPr>
                <w:color w:val="000000"/>
              </w:rPr>
              <w:t>m</w:t>
            </w:r>
            <w:r>
              <w:rPr>
                <w:color w:val="000000"/>
                <w:vertAlign w:val="superscript"/>
              </w:rPr>
              <w:t>3</w:t>
            </w:r>
          </w:p>
          <w:p>
            <w:pPr>
              <w:tabs>
                <w:tab w:val="left" w:pos="7215"/>
              </w:tabs>
              <w:adjustRightInd w:val="0"/>
              <w:snapToGrid w:val="0"/>
              <w:spacing w:line="360" w:lineRule="auto"/>
              <w:ind w:firstLine="420" w:firstLineChars="200"/>
              <w:rPr>
                <w:rFonts w:hint="eastAsia"/>
              </w:rPr>
            </w:pPr>
            <w:r>
              <w:rPr>
                <w:rFonts w:hint="eastAsia"/>
                <w:lang w:val="en-US" w:eastAsia="zh-CN"/>
              </w:rPr>
              <w:t>本项目需</w:t>
            </w:r>
            <w:r>
              <w:t>设置一个</w:t>
            </w:r>
            <w:r>
              <w:rPr>
                <w:rFonts w:hint="eastAsia"/>
                <w:lang w:val="en-US" w:eastAsia="zh-CN"/>
              </w:rPr>
              <w:t>288</w:t>
            </w:r>
            <w:r>
              <w:t>m</w:t>
            </w:r>
            <w:r>
              <w:rPr>
                <w:vertAlign w:val="superscript"/>
              </w:rPr>
              <w:t>3</w:t>
            </w:r>
            <w:r>
              <w:t>容积</w:t>
            </w:r>
            <w:r>
              <w:rPr>
                <w:rFonts w:hint="eastAsia"/>
                <w:lang w:val="en-US" w:eastAsia="zh-CN"/>
              </w:rPr>
              <w:t>的</w:t>
            </w:r>
            <w:r>
              <w:t>事故应急池</w:t>
            </w:r>
            <w:r>
              <w:rPr>
                <w:rFonts w:hint="eastAsia"/>
                <w:lang w:eastAsia="zh-CN"/>
              </w:rPr>
              <w:t>，</w:t>
            </w:r>
            <w:r>
              <w:rPr>
                <w:rFonts w:hint="eastAsia"/>
                <w:lang w:val="en-US" w:eastAsia="zh-CN"/>
              </w:rPr>
              <w:t>华胜公司已建立一座170</w:t>
            </w:r>
            <w:r>
              <w:t>m</w:t>
            </w:r>
            <w:r>
              <w:rPr>
                <w:vertAlign w:val="superscript"/>
              </w:rPr>
              <w:t>3</w:t>
            </w:r>
            <w:r>
              <w:t>事故</w:t>
            </w:r>
            <w:r>
              <w:rPr>
                <w:rFonts w:hint="eastAsia"/>
                <w:lang w:val="en-US" w:eastAsia="zh-CN"/>
              </w:rPr>
              <w:t>应急</w:t>
            </w:r>
            <w:r>
              <w:t>池</w:t>
            </w:r>
            <w:r>
              <w:rPr>
                <w:rFonts w:hint="eastAsia"/>
                <w:lang w:val="en-US" w:eastAsia="zh-CN"/>
              </w:rPr>
              <w:t>和一座240</w:t>
            </w:r>
            <w:r>
              <w:t>m</w:t>
            </w:r>
            <w:r>
              <w:rPr>
                <w:vertAlign w:val="superscript"/>
              </w:rPr>
              <w:t>3</w:t>
            </w:r>
            <w:r>
              <w:rPr>
                <w:rFonts w:hint="eastAsia"/>
                <w:lang w:val="en-US" w:eastAsia="zh-CN"/>
              </w:rPr>
              <w:t>初期雨水</w:t>
            </w:r>
            <w:r>
              <w:t>池</w:t>
            </w:r>
            <w:r>
              <w:rPr>
                <w:rFonts w:hint="eastAsia"/>
                <w:lang w:eastAsia="zh-CN"/>
              </w:rPr>
              <w:t>，</w:t>
            </w:r>
            <w:r>
              <w:rPr>
                <w:rFonts w:hint="eastAsia" w:ascii="Times New Roman" w:hAnsi="Times New Roman" w:eastAsia="宋体" w:cs="Times New Roman"/>
                <w:lang w:val="en-US" w:eastAsia="zh-CN"/>
              </w:rPr>
              <w:t>初期雨水池兼用事故应急池，总容积410m</w:t>
            </w:r>
            <w:r>
              <w:rPr>
                <w:rFonts w:hint="eastAsia" w:ascii="Times New Roman" w:hAnsi="Times New Roman" w:eastAsia="宋体" w:cs="Times New Roman"/>
                <w:vertAlign w:val="superscript"/>
                <w:lang w:val="en-US" w:eastAsia="zh-CN"/>
              </w:rPr>
              <w:t>3</w:t>
            </w:r>
            <w:r>
              <w:rPr>
                <w:rFonts w:hint="eastAsia" w:ascii="Times New Roman" w:hAnsi="Times New Roman" w:eastAsia="宋体" w:cs="Times New Roman"/>
                <w:lang w:val="en-US" w:eastAsia="zh-CN"/>
              </w:rPr>
              <w:t>可满足评估条件下单次最大事故废水收集需求。</w:t>
            </w:r>
          </w:p>
          <w:p>
            <w:pPr>
              <w:pStyle w:val="47"/>
              <w:adjustRightInd w:val="0"/>
              <w:snapToGrid w:val="0"/>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华胜公司雨污水排口见图2-8。</w:t>
            </w:r>
          </w:p>
          <w:p>
            <w:pPr>
              <w:pStyle w:val="47"/>
              <w:adjustRightInd w:val="0"/>
              <w:snapToGrid w:val="0"/>
              <w:spacing w:line="360" w:lineRule="auto"/>
              <w:ind w:firstLine="420" w:firstLineChars="20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drawing>
                <wp:inline distT="0" distB="0" distL="114300" distR="114300">
                  <wp:extent cx="1950085" cy="2602230"/>
                  <wp:effectExtent l="0" t="0" r="12065" b="7620"/>
                  <wp:docPr id="15" name="图片 15" descr="652e9667206329184b3c7c085b4abd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52e9667206329184b3c7c085b4abd5d"/>
                          <pic:cNvPicPr>
                            <a:picLocks noChangeAspect="1"/>
                          </pic:cNvPicPr>
                        </pic:nvPicPr>
                        <pic:blipFill>
                          <a:blip r:embed="rId25"/>
                          <a:stretch>
                            <a:fillRect/>
                          </a:stretch>
                        </pic:blipFill>
                        <pic:spPr>
                          <a:xfrm>
                            <a:off x="0" y="0"/>
                            <a:ext cx="1950085" cy="2602230"/>
                          </a:xfrm>
                          <a:prstGeom prst="rect">
                            <a:avLst/>
                          </a:prstGeom>
                        </pic:spPr>
                      </pic:pic>
                    </a:graphicData>
                  </a:graphic>
                </wp:inline>
              </w:drawing>
            </w:r>
            <w:r>
              <w:rPr>
                <w:rFonts w:hint="eastAsia" w:ascii="Times New Roman" w:hAnsi="Times New Roman" w:cs="Times New Roman"/>
                <w:color w:val="auto"/>
                <w:sz w:val="21"/>
                <w:szCs w:val="21"/>
                <w:lang w:val="en-US" w:eastAsia="zh-CN"/>
              </w:rPr>
              <w:t xml:space="preserve">              </w:t>
            </w:r>
            <w:r>
              <w:rPr>
                <w:rFonts w:hint="eastAsia" w:ascii="Times New Roman" w:hAnsi="Times New Roman" w:eastAsia="宋体" w:cs="Times New Roman"/>
                <w:color w:val="auto"/>
                <w:sz w:val="21"/>
                <w:szCs w:val="21"/>
                <w:lang w:val="en-US" w:eastAsia="zh-CN"/>
              </w:rPr>
              <w:drawing>
                <wp:inline distT="0" distB="0" distL="114300" distR="114300">
                  <wp:extent cx="1955800" cy="2607945"/>
                  <wp:effectExtent l="0" t="0" r="6350" b="1905"/>
                  <wp:docPr id="16" name="图片 16" descr="a2a52902085ddbaec8cba2e7657765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2a52902085ddbaec8cba2e7657765ae"/>
                          <pic:cNvPicPr>
                            <a:picLocks noChangeAspect="1"/>
                          </pic:cNvPicPr>
                        </pic:nvPicPr>
                        <pic:blipFill>
                          <a:blip r:embed="rId26"/>
                          <a:stretch>
                            <a:fillRect/>
                          </a:stretch>
                        </pic:blipFill>
                        <pic:spPr>
                          <a:xfrm>
                            <a:off x="0" y="0"/>
                            <a:ext cx="1955800" cy="2607945"/>
                          </a:xfrm>
                          <a:prstGeom prst="rect">
                            <a:avLst/>
                          </a:prstGeom>
                        </pic:spPr>
                      </pic:pic>
                    </a:graphicData>
                  </a:graphic>
                </wp:inline>
              </w:drawing>
            </w:r>
          </w:p>
          <w:p>
            <w:pPr>
              <w:pStyle w:val="47"/>
              <w:adjustRightInd w:val="0"/>
              <w:snapToGrid w:val="0"/>
              <w:spacing w:line="360" w:lineRule="auto"/>
              <w:jc w:val="center"/>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图2-8 华胜公司污水排口和雨水排口图</w:t>
            </w:r>
          </w:p>
          <w:p>
            <w:pPr>
              <w:pStyle w:val="47"/>
              <w:adjustRightInd w:val="0"/>
              <w:snapToGrid w:val="0"/>
              <w:spacing w:line="360" w:lineRule="auto"/>
              <w:ind w:firstLine="420" w:firstLineChars="20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③污水处理站</w:t>
            </w:r>
          </w:p>
          <w:p>
            <w:pPr>
              <w:pStyle w:val="47"/>
              <w:adjustRightInd w:val="0"/>
              <w:snapToGrid w:val="0"/>
              <w:spacing w:line="360" w:lineRule="auto"/>
              <w:ind w:firstLine="420" w:firstLineChars="200"/>
              <w:jc w:val="left"/>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华胜公司生活污水经华胜化粪池处理与生产废水经华胜污水处理站处理达标后一并接管至如皋市九华镇污水处理厂。</w:t>
            </w:r>
          </w:p>
          <w:p>
            <w:pPr>
              <w:pStyle w:val="47"/>
              <w:adjustRightInd w:val="0"/>
              <w:snapToGrid w:val="0"/>
              <w:spacing w:line="360" w:lineRule="auto"/>
              <w:ind w:firstLine="420" w:firstLineChars="200"/>
              <w:jc w:val="left"/>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华胜公司废水处理系统具体处理工艺流程见图2-</w:t>
            </w:r>
            <w:r>
              <w:rPr>
                <w:rFonts w:hint="eastAsia" w:ascii="Times New Roman" w:hAnsi="Times New Roman"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w:t>
            </w:r>
          </w:p>
          <w:p>
            <w:pPr>
              <w:pStyle w:val="3718"/>
              <w:spacing w:line="240" w:lineRule="auto"/>
              <w:ind w:firstLine="0"/>
              <w:jc w:val="center"/>
              <w:rPr>
                <w:rFonts w:hint="eastAsia" w:eastAsia="宋体"/>
                <w:color w:val="auto"/>
                <w:lang w:eastAsia="zh-CN"/>
              </w:rPr>
            </w:pPr>
            <w:r>
              <w:rPr>
                <w:color w:val="auto"/>
              </w:rPr>
              <w:object>
                <v:shape id="_x0000_i1027" o:spt="75" type="#_x0000_t75" style="height:367pt;width:312.3pt;" o:ole="t" filled="f" o:preferrelative="t" stroked="f" coordsize="21600,21600">
                  <v:path/>
                  <v:fill on="f" focussize="0,0"/>
                  <v:stroke on="f"/>
                  <v:imagedata r:id="rId28" o:title=""/>
                  <o:lock v:ext="edit" aspectratio="f"/>
                  <w10:wrap type="none"/>
                  <w10:anchorlock/>
                </v:shape>
                <o:OLEObject Type="Embed" ProgID="Visio.Drawing.15" ShapeID="_x0000_i1027" DrawAspect="Content" ObjectID="_1468075730" r:id="rId27">
                  <o:LockedField>false</o:LockedField>
                </o:OLEObject>
              </w:object>
            </w:r>
          </w:p>
          <w:p>
            <w:pPr>
              <w:adjustRightInd w:val="0"/>
              <w:snapToGrid w:val="0"/>
              <w:spacing w:before="120" w:beforeLines="50"/>
              <w:jc w:val="center"/>
              <w:rPr>
                <w:b/>
                <w:color w:val="auto"/>
              </w:rPr>
            </w:pPr>
            <w:r>
              <w:rPr>
                <w:b/>
                <w:color w:val="auto"/>
              </w:rPr>
              <w:t>图</w:t>
            </w:r>
            <w:r>
              <w:rPr>
                <w:rFonts w:hint="eastAsia"/>
                <w:b/>
                <w:color w:val="auto"/>
                <w:lang w:val="en-US" w:eastAsia="zh-CN"/>
              </w:rPr>
              <w:t>2-9</w:t>
            </w:r>
            <w:r>
              <w:rPr>
                <w:rFonts w:hint="eastAsia"/>
                <w:b/>
                <w:color w:val="auto"/>
              </w:rPr>
              <w:t xml:space="preserve"> </w:t>
            </w:r>
            <w:r>
              <w:rPr>
                <w:rFonts w:hint="eastAsia"/>
                <w:b/>
                <w:color w:val="auto"/>
                <w:lang w:val="en-US" w:eastAsia="zh-CN"/>
              </w:rPr>
              <w:t>华胜公司</w:t>
            </w:r>
            <w:r>
              <w:rPr>
                <w:b/>
                <w:color w:val="auto"/>
              </w:rPr>
              <w:t>废水处理系统工艺流程图</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cs="Times New Roman"/>
                <w:color w:val="000000"/>
                <w:lang w:val="en-US" w:eastAsia="zh-CN"/>
              </w:rPr>
            </w:pPr>
            <w:r>
              <w:rPr>
                <w:rFonts w:hint="eastAsia" w:cs="Times New Roman"/>
                <w:color w:val="000000"/>
                <w:lang w:val="en-US" w:eastAsia="zh-CN"/>
              </w:rPr>
              <w:t>华胜公司污水处理站情况见图2-10。</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lang w:val="en-US" w:eastAsia="zh-CN"/>
              </w:rPr>
            </w:pPr>
            <w:r>
              <w:rPr>
                <w:rFonts w:hint="eastAsia" w:eastAsia="宋体"/>
                <w:color w:val="auto"/>
                <w:lang w:eastAsia="zh-CN"/>
              </w:rPr>
              <w:drawing>
                <wp:anchor distT="0" distB="0" distL="114300" distR="114300" simplePos="0" relativeHeight="251660288" behindDoc="0" locked="0" layoutInCell="1" allowOverlap="1">
                  <wp:simplePos x="0" y="0"/>
                  <wp:positionH relativeFrom="column">
                    <wp:posOffset>2657475</wp:posOffset>
                  </wp:positionH>
                  <wp:positionV relativeFrom="paragraph">
                    <wp:posOffset>117475</wp:posOffset>
                  </wp:positionV>
                  <wp:extent cx="2410460" cy="1807210"/>
                  <wp:effectExtent l="0" t="0" r="8890" b="2540"/>
                  <wp:wrapNone/>
                  <wp:docPr id="14" name="图片 14" descr="d2389b5490ea60df419628d4c7a18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2389b5490ea60df419628d4c7a18f6e"/>
                          <pic:cNvPicPr>
                            <a:picLocks noChangeAspect="1"/>
                          </pic:cNvPicPr>
                        </pic:nvPicPr>
                        <pic:blipFill>
                          <a:blip r:embed="rId29"/>
                          <a:stretch>
                            <a:fillRect/>
                          </a:stretch>
                        </pic:blipFill>
                        <pic:spPr>
                          <a:xfrm>
                            <a:off x="0" y="0"/>
                            <a:ext cx="2410460" cy="1807210"/>
                          </a:xfrm>
                          <a:prstGeom prst="rect">
                            <a:avLst/>
                          </a:prstGeom>
                        </pic:spPr>
                      </pic:pic>
                    </a:graphicData>
                  </a:graphic>
                </wp:anchor>
              </w:drawing>
            </w:r>
            <w:r>
              <w:rPr>
                <w:rFonts w:hint="eastAsia" w:eastAsia="宋体"/>
                <w:color w:val="auto"/>
                <w:lang w:eastAsia="zh-CN"/>
              </w:rPr>
              <w:drawing>
                <wp:anchor distT="0" distB="0" distL="114300" distR="114300" simplePos="0" relativeHeight="251661312" behindDoc="0" locked="0" layoutInCell="1" allowOverlap="1">
                  <wp:simplePos x="0" y="0"/>
                  <wp:positionH relativeFrom="column">
                    <wp:posOffset>95250</wp:posOffset>
                  </wp:positionH>
                  <wp:positionV relativeFrom="paragraph">
                    <wp:posOffset>117475</wp:posOffset>
                  </wp:positionV>
                  <wp:extent cx="2408555" cy="1805940"/>
                  <wp:effectExtent l="0" t="0" r="10795" b="3810"/>
                  <wp:wrapNone/>
                  <wp:docPr id="13" name="图片 13" descr="6ce4ae8b1ecdb791204ceaf4dfefbe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ce4ae8b1ecdb791204ceaf4dfefbee2"/>
                          <pic:cNvPicPr>
                            <a:picLocks noChangeAspect="1"/>
                          </pic:cNvPicPr>
                        </pic:nvPicPr>
                        <pic:blipFill>
                          <a:blip r:embed="rId30"/>
                          <a:stretch>
                            <a:fillRect/>
                          </a:stretch>
                        </pic:blipFill>
                        <pic:spPr>
                          <a:xfrm>
                            <a:off x="0" y="0"/>
                            <a:ext cx="2408555" cy="1805940"/>
                          </a:xfrm>
                          <a:prstGeom prst="rect">
                            <a:avLst/>
                          </a:prstGeom>
                        </pic:spPr>
                      </pic:pic>
                    </a:graphicData>
                  </a:graphic>
                </wp:anchor>
              </w:drawing>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000000"/>
                <w:lang w:val="en-US" w:eastAsia="zh-CN"/>
              </w:rPr>
            </w:pPr>
          </w:p>
          <w:p>
            <w:pPr>
              <w:adjustRightInd w:val="0"/>
              <w:snapToGrid w:val="0"/>
              <w:spacing w:before="120" w:beforeLines="50"/>
              <w:jc w:val="center"/>
              <w:rPr>
                <w:rFonts w:hint="default" w:ascii="Times New Roman" w:hAnsi="Times New Roman" w:eastAsia="宋体" w:cs="Times New Roman"/>
                <w:color w:val="000000"/>
                <w:lang w:val="en-US" w:eastAsia="zh-CN"/>
              </w:rPr>
            </w:pPr>
            <w:r>
              <w:rPr>
                <w:b/>
                <w:color w:val="auto"/>
              </w:rPr>
              <w:t>图</w:t>
            </w:r>
            <w:r>
              <w:rPr>
                <w:rFonts w:hint="eastAsia"/>
                <w:b/>
                <w:color w:val="auto"/>
                <w:lang w:val="en-US" w:eastAsia="zh-CN"/>
              </w:rPr>
              <w:t xml:space="preserve">2-10 </w:t>
            </w:r>
            <w:r>
              <w:rPr>
                <w:rFonts w:hint="eastAsia"/>
                <w:b/>
                <w:color w:val="auto"/>
              </w:rPr>
              <w:t xml:space="preserve"> </w:t>
            </w:r>
            <w:r>
              <w:rPr>
                <w:rFonts w:hint="eastAsia"/>
                <w:b/>
                <w:color w:val="auto"/>
                <w:lang w:val="en-US" w:eastAsia="zh-CN"/>
              </w:rPr>
              <w:t>华胜公司污水</w:t>
            </w:r>
            <w:r>
              <w:rPr>
                <w:b/>
                <w:color w:val="auto"/>
              </w:rPr>
              <w:t>处理</w:t>
            </w:r>
            <w:r>
              <w:rPr>
                <w:rFonts w:hint="eastAsia"/>
                <w:b/>
                <w:color w:val="auto"/>
                <w:lang w:val="en-US" w:eastAsia="zh-CN"/>
              </w:rPr>
              <w:t>站</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根据华胜公司202</w:t>
            </w:r>
            <w:r>
              <w:rPr>
                <w:rFonts w:hint="eastAsia" w:cs="Times New Roman"/>
                <w:color w:val="FF0000"/>
                <w:lang w:val="en-US" w:eastAsia="zh-CN"/>
              </w:rPr>
              <w:t>6</w:t>
            </w:r>
            <w:r>
              <w:rPr>
                <w:rFonts w:hint="eastAsia" w:ascii="Times New Roman" w:hAnsi="Times New Roman" w:eastAsia="宋体" w:cs="Times New Roman"/>
                <w:color w:val="FF0000"/>
                <w:lang w:val="en-US" w:eastAsia="zh-CN"/>
              </w:rPr>
              <w:t>年例行监测报告（（202</w:t>
            </w:r>
            <w:r>
              <w:rPr>
                <w:rFonts w:hint="eastAsia" w:cs="Times New Roman"/>
                <w:color w:val="FF0000"/>
                <w:lang w:val="en-US" w:eastAsia="zh-CN"/>
              </w:rPr>
              <w:t>6</w:t>
            </w:r>
            <w:r>
              <w:rPr>
                <w:rFonts w:hint="eastAsia" w:ascii="Times New Roman" w:hAnsi="Times New Roman" w:eastAsia="宋体" w:cs="Times New Roman"/>
                <w:color w:val="FF0000"/>
                <w:lang w:val="en-US" w:eastAsia="zh-CN"/>
              </w:rPr>
              <w:t>）恒安（</w:t>
            </w:r>
            <w:r>
              <w:rPr>
                <w:rFonts w:hint="eastAsia" w:cs="Times New Roman"/>
                <w:color w:val="FF0000"/>
                <w:lang w:val="en-US" w:eastAsia="zh-CN"/>
              </w:rPr>
              <w:t>综</w:t>
            </w:r>
            <w:r>
              <w:rPr>
                <w:rFonts w:hint="eastAsia" w:ascii="Times New Roman" w:hAnsi="Times New Roman" w:eastAsia="宋体" w:cs="Times New Roman"/>
                <w:color w:val="FF0000"/>
                <w:lang w:val="en-US" w:eastAsia="zh-CN"/>
              </w:rPr>
              <w:t>）字第（</w:t>
            </w:r>
            <w:r>
              <w:rPr>
                <w:rFonts w:hint="eastAsia" w:cs="Times New Roman"/>
                <w:color w:val="FF0000"/>
                <w:lang w:val="en-US" w:eastAsia="zh-CN"/>
              </w:rPr>
              <w:t>025</w:t>
            </w:r>
            <w:r>
              <w:rPr>
                <w:rFonts w:hint="eastAsia" w:ascii="Times New Roman" w:hAnsi="Times New Roman" w:eastAsia="宋体" w:cs="Times New Roman"/>
                <w:color w:val="FF0000"/>
                <w:lang w:val="en-US" w:eastAsia="zh-CN"/>
              </w:rPr>
              <w:t>）号</w:t>
            </w:r>
            <w:r>
              <w:rPr>
                <w:rFonts w:hint="eastAsia" w:cs="Times New Roman"/>
                <w:color w:val="FF0000"/>
                <w:lang w:val="en-US" w:eastAsia="zh-CN"/>
              </w:rPr>
              <w:t>和</w:t>
            </w:r>
            <w:r>
              <w:rPr>
                <w:rFonts w:hint="eastAsia" w:ascii="Times New Roman" w:hAnsi="Times New Roman" w:eastAsia="宋体" w:cs="Times New Roman"/>
                <w:color w:val="FF0000"/>
                <w:lang w:val="en-US" w:eastAsia="zh-CN"/>
              </w:rPr>
              <w:t>（202</w:t>
            </w:r>
            <w:r>
              <w:rPr>
                <w:rFonts w:hint="eastAsia" w:cs="Times New Roman"/>
                <w:color w:val="FF0000"/>
                <w:lang w:val="en-US" w:eastAsia="zh-CN"/>
              </w:rPr>
              <w:t>6</w:t>
            </w:r>
            <w:r>
              <w:rPr>
                <w:rFonts w:hint="eastAsia" w:ascii="Times New Roman" w:hAnsi="Times New Roman" w:eastAsia="宋体" w:cs="Times New Roman"/>
                <w:color w:val="FF0000"/>
                <w:lang w:val="en-US" w:eastAsia="zh-CN"/>
              </w:rPr>
              <w:t>）恒安（水）字第（</w:t>
            </w:r>
            <w:r>
              <w:rPr>
                <w:rFonts w:hint="eastAsia" w:cs="Times New Roman"/>
                <w:color w:val="FF0000"/>
                <w:lang w:val="en-US" w:eastAsia="zh-CN"/>
              </w:rPr>
              <w:t>066</w:t>
            </w:r>
            <w:r>
              <w:rPr>
                <w:rFonts w:hint="eastAsia" w:ascii="Times New Roman" w:hAnsi="Times New Roman" w:eastAsia="宋体" w:cs="Times New Roman"/>
                <w:color w:val="FF0000"/>
                <w:lang w:val="en-US" w:eastAsia="zh-CN"/>
              </w:rPr>
              <w:t>）号），废水排放情况见表2-1</w:t>
            </w:r>
            <w:r>
              <w:rPr>
                <w:rFonts w:hint="eastAsia" w:cs="Times New Roman"/>
                <w:color w:val="FF0000"/>
                <w:lang w:val="en-US" w:eastAsia="zh-CN"/>
              </w:rPr>
              <w:t>2</w:t>
            </w:r>
            <w:r>
              <w:rPr>
                <w:rFonts w:hint="eastAsia" w:ascii="Times New Roman" w:hAnsi="Times New Roman" w:eastAsia="宋体" w:cs="Times New Roman"/>
                <w:color w:val="FF0000"/>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宋体" w:cs="Times New Roman"/>
                <w:b/>
                <w:bCs/>
                <w:color w:val="FF0000"/>
                <w:lang w:val="en-US" w:eastAsia="zh-CN"/>
              </w:rPr>
            </w:pPr>
            <w:r>
              <w:rPr>
                <w:rFonts w:hint="eastAsia" w:ascii="Times New Roman" w:hAnsi="Times New Roman" w:eastAsia="宋体" w:cs="Times New Roman"/>
                <w:b/>
                <w:bCs/>
                <w:color w:val="FF0000"/>
                <w:lang w:val="en-US" w:eastAsia="zh-CN"/>
              </w:rPr>
              <w:t>表 2-1</w:t>
            </w:r>
            <w:r>
              <w:rPr>
                <w:rFonts w:hint="eastAsia" w:cs="Times New Roman"/>
                <w:b/>
                <w:bCs/>
                <w:color w:val="FF0000"/>
                <w:lang w:val="en-US" w:eastAsia="zh-CN"/>
              </w:rPr>
              <w:t xml:space="preserve">2 </w:t>
            </w:r>
            <w:r>
              <w:rPr>
                <w:rFonts w:hint="eastAsia" w:ascii="Times New Roman" w:hAnsi="Times New Roman" w:eastAsia="宋体" w:cs="Times New Roman"/>
                <w:b/>
                <w:bCs/>
                <w:color w:val="FF0000"/>
                <w:lang w:val="en-US" w:eastAsia="zh-CN"/>
              </w:rPr>
              <w:t xml:space="preserve"> 废水排放监测结果与评价</w:t>
            </w:r>
          </w:p>
          <w:tbl>
            <w:tblPr>
              <w:tblStyle w:val="90"/>
              <w:tblW w:w="8197" w:type="dxa"/>
              <w:tblInd w:w="5"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62"/>
              <w:gridCol w:w="905"/>
              <w:gridCol w:w="1052"/>
              <w:gridCol w:w="863"/>
              <w:gridCol w:w="965"/>
              <w:gridCol w:w="965"/>
              <w:gridCol w:w="965"/>
              <w:gridCol w:w="799"/>
              <w:gridCol w:w="721"/>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0" w:hRule="atLeast"/>
              </w:trPr>
              <w:tc>
                <w:tcPr>
                  <w:tcW w:w="962" w:type="dxa"/>
                  <w:vMerge w:val="restart"/>
                  <w:noWrap w:val="0"/>
                  <w:vAlign w:val="center"/>
                </w:tcPr>
                <w:p>
                  <w:pPr>
                    <w:adjustRightInd w:val="0"/>
                    <w:snapToGrid w:val="0"/>
                    <w:jc w:val="center"/>
                    <w:rPr>
                      <w:rFonts w:hint="eastAsia"/>
                      <w:b/>
                      <w:bCs/>
                      <w:color w:val="FF0000"/>
                      <w:spacing w:val="-1"/>
                      <w:sz w:val="20"/>
                      <w:szCs w:val="20"/>
                    </w:rPr>
                  </w:pPr>
                  <w:r>
                    <w:rPr>
                      <w:rFonts w:hint="eastAsia"/>
                      <w:b/>
                      <w:bCs/>
                      <w:color w:val="FF0000"/>
                      <w:spacing w:val="-1"/>
                      <w:sz w:val="20"/>
                      <w:szCs w:val="20"/>
                    </w:rPr>
                    <w:t>监测点位</w:t>
                  </w:r>
                </w:p>
              </w:tc>
              <w:tc>
                <w:tcPr>
                  <w:tcW w:w="905" w:type="dxa"/>
                  <w:vMerge w:val="restart"/>
                  <w:noWrap w:val="0"/>
                  <w:vAlign w:val="center"/>
                </w:tcPr>
                <w:p>
                  <w:pPr>
                    <w:adjustRightInd w:val="0"/>
                    <w:snapToGrid w:val="0"/>
                    <w:jc w:val="center"/>
                    <w:rPr>
                      <w:b/>
                      <w:bCs/>
                      <w:color w:val="FF0000"/>
                      <w:spacing w:val="-1"/>
                      <w:sz w:val="20"/>
                      <w:szCs w:val="20"/>
                    </w:rPr>
                  </w:pPr>
                  <w:r>
                    <w:rPr>
                      <w:rFonts w:hint="eastAsia"/>
                      <w:b/>
                      <w:bCs/>
                      <w:color w:val="FF0000"/>
                      <w:spacing w:val="-1"/>
                      <w:sz w:val="20"/>
                      <w:szCs w:val="20"/>
                    </w:rPr>
                    <w:t>监测日期</w:t>
                  </w:r>
                </w:p>
              </w:tc>
              <w:tc>
                <w:tcPr>
                  <w:tcW w:w="1052" w:type="dxa"/>
                  <w:vMerge w:val="restart"/>
                  <w:noWrap w:val="0"/>
                  <w:vAlign w:val="center"/>
                </w:tcPr>
                <w:p>
                  <w:pPr>
                    <w:adjustRightInd w:val="0"/>
                    <w:snapToGrid w:val="0"/>
                    <w:jc w:val="center"/>
                    <w:rPr>
                      <w:b/>
                      <w:bCs/>
                      <w:color w:val="FF0000"/>
                      <w:spacing w:val="-1"/>
                      <w:sz w:val="20"/>
                      <w:szCs w:val="20"/>
                    </w:rPr>
                  </w:pPr>
                  <w:r>
                    <w:rPr>
                      <w:rFonts w:hint="eastAsia"/>
                      <w:b/>
                      <w:bCs/>
                      <w:color w:val="FF0000"/>
                      <w:spacing w:val="-1"/>
                      <w:sz w:val="20"/>
                      <w:szCs w:val="20"/>
                    </w:rPr>
                    <w:t>监测项目</w:t>
                  </w:r>
                </w:p>
              </w:tc>
              <w:tc>
                <w:tcPr>
                  <w:tcW w:w="863" w:type="dxa"/>
                  <w:vMerge w:val="restart"/>
                  <w:noWrap w:val="0"/>
                  <w:vAlign w:val="center"/>
                </w:tcPr>
                <w:p>
                  <w:pPr>
                    <w:adjustRightInd w:val="0"/>
                    <w:snapToGrid w:val="0"/>
                    <w:jc w:val="center"/>
                    <w:rPr>
                      <w:b/>
                      <w:bCs/>
                      <w:color w:val="FF0000"/>
                      <w:spacing w:val="-1"/>
                      <w:sz w:val="20"/>
                      <w:szCs w:val="20"/>
                    </w:rPr>
                  </w:pPr>
                  <w:r>
                    <w:rPr>
                      <w:rFonts w:hint="eastAsia"/>
                      <w:b/>
                      <w:bCs/>
                      <w:color w:val="FF0000"/>
                      <w:spacing w:val="-1"/>
                      <w:sz w:val="20"/>
                      <w:szCs w:val="20"/>
                    </w:rPr>
                    <w:t>单位</w:t>
                  </w:r>
                </w:p>
              </w:tc>
              <w:tc>
                <w:tcPr>
                  <w:tcW w:w="2895" w:type="dxa"/>
                  <w:gridSpan w:val="3"/>
                  <w:noWrap w:val="0"/>
                  <w:vAlign w:val="center"/>
                </w:tcPr>
                <w:p>
                  <w:pPr>
                    <w:adjustRightInd w:val="0"/>
                    <w:snapToGrid w:val="0"/>
                    <w:jc w:val="center"/>
                    <w:rPr>
                      <w:rFonts w:hint="eastAsia"/>
                      <w:b/>
                      <w:bCs/>
                      <w:color w:val="FF0000"/>
                      <w:spacing w:val="-1"/>
                      <w:sz w:val="20"/>
                      <w:szCs w:val="20"/>
                    </w:rPr>
                  </w:pPr>
                  <w:r>
                    <w:rPr>
                      <w:rFonts w:hint="eastAsia"/>
                      <w:b/>
                      <w:bCs/>
                      <w:color w:val="FF0000"/>
                      <w:spacing w:val="-1"/>
                      <w:sz w:val="20"/>
                      <w:szCs w:val="20"/>
                    </w:rPr>
                    <w:t>监测结果</w:t>
                  </w:r>
                </w:p>
              </w:tc>
              <w:tc>
                <w:tcPr>
                  <w:tcW w:w="799" w:type="dxa"/>
                  <w:vMerge w:val="restart"/>
                  <w:noWrap w:val="0"/>
                  <w:vAlign w:val="center"/>
                </w:tcPr>
                <w:p>
                  <w:pPr>
                    <w:adjustRightInd w:val="0"/>
                    <w:snapToGrid w:val="0"/>
                    <w:jc w:val="center"/>
                    <w:rPr>
                      <w:b/>
                      <w:bCs/>
                      <w:color w:val="FF0000"/>
                      <w:spacing w:val="-1"/>
                      <w:sz w:val="20"/>
                      <w:szCs w:val="20"/>
                    </w:rPr>
                  </w:pPr>
                  <w:r>
                    <w:rPr>
                      <w:rFonts w:hint="eastAsia"/>
                      <w:b/>
                      <w:bCs/>
                      <w:color w:val="FF0000"/>
                      <w:spacing w:val="-1"/>
                      <w:sz w:val="20"/>
                      <w:szCs w:val="20"/>
                    </w:rPr>
                    <w:t>标准限值</w:t>
                  </w:r>
                </w:p>
              </w:tc>
              <w:tc>
                <w:tcPr>
                  <w:tcW w:w="721" w:type="dxa"/>
                  <w:vMerge w:val="restart"/>
                  <w:noWrap w:val="0"/>
                  <w:vAlign w:val="center"/>
                </w:tcPr>
                <w:p>
                  <w:pPr>
                    <w:adjustRightInd w:val="0"/>
                    <w:snapToGrid w:val="0"/>
                    <w:jc w:val="center"/>
                    <w:rPr>
                      <w:b/>
                      <w:bCs/>
                      <w:color w:val="FF0000"/>
                      <w:spacing w:val="-1"/>
                      <w:sz w:val="20"/>
                      <w:szCs w:val="20"/>
                    </w:rPr>
                  </w:pPr>
                  <w:r>
                    <w:rPr>
                      <w:rFonts w:hint="eastAsia"/>
                      <w:b/>
                      <w:bCs/>
                      <w:color w:val="FF0000"/>
                      <w:spacing w:val="-1"/>
                      <w:sz w:val="20"/>
                      <w:szCs w:val="20"/>
                    </w:rPr>
                    <w:t>达标情况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160" w:hRule="atLeast"/>
              </w:trPr>
              <w:tc>
                <w:tcPr>
                  <w:tcW w:w="962" w:type="dxa"/>
                  <w:vMerge w:val="continue"/>
                  <w:noWrap w:val="0"/>
                  <w:vAlign w:val="center"/>
                </w:tcPr>
                <w:p>
                  <w:pPr>
                    <w:adjustRightInd w:val="0"/>
                    <w:snapToGrid w:val="0"/>
                    <w:jc w:val="center"/>
                    <w:rPr>
                      <w:color w:val="FF0000"/>
                      <w:sz w:val="20"/>
                      <w:szCs w:val="20"/>
                    </w:rPr>
                  </w:pPr>
                </w:p>
              </w:tc>
              <w:tc>
                <w:tcPr>
                  <w:tcW w:w="905" w:type="dxa"/>
                  <w:vMerge w:val="continue"/>
                  <w:noWrap w:val="0"/>
                  <w:vAlign w:val="center"/>
                </w:tcPr>
                <w:p>
                  <w:pPr>
                    <w:adjustRightInd w:val="0"/>
                    <w:snapToGrid w:val="0"/>
                    <w:jc w:val="center"/>
                    <w:rPr>
                      <w:color w:val="FF0000"/>
                      <w:sz w:val="20"/>
                      <w:szCs w:val="20"/>
                    </w:rPr>
                  </w:pPr>
                </w:p>
              </w:tc>
              <w:tc>
                <w:tcPr>
                  <w:tcW w:w="1052" w:type="dxa"/>
                  <w:vMerge w:val="continue"/>
                  <w:noWrap w:val="0"/>
                  <w:vAlign w:val="center"/>
                </w:tcPr>
                <w:p>
                  <w:pPr>
                    <w:adjustRightInd w:val="0"/>
                    <w:snapToGrid w:val="0"/>
                    <w:jc w:val="center"/>
                    <w:rPr>
                      <w:color w:val="FF0000"/>
                      <w:sz w:val="20"/>
                      <w:szCs w:val="20"/>
                    </w:rPr>
                  </w:pPr>
                </w:p>
              </w:tc>
              <w:tc>
                <w:tcPr>
                  <w:tcW w:w="863" w:type="dxa"/>
                  <w:vMerge w:val="continue"/>
                  <w:noWrap w:val="0"/>
                  <w:vAlign w:val="center"/>
                </w:tcPr>
                <w:p>
                  <w:pPr>
                    <w:adjustRightInd w:val="0"/>
                    <w:snapToGrid w:val="0"/>
                    <w:jc w:val="center"/>
                    <w:rPr>
                      <w:color w:val="FF0000"/>
                      <w:sz w:val="20"/>
                      <w:szCs w:val="20"/>
                    </w:rPr>
                  </w:pPr>
                </w:p>
              </w:tc>
              <w:tc>
                <w:tcPr>
                  <w:tcW w:w="965" w:type="dxa"/>
                  <w:noWrap w:val="0"/>
                  <w:vAlign w:val="center"/>
                </w:tcPr>
                <w:p>
                  <w:pPr>
                    <w:adjustRightInd w:val="0"/>
                    <w:snapToGrid w:val="0"/>
                    <w:jc w:val="center"/>
                    <w:rPr>
                      <w:rFonts w:hint="eastAsia"/>
                      <w:b/>
                      <w:bCs/>
                      <w:color w:val="FF0000"/>
                      <w:spacing w:val="-1"/>
                      <w:sz w:val="20"/>
                      <w:szCs w:val="20"/>
                    </w:rPr>
                  </w:pPr>
                  <w:r>
                    <w:rPr>
                      <w:rFonts w:hint="eastAsia"/>
                      <w:b/>
                      <w:bCs/>
                      <w:color w:val="FF0000"/>
                      <w:spacing w:val="-1"/>
                      <w:sz w:val="20"/>
                      <w:szCs w:val="20"/>
                    </w:rPr>
                    <w:t>第一次</w:t>
                  </w:r>
                </w:p>
              </w:tc>
              <w:tc>
                <w:tcPr>
                  <w:tcW w:w="965" w:type="dxa"/>
                  <w:noWrap w:val="0"/>
                  <w:vAlign w:val="center"/>
                </w:tcPr>
                <w:p>
                  <w:pPr>
                    <w:adjustRightInd w:val="0"/>
                    <w:snapToGrid w:val="0"/>
                    <w:jc w:val="center"/>
                    <w:rPr>
                      <w:rFonts w:hint="eastAsia"/>
                      <w:b/>
                      <w:bCs/>
                      <w:color w:val="FF0000"/>
                      <w:spacing w:val="-1"/>
                      <w:sz w:val="20"/>
                      <w:szCs w:val="20"/>
                    </w:rPr>
                  </w:pPr>
                  <w:r>
                    <w:rPr>
                      <w:rFonts w:hint="eastAsia"/>
                      <w:b/>
                      <w:bCs/>
                      <w:color w:val="FF0000"/>
                      <w:spacing w:val="-1"/>
                      <w:sz w:val="20"/>
                      <w:szCs w:val="20"/>
                    </w:rPr>
                    <w:t>第二次</w:t>
                  </w:r>
                </w:p>
              </w:tc>
              <w:tc>
                <w:tcPr>
                  <w:tcW w:w="965" w:type="dxa"/>
                  <w:noWrap w:val="0"/>
                  <w:vAlign w:val="center"/>
                </w:tcPr>
                <w:p>
                  <w:pPr>
                    <w:adjustRightInd w:val="0"/>
                    <w:snapToGrid w:val="0"/>
                    <w:jc w:val="center"/>
                    <w:rPr>
                      <w:rFonts w:hint="eastAsia"/>
                      <w:b/>
                      <w:bCs/>
                      <w:color w:val="FF0000"/>
                      <w:spacing w:val="-1"/>
                      <w:sz w:val="20"/>
                      <w:szCs w:val="20"/>
                    </w:rPr>
                  </w:pPr>
                  <w:r>
                    <w:rPr>
                      <w:rFonts w:hint="eastAsia"/>
                      <w:b/>
                      <w:bCs/>
                      <w:color w:val="FF0000"/>
                      <w:spacing w:val="-1"/>
                      <w:sz w:val="20"/>
                      <w:szCs w:val="20"/>
                    </w:rPr>
                    <w:t>第三次</w:t>
                  </w:r>
                </w:p>
              </w:tc>
              <w:tc>
                <w:tcPr>
                  <w:tcW w:w="799" w:type="dxa"/>
                  <w:vMerge w:val="continue"/>
                  <w:noWrap w:val="0"/>
                  <w:vAlign w:val="center"/>
                </w:tcPr>
                <w:p>
                  <w:pPr>
                    <w:adjustRightInd w:val="0"/>
                    <w:snapToGrid w:val="0"/>
                    <w:jc w:val="center"/>
                    <w:rPr>
                      <w:rFonts w:hint="eastAsia"/>
                      <w:b/>
                      <w:bCs/>
                      <w:color w:val="FF0000"/>
                      <w:spacing w:val="-1"/>
                      <w:sz w:val="20"/>
                      <w:szCs w:val="20"/>
                    </w:rPr>
                  </w:pPr>
                </w:p>
              </w:tc>
              <w:tc>
                <w:tcPr>
                  <w:tcW w:w="721" w:type="dxa"/>
                  <w:vMerge w:val="continue"/>
                  <w:noWrap w:val="0"/>
                  <w:vAlign w:val="center"/>
                </w:tcPr>
                <w:p>
                  <w:pPr>
                    <w:adjustRightInd w:val="0"/>
                    <w:snapToGrid w:val="0"/>
                    <w:jc w:val="center"/>
                    <w:rPr>
                      <w:rFonts w:hint="eastAsia"/>
                      <w:b/>
                      <w:bCs/>
                      <w:color w:val="FF0000"/>
                      <w:spacing w:val="-1"/>
                      <w:sz w:val="20"/>
                      <w:szCs w:val="20"/>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restart"/>
                  <w:noWrap w:val="0"/>
                  <w:vAlign w:val="center"/>
                </w:tcPr>
                <w:p>
                  <w:pPr>
                    <w:adjustRightInd w:val="0"/>
                    <w:snapToGrid w:val="0"/>
                    <w:jc w:val="center"/>
                    <w:rPr>
                      <w:color w:val="FF0000"/>
                      <w:spacing w:val="-1"/>
                      <w:sz w:val="20"/>
                      <w:szCs w:val="20"/>
                    </w:rPr>
                  </w:pPr>
                  <w:r>
                    <w:rPr>
                      <w:rFonts w:hint="eastAsia"/>
                      <w:color w:val="FF0000"/>
                      <w:spacing w:val="-1"/>
                      <w:sz w:val="20"/>
                      <w:szCs w:val="20"/>
                    </w:rPr>
                    <w:t>污水排污口</w:t>
                  </w:r>
                </w:p>
              </w:tc>
              <w:tc>
                <w:tcPr>
                  <w:tcW w:w="905" w:type="dxa"/>
                  <w:vMerge w:val="restart"/>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rPr>
                    <w:t>202</w:t>
                  </w:r>
                  <w:r>
                    <w:rPr>
                      <w:rFonts w:hint="eastAsia"/>
                      <w:color w:val="FF0000"/>
                      <w:spacing w:val="-1"/>
                      <w:sz w:val="20"/>
                      <w:szCs w:val="20"/>
                      <w:lang w:val="en-US" w:eastAsia="zh-CN"/>
                    </w:rPr>
                    <w:t>6.1.15</w:t>
                  </w:r>
                </w:p>
              </w:tc>
              <w:tc>
                <w:tcPr>
                  <w:tcW w:w="1052" w:type="dxa"/>
                  <w:noWrap w:val="0"/>
                  <w:vAlign w:val="center"/>
                </w:tcPr>
                <w:p>
                  <w:pPr>
                    <w:adjustRightInd w:val="0"/>
                    <w:snapToGrid w:val="0"/>
                    <w:jc w:val="center"/>
                    <w:rPr>
                      <w:rFonts w:hint="eastAsia" w:eastAsia="宋体"/>
                      <w:color w:val="FF0000"/>
                      <w:spacing w:val="-1"/>
                      <w:sz w:val="20"/>
                      <w:szCs w:val="20"/>
                      <w:lang w:eastAsia="zh-CN"/>
                    </w:rPr>
                  </w:pPr>
                  <w:r>
                    <w:rPr>
                      <w:rFonts w:hint="eastAsia"/>
                      <w:color w:val="FF0000"/>
                      <w:spacing w:val="-1"/>
                      <w:sz w:val="20"/>
                      <w:szCs w:val="20"/>
                      <w:lang w:val="en-US" w:eastAsia="zh-CN"/>
                    </w:rPr>
                    <w:t>色度</w:t>
                  </w:r>
                </w:p>
              </w:tc>
              <w:tc>
                <w:tcPr>
                  <w:tcW w:w="863" w:type="dxa"/>
                  <w:noWrap w:val="0"/>
                  <w:vAlign w:val="center"/>
                </w:tcPr>
                <w:p>
                  <w:pPr>
                    <w:adjustRightInd w:val="0"/>
                    <w:snapToGrid w:val="0"/>
                    <w:jc w:val="center"/>
                    <w:rPr>
                      <w:rFonts w:hint="eastAsia" w:eastAsia="宋体"/>
                      <w:color w:val="FF0000"/>
                      <w:spacing w:val="-1"/>
                      <w:sz w:val="20"/>
                      <w:szCs w:val="20"/>
                      <w:lang w:eastAsia="zh-CN"/>
                    </w:rPr>
                  </w:pPr>
                  <w:r>
                    <w:rPr>
                      <w:rFonts w:hint="eastAsia"/>
                      <w:color w:val="FF0000"/>
                      <w:spacing w:val="-1"/>
                      <w:sz w:val="20"/>
                      <w:szCs w:val="20"/>
                      <w:lang w:val="en-US" w:eastAsia="zh-CN"/>
                    </w:rPr>
                    <w:t>倍</w:t>
                  </w:r>
                </w:p>
              </w:tc>
              <w:tc>
                <w:tcPr>
                  <w:tcW w:w="965" w:type="dxa"/>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lang w:val="en-US" w:eastAsia="zh-CN"/>
                    </w:rPr>
                    <w:t>9</w:t>
                  </w:r>
                </w:p>
              </w:tc>
              <w:tc>
                <w:tcPr>
                  <w:tcW w:w="965" w:type="dxa"/>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lang w:val="en-US" w:eastAsia="zh-CN"/>
                    </w:rPr>
                    <w:t>9</w:t>
                  </w:r>
                </w:p>
              </w:tc>
              <w:tc>
                <w:tcPr>
                  <w:tcW w:w="965" w:type="dxa"/>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lang w:val="en-US" w:eastAsia="zh-CN"/>
                    </w:rPr>
                    <w:t>9</w:t>
                  </w:r>
                </w:p>
              </w:tc>
              <w:tc>
                <w:tcPr>
                  <w:tcW w:w="799" w:type="dxa"/>
                  <w:noWrap w:val="0"/>
                  <w:vAlign w:val="center"/>
                </w:tcPr>
                <w:p>
                  <w:pPr>
                    <w:adjustRightInd w:val="0"/>
                    <w:snapToGrid w:val="0"/>
                    <w:jc w:val="center"/>
                    <w:rPr>
                      <w:rFonts w:hint="eastAsia" w:eastAsia="宋体"/>
                      <w:color w:val="FF0000"/>
                      <w:spacing w:val="-1"/>
                      <w:sz w:val="20"/>
                      <w:szCs w:val="20"/>
                      <w:lang w:val="en-US" w:eastAsia="zh-CN"/>
                    </w:rPr>
                  </w:pPr>
                  <w:r>
                    <w:rPr>
                      <w:rFonts w:hint="eastAsia"/>
                      <w:color w:val="FF0000"/>
                      <w:spacing w:val="-1"/>
                      <w:sz w:val="20"/>
                      <w:szCs w:val="20"/>
                      <w:lang w:val="en-US" w:eastAsia="zh-CN"/>
                    </w:rPr>
                    <w:t>/</w:t>
                  </w:r>
                </w:p>
              </w:tc>
              <w:tc>
                <w:tcPr>
                  <w:tcW w:w="721" w:type="dxa"/>
                  <w:noWrap w:val="0"/>
                  <w:vAlign w:val="center"/>
                </w:tcPr>
                <w:p>
                  <w:pPr>
                    <w:adjustRightInd w:val="0"/>
                    <w:snapToGrid w:val="0"/>
                    <w:jc w:val="center"/>
                    <w:rPr>
                      <w:color w:val="FF0000"/>
                      <w:spacing w:val="-1"/>
                      <w:sz w:val="20"/>
                      <w:szCs w:val="20"/>
                    </w:rPr>
                  </w:pPr>
                  <w:r>
                    <w:rPr>
                      <w:rFonts w:hint="eastAsia"/>
                      <w:color w:val="FF0000"/>
                      <w:spacing w:val="-1"/>
                      <w:sz w:val="20"/>
                      <w:szCs w:val="20"/>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rFonts w:hint="eastAsia"/>
                      <w:color w:val="FF0000"/>
                      <w:spacing w:val="-1"/>
                      <w:sz w:val="20"/>
                      <w:szCs w:val="20"/>
                    </w:rPr>
                  </w:pPr>
                </w:p>
              </w:tc>
              <w:tc>
                <w:tcPr>
                  <w:tcW w:w="905" w:type="dxa"/>
                  <w:vMerge w:val="continue"/>
                  <w:noWrap w:val="0"/>
                  <w:vAlign w:val="center"/>
                </w:tcPr>
                <w:p>
                  <w:pPr>
                    <w:adjustRightInd w:val="0"/>
                    <w:snapToGrid w:val="0"/>
                    <w:jc w:val="center"/>
                    <w:rPr>
                      <w:rFonts w:hint="eastAsia"/>
                      <w:color w:val="FF0000"/>
                      <w:spacing w:val="-1"/>
                      <w:sz w:val="20"/>
                      <w:szCs w:val="20"/>
                    </w:rPr>
                  </w:pPr>
                </w:p>
              </w:tc>
              <w:tc>
                <w:tcPr>
                  <w:tcW w:w="1052"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pH</w:t>
                  </w:r>
                </w:p>
              </w:tc>
              <w:tc>
                <w:tcPr>
                  <w:tcW w:w="863"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7.3</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7.3</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7.2</w:t>
                  </w:r>
                </w:p>
              </w:tc>
              <w:tc>
                <w:tcPr>
                  <w:tcW w:w="799"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6~9</w:t>
                  </w:r>
                </w:p>
              </w:tc>
              <w:tc>
                <w:tcPr>
                  <w:tcW w:w="721" w:type="dxa"/>
                  <w:noWrap w:val="0"/>
                  <w:vAlign w:val="center"/>
                </w:tcPr>
                <w:p>
                  <w:pPr>
                    <w:adjustRightInd w:val="0"/>
                    <w:snapToGrid w:val="0"/>
                    <w:jc w:val="center"/>
                    <w:rPr>
                      <w:rFonts w:hint="eastAsia" w:eastAsia="宋体"/>
                      <w:color w:val="FF0000"/>
                      <w:spacing w:val="-1"/>
                      <w:sz w:val="20"/>
                      <w:szCs w:val="20"/>
                      <w:lang w:val="en-US" w:eastAsia="zh-CN"/>
                    </w:rPr>
                  </w:pPr>
                  <w:r>
                    <w:rPr>
                      <w:rFonts w:hint="eastAsia"/>
                      <w:color w:val="FF0000"/>
                      <w:spacing w:val="-1"/>
                      <w:sz w:val="20"/>
                      <w:szCs w:val="20"/>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color w:val="FF0000"/>
                      <w:spacing w:val="-1"/>
                      <w:sz w:val="20"/>
                      <w:szCs w:val="20"/>
                    </w:rPr>
                  </w:pPr>
                </w:p>
              </w:tc>
              <w:tc>
                <w:tcPr>
                  <w:tcW w:w="905" w:type="dxa"/>
                  <w:vMerge w:val="continue"/>
                  <w:noWrap w:val="0"/>
                  <w:vAlign w:val="center"/>
                </w:tcPr>
                <w:p>
                  <w:pPr>
                    <w:adjustRightInd w:val="0"/>
                    <w:snapToGrid w:val="0"/>
                    <w:jc w:val="center"/>
                    <w:rPr>
                      <w:color w:val="FF0000"/>
                      <w:spacing w:val="-1"/>
                      <w:sz w:val="20"/>
                      <w:szCs w:val="20"/>
                    </w:rPr>
                  </w:pPr>
                </w:p>
              </w:tc>
              <w:tc>
                <w:tcPr>
                  <w:tcW w:w="1052" w:type="dxa"/>
                  <w:noWrap w:val="0"/>
                  <w:vAlign w:val="center"/>
                </w:tcPr>
                <w:p>
                  <w:pPr>
                    <w:adjustRightInd w:val="0"/>
                    <w:snapToGrid w:val="0"/>
                    <w:jc w:val="center"/>
                    <w:rPr>
                      <w:color w:val="FF0000"/>
                      <w:spacing w:val="-1"/>
                      <w:sz w:val="20"/>
                      <w:szCs w:val="20"/>
                    </w:rPr>
                  </w:pPr>
                  <w:r>
                    <w:rPr>
                      <w:rFonts w:hint="eastAsia"/>
                      <w:color w:val="FF0000"/>
                      <w:spacing w:val="-1"/>
                      <w:sz w:val="20"/>
                      <w:szCs w:val="20"/>
                    </w:rPr>
                    <w:t>COD</w:t>
                  </w:r>
                </w:p>
              </w:tc>
              <w:tc>
                <w:tcPr>
                  <w:tcW w:w="863" w:type="dxa"/>
                  <w:vMerge w:val="restart"/>
                  <w:noWrap w:val="0"/>
                  <w:vAlign w:val="center"/>
                </w:tcPr>
                <w:p>
                  <w:pPr>
                    <w:adjustRightInd w:val="0"/>
                    <w:snapToGrid w:val="0"/>
                    <w:jc w:val="center"/>
                    <w:rPr>
                      <w:color w:val="FF0000"/>
                      <w:spacing w:val="-1"/>
                      <w:sz w:val="20"/>
                      <w:szCs w:val="20"/>
                    </w:rPr>
                  </w:pPr>
                  <w:r>
                    <w:rPr>
                      <w:rFonts w:hint="eastAsia"/>
                      <w:color w:val="FF0000"/>
                      <w:spacing w:val="-1"/>
                      <w:sz w:val="20"/>
                      <w:szCs w:val="20"/>
                    </w:rPr>
                    <w:t>mg/L</w:t>
                  </w:r>
                </w:p>
              </w:tc>
              <w:tc>
                <w:tcPr>
                  <w:tcW w:w="965" w:type="dxa"/>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lang w:val="en-US" w:eastAsia="zh-CN"/>
                    </w:rPr>
                    <w:t>248</w:t>
                  </w:r>
                </w:p>
              </w:tc>
              <w:tc>
                <w:tcPr>
                  <w:tcW w:w="965" w:type="dxa"/>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lang w:val="en-US" w:eastAsia="zh-CN"/>
                    </w:rPr>
                    <w:t>255</w:t>
                  </w:r>
                </w:p>
              </w:tc>
              <w:tc>
                <w:tcPr>
                  <w:tcW w:w="965" w:type="dxa"/>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lang w:val="en-US" w:eastAsia="zh-CN"/>
                    </w:rPr>
                    <w:t>240</w:t>
                  </w:r>
                </w:p>
              </w:tc>
              <w:tc>
                <w:tcPr>
                  <w:tcW w:w="799" w:type="dxa"/>
                  <w:noWrap w:val="0"/>
                  <w:vAlign w:val="center"/>
                </w:tcPr>
                <w:p>
                  <w:pPr>
                    <w:adjustRightInd w:val="0"/>
                    <w:snapToGrid w:val="0"/>
                    <w:jc w:val="center"/>
                    <w:rPr>
                      <w:rFonts w:hint="default" w:eastAsia="宋体"/>
                      <w:color w:val="FF0000"/>
                      <w:spacing w:val="-1"/>
                      <w:sz w:val="20"/>
                      <w:szCs w:val="20"/>
                      <w:lang w:val="en-US" w:eastAsia="zh-CN"/>
                    </w:rPr>
                  </w:pPr>
                  <w:r>
                    <w:rPr>
                      <w:rFonts w:hint="eastAsia"/>
                      <w:color w:val="FF0000"/>
                      <w:spacing w:val="-1"/>
                      <w:sz w:val="20"/>
                      <w:szCs w:val="20"/>
                      <w:lang w:val="en-US" w:eastAsia="zh-CN"/>
                    </w:rPr>
                    <w:t>500</w:t>
                  </w:r>
                </w:p>
              </w:tc>
              <w:tc>
                <w:tcPr>
                  <w:tcW w:w="721" w:type="dxa"/>
                  <w:noWrap w:val="0"/>
                  <w:vAlign w:val="center"/>
                </w:tcPr>
                <w:p>
                  <w:pPr>
                    <w:adjustRightInd w:val="0"/>
                    <w:snapToGrid w:val="0"/>
                    <w:jc w:val="center"/>
                    <w:rPr>
                      <w:color w:val="FF0000"/>
                      <w:spacing w:val="-1"/>
                      <w:sz w:val="20"/>
                      <w:szCs w:val="20"/>
                    </w:rPr>
                  </w:pPr>
                  <w:r>
                    <w:rPr>
                      <w:rFonts w:hint="eastAsia"/>
                      <w:color w:val="FF0000"/>
                      <w:spacing w:val="-1"/>
                      <w:sz w:val="20"/>
                      <w:szCs w:val="20"/>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color w:val="FF0000"/>
                      <w:spacing w:val="-1"/>
                      <w:sz w:val="20"/>
                      <w:szCs w:val="20"/>
                    </w:rPr>
                  </w:pPr>
                </w:p>
              </w:tc>
              <w:tc>
                <w:tcPr>
                  <w:tcW w:w="905" w:type="dxa"/>
                  <w:vMerge w:val="continue"/>
                  <w:noWrap w:val="0"/>
                  <w:vAlign w:val="center"/>
                </w:tcPr>
                <w:p>
                  <w:pPr>
                    <w:adjustRightInd w:val="0"/>
                    <w:snapToGrid w:val="0"/>
                    <w:jc w:val="center"/>
                    <w:rPr>
                      <w:color w:val="FF0000"/>
                      <w:spacing w:val="-1"/>
                      <w:sz w:val="20"/>
                      <w:szCs w:val="20"/>
                    </w:rPr>
                  </w:pPr>
                </w:p>
              </w:tc>
              <w:tc>
                <w:tcPr>
                  <w:tcW w:w="1052"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BOD</w:t>
                  </w:r>
                  <w:r>
                    <w:rPr>
                      <w:rFonts w:hint="eastAsia"/>
                      <w:color w:val="FF0000"/>
                      <w:spacing w:val="-1"/>
                      <w:sz w:val="20"/>
                      <w:szCs w:val="20"/>
                      <w:vertAlign w:val="subscript"/>
                      <w:lang w:val="en-US" w:eastAsia="zh-CN"/>
                    </w:rPr>
                    <w:t>5</w:t>
                  </w:r>
                </w:p>
              </w:tc>
              <w:tc>
                <w:tcPr>
                  <w:tcW w:w="863" w:type="dxa"/>
                  <w:vMerge w:val="continue"/>
                  <w:noWrap w:val="0"/>
                  <w:vAlign w:val="center"/>
                </w:tcPr>
                <w:p>
                  <w:pPr>
                    <w:adjustRightInd w:val="0"/>
                    <w:snapToGrid w:val="0"/>
                    <w:jc w:val="center"/>
                    <w:rPr>
                      <w:color w:val="FF0000"/>
                      <w:spacing w:val="-1"/>
                      <w:sz w:val="20"/>
                      <w:szCs w:val="20"/>
                    </w:rPr>
                  </w:pP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43.2</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50.6</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40.8</w:t>
                  </w:r>
                </w:p>
              </w:tc>
              <w:tc>
                <w:tcPr>
                  <w:tcW w:w="799"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300</w:t>
                  </w:r>
                </w:p>
              </w:tc>
              <w:tc>
                <w:tcPr>
                  <w:tcW w:w="721" w:type="dxa"/>
                  <w:noWrap w:val="0"/>
                  <w:vAlign w:val="center"/>
                </w:tcPr>
                <w:p>
                  <w:pPr>
                    <w:adjustRightInd w:val="0"/>
                    <w:snapToGrid w:val="0"/>
                    <w:jc w:val="center"/>
                    <w:rPr>
                      <w:rFonts w:hint="eastAsia"/>
                      <w:color w:val="FF0000"/>
                      <w:spacing w:val="-1"/>
                      <w:sz w:val="20"/>
                      <w:szCs w:val="20"/>
                    </w:rPr>
                  </w:pPr>
                  <w:r>
                    <w:rPr>
                      <w:rFonts w:hint="eastAsia"/>
                      <w:color w:val="FF0000"/>
                      <w:spacing w:val="-1"/>
                      <w:sz w:val="20"/>
                      <w:szCs w:val="20"/>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color w:val="FF0000"/>
                      <w:spacing w:val="-1"/>
                      <w:sz w:val="20"/>
                      <w:szCs w:val="20"/>
                    </w:rPr>
                  </w:pPr>
                </w:p>
              </w:tc>
              <w:tc>
                <w:tcPr>
                  <w:tcW w:w="905" w:type="dxa"/>
                  <w:vMerge w:val="continue"/>
                  <w:noWrap w:val="0"/>
                  <w:vAlign w:val="center"/>
                </w:tcPr>
                <w:p>
                  <w:pPr>
                    <w:adjustRightInd w:val="0"/>
                    <w:snapToGrid w:val="0"/>
                    <w:jc w:val="center"/>
                    <w:rPr>
                      <w:color w:val="FF0000"/>
                      <w:spacing w:val="-1"/>
                      <w:sz w:val="20"/>
                      <w:szCs w:val="20"/>
                    </w:rPr>
                  </w:pPr>
                </w:p>
              </w:tc>
              <w:tc>
                <w:tcPr>
                  <w:tcW w:w="1052"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SS</w:t>
                  </w:r>
                </w:p>
              </w:tc>
              <w:tc>
                <w:tcPr>
                  <w:tcW w:w="863" w:type="dxa"/>
                  <w:vMerge w:val="continue"/>
                  <w:noWrap w:val="0"/>
                  <w:vAlign w:val="center"/>
                </w:tcPr>
                <w:p>
                  <w:pPr>
                    <w:adjustRightInd w:val="0"/>
                    <w:snapToGrid w:val="0"/>
                    <w:jc w:val="center"/>
                    <w:rPr>
                      <w:color w:val="FF0000"/>
                      <w:spacing w:val="-1"/>
                      <w:sz w:val="20"/>
                      <w:szCs w:val="20"/>
                    </w:rPr>
                  </w:pP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21</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16</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19</w:t>
                  </w:r>
                </w:p>
              </w:tc>
              <w:tc>
                <w:tcPr>
                  <w:tcW w:w="799"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400</w:t>
                  </w:r>
                </w:p>
              </w:tc>
              <w:tc>
                <w:tcPr>
                  <w:tcW w:w="721" w:type="dxa"/>
                  <w:noWrap w:val="0"/>
                  <w:vAlign w:val="center"/>
                </w:tcPr>
                <w:p>
                  <w:pPr>
                    <w:adjustRightInd w:val="0"/>
                    <w:snapToGrid w:val="0"/>
                    <w:jc w:val="center"/>
                    <w:rPr>
                      <w:rFonts w:hint="eastAsia"/>
                      <w:color w:val="FF0000"/>
                      <w:spacing w:val="-1"/>
                      <w:sz w:val="20"/>
                      <w:szCs w:val="20"/>
                    </w:rPr>
                  </w:pPr>
                  <w:r>
                    <w:rPr>
                      <w:rFonts w:hint="eastAsia"/>
                      <w:color w:val="FF0000"/>
                      <w:spacing w:val="-1"/>
                      <w:sz w:val="20"/>
                      <w:szCs w:val="20"/>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color w:val="FF0000"/>
                      <w:spacing w:val="-1"/>
                      <w:sz w:val="20"/>
                      <w:szCs w:val="20"/>
                    </w:rPr>
                  </w:pPr>
                </w:p>
              </w:tc>
              <w:tc>
                <w:tcPr>
                  <w:tcW w:w="905" w:type="dxa"/>
                  <w:vMerge w:val="continue"/>
                  <w:noWrap w:val="0"/>
                  <w:vAlign w:val="center"/>
                </w:tcPr>
                <w:p>
                  <w:pPr>
                    <w:adjustRightInd w:val="0"/>
                    <w:snapToGrid w:val="0"/>
                    <w:jc w:val="center"/>
                    <w:rPr>
                      <w:color w:val="FF0000"/>
                      <w:spacing w:val="-1"/>
                      <w:sz w:val="20"/>
                      <w:szCs w:val="20"/>
                    </w:rPr>
                  </w:pPr>
                </w:p>
              </w:tc>
              <w:tc>
                <w:tcPr>
                  <w:tcW w:w="1052"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氨氮</w:t>
                  </w:r>
                </w:p>
              </w:tc>
              <w:tc>
                <w:tcPr>
                  <w:tcW w:w="863" w:type="dxa"/>
                  <w:vMerge w:val="continue"/>
                  <w:noWrap w:val="0"/>
                  <w:vAlign w:val="center"/>
                </w:tcPr>
                <w:p>
                  <w:pPr>
                    <w:adjustRightInd w:val="0"/>
                    <w:snapToGrid w:val="0"/>
                    <w:jc w:val="center"/>
                    <w:rPr>
                      <w:color w:val="FF0000"/>
                      <w:spacing w:val="-1"/>
                      <w:sz w:val="20"/>
                      <w:szCs w:val="20"/>
                    </w:rPr>
                  </w:pP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1.74</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1.55</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1.47</w:t>
                  </w:r>
                </w:p>
              </w:tc>
              <w:tc>
                <w:tcPr>
                  <w:tcW w:w="799"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45</w:t>
                  </w:r>
                </w:p>
              </w:tc>
              <w:tc>
                <w:tcPr>
                  <w:tcW w:w="721" w:type="dxa"/>
                  <w:noWrap w:val="0"/>
                  <w:vAlign w:val="center"/>
                </w:tcPr>
                <w:p>
                  <w:pPr>
                    <w:adjustRightInd w:val="0"/>
                    <w:snapToGrid w:val="0"/>
                    <w:jc w:val="center"/>
                    <w:rPr>
                      <w:rFonts w:hint="eastAsia"/>
                      <w:color w:val="FF0000"/>
                      <w:spacing w:val="-1"/>
                      <w:sz w:val="20"/>
                      <w:szCs w:val="20"/>
                    </w:rPr>
                  </w:pPr>
                  <w:r>
                    <w:rPr>
                      <w:rFonts w:hint="eastAsia"/>
                      <w:color w:val="FF0000"/>
                      <w:spacing w:val="-1"/>
                      <w:sz w:val="20"/>
                      <w:szCs w:val="20"/>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color w:val="FF0000"/>
                      <w:spacing w:val="-1"/>
                      <w:sz w:val="20"/>
                      <w:szCs w:val="20"/>
                    </w:rPr>
                  </w:pPr>
                </w:p>
              </w:tc>
              <w:tc>
                <w:tcPr>
                  <w:tcW w:w="905" w:type="dxa"/>
                  <w:vMerge w:val="continue"/>
                  <w:noWrap w:val="0"/>
                  <w:vAlign w:val="center"/>
                </w:tcPr>
                <w:p>
                  <w:pPr>
                    <w:adjustRightInd w:val="0"/>
                    <w:snapToGrid w:val="0"/>
                    <w:jc w:val="center"/>
                    <w:rPr>
                      <w:color w:val="FF0000"/>
                      <w:spacing w:val="-1"/>
                      <w:sz w:val="20"/>
                      <w:szCs w:val="20"/>
                    </w:rPr>
                  </w:pPr>
                </w:p>
              </w:tc>
              <w:tc>
                <w:tcPr>
                  <w:tcW w:w="1052"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总磷</w:t>
                  </w:r>
                </w:p>
              </w:tc>
              <w:tc>
                <w:tcPr>
                  <w:tcW w:w="863" w:type="dxa"/>
                  <w:vMerge w:val="continue"/>
                  <w:noWrap w:val="0"/>
                  <w:vAlign w:val="center"/>
                </w:tcPr>
                <w:p>
                  <w:pPr>
                    <w:adjustRightInd w:val="0"/>
                    <w:snapToGrid w:val="0"/>
                    <w:jc w:val="center"/>
                    <w:rPr>
                      <w:color w:val="FF0000"/>
                      <w:spacing w:val="-1"/>
                      <w:sz w:val="20"/>
                      <w:szCs w:val="20"/>
                    </w:rPr>
                  </w:pP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0.06</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0.14</w:t>
                  </w:r>
                </w:p>
              </w:tc>
              <w:tc>
                <w:tcPr>
                  <w:tcW w:w="965" w:type="dxa"/>
                  <w:noWrap w:val="0"/>
                  <w:vAlign w:val="center"/>
                </w:tcPr>
                <w:p>
                  <w:pPr>
                    <w:adjustRightInd w:val="0"/>
                    <w:snapToGrid w:val="0"/>
                    <w:jc w:val="center"/>
                    <w:rPr>
                      <w:rFonts w:hint="eastAsia"/>
                      <w:color w:val="FF0000"/>
                      <w:spacing w:val="-1"/>
                      <w:sz w:val="20"/>
                      <w:szCs w:val="20"/>
                      <w:lang w:val="en-US" w:eastAsia="zh-CN"/>
                    </w:rPr>
                  </w:pPr>
                  <w:r>
                    <w:rPr>
                      <w:rFonts w:hint="eastAsia"/>
                      <w:color w:val="FF0000"/>
                      <w:spacing w:val="-1"/>
                      <w:sz w:val="20"/>
                      <w:szCs w:val="20"/>
                      <w:lang w:val="en-US" w:eastAsia="zh-CN"/>
                    </w:rPr>
                    <w:t>0.1</w:t>
                  </w:r>
                </w:p>
              </w:tc>
              <w:tc>
                <w:tcPr>
                  <w:tcW w:w="799"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8</w:t>
                  </w:r>
                </w:p>
              </w:tc>
              <w:tc>
                <w:tcPr>
                  <w:tcW w:w="721" w:type="dxa"/>
                  <w:noWrap w:val="0"/>
                  <w:vAlign w:val="center"/>
                </w:tcPr>
                <w:p>
                  <w:pPr>
                    <w:adjustRightInd w:val="0"/>
                    <w:snapToGrid w:val="0"/>
                    <w:jc w:val="center"/>
                    <w:rPr>
                      <w:rFonts w:hint="eastAsia"/>
                      <w:color w:val="FF0000"/>
                      <w:spacing w:val="-1"/>
                      <w:sz w:val="20"/>
                      <w:szCs w:val="20"/>
                    </w:rPr>
                  </w:pPr>
                  <w:r>
                    <w:rPr>
                      <w:rFonts w:hint="eastAsia"/>
                      <w:color w:val="FF0000"/>
                      <w:spacing w:val="-1"/>
                      <w:sz w:val="20"/>
                      <w:szCs w:val="20"/>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color w:val="FF0000"/>
                      <w:spacing w:val="-1"/>
                      <w:sz w:val="20"/>
                      <w:szCs w:val="20"/>
                    </w:rPr>
                  </w:pPr>
                </w:p>
              </w:tc>
              <w:tc>
                <w:tcPr>
                  <w:tcW w:w="905" w:type="dxa"/>
                  <w:vMerge w:val="continue"/>
                  <w:noWrap w:val="0"/>
                  <w:vAlign w:val="center"/>
                </w:tcPr>
                <w:p>
                  <w:pPr>
                    <w:adjustRightInd w:val="0"/>
                    <w:snapToGrid w:val="0"/>
                    <w:jc w:val="center"/>
                    <w:rPr>
                      <w:color w:val="FF0000"/>
                      <w:spacing w:val="-1"/>
                      <w:sz w:val="20"/>
                      <w:szCs w:val="20"/>
                    </w:rPr>
                  </w:pPr>
                </w:p>
              </w:tc>
              <w:tc>
                <w:tcPr>
                  <w:tcW w:w="1052"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总氮</w:t>
                  </w:r>
                </w:p>
              </w:tc>
              <w:tc>
                <w:tcPr>
                  <w:tcW w:w="863" w:type="dxa"/>
                  <w:vMerge w:val="continue"/>
                  <w:noWrap w:val="0"/>
                  <w:vAlign w:val="center"/>
                </w:tcPr>
                <w:p>
                  <w:pPr>
                    <w:adjustRightInd w:val="0"/>
                    <w:snapToGrid w:val="0"/>
                    <w:jc w:val="center"/>
                    <w:rPr>
                      <w:color w:val="FF0000"/>
                      <w:spacing w:val="-1"/>
                      <w:sz w:val="20"/>
                      <w:szCs w:val="20"/>
                    </w:rPr>
                  </w:pP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3.02</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3.52</w:t>
                  </w: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3.10</w:t>
                  </w:r>
                </w:p>
              </w:tc>
              <w:tc>
                <w:tcPr>
                  <w:tcW w:w="799"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70</w:t>
                  </w:r>
                </w:p>
              </w:tc>
              <w:tc>
                <w:tcPr>
                  <w:tcW w:w="721" w:type="dxa"/>
                  <w:noWrap w:val="0"/>
                  <w:vAlign w:val="center"/>
                </w:tcPr>
                <w:p>
                  <w:pPr>
                    <w:adjustRightInd w:val="0"/>
                    <w:snapToGrid w:val="0"/>
                    <w:jc w:val="center"/>
                    <w:rPr>
                      <w:rFonts w:hint="eastAsia"/>
                      <w:color w:val="FF0000"/>
                      <w:spacing w:val="-1"/>
                      <w:sz w:val="20"/>
                      <w:szCs w:val="20"/>
                    </w:rPr>
                  </w:pPr>
                  <w:r>
                    <w:rPr>
                      <w:rFonts w:hint="eastAsia"/>
                      <w:color w:val="FF0000"/>
                      <w:spacing w:val="-1"/>
                      <w:sz w:val="20"/>
                      <w:szCs w:val="20"/>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trPr>
              <w:tc>
                <w:tcPr>
                  <w:tcW w:w="962" w:type="dxa"/>
                  <w:vMerge w:val="continue"/>
                  <w:noWrap w:val="0"/>
                  <w:vAlign w:val="center"/>
                </w:tcPr>
                <w:p>
                  <w:pPr>
                    <w:adjustRightInd w:val="0"/>
                    <w:snapToGrid w:val="0"/>
                    <w:jc w:val="center"/>
                    <w:rPr>
                      <w:color w:val="FF0000"/>
                      <w:spacing w:val="-1"/>
                      <w:sz w:val="20"/>
                      <w:szCs w:val="20"/>
                    </w:rPr>
                  </w:pPr>
                </w:p>
              </w:tc>
              <w:tc>
                <w:tcPr>
                  <w:tcW w:w="905" w:type="dxa"/>
                  <w:vMerge w:val="continue"/>
                  <w:noWrap w:val="0"/>
                  <w:vAlign w:val="center"/>
                </w:tcPr>
                <w:p>
                  <w:pPr>
                    <w:adjustRightInd w:val="0"/>
                    <w:snapToGrid w:val="0"/>
                    <w:jc w:val="center"/>
                    <w:rPr>
                      <w:color w:val="FF0000"/>
                      <w:spacing w:val="-1"/>
                      <w:sz w:val="20"/>
                      <w:szCs w:val="20"/>
                    </w:rPr>
                  </w:pPr>
                </w:p>
              </w:tc>
              <w:tc>
                <w:tcPr>
                  <w:tcW w:w="1052"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动植物油</w:t>
                  </w:r>
                </w:p>
              </w:tc>
              <w:tc>
                <w:tcPr>
                  <w:tcW w:w="863" w:type="dxa"/>
                  <w:vMerge w:val="continue"/>
                  <w:noWrap w:val="0"/>
                  <w:vAlign w:val="center"/>
                </w:tcPr>
                <w:p>
                  <w:pPr>
                    <w:adjustRightInd w:val="0"/>
                    <w:snapToGrid w:val="0"/>
                    <w:jc w:val="center"/>
                    <w:rPr>
                      <w:color w:val="FF0000"/>
                      <w:spacing w:val="-1"/>
                      <w:sz w:val="20"/>
                      <w:szCs w:val="20"/>
                    </w:rPr>
                  </w:pPr>
                </w:p>
              </w:tc>
              <w:tc>
                <w:tcPr>
                  <w:tcW w:w="965"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ND</w:t>
                  </w:r>
                </w:p>
              </w:tc>
              <w:tc>
                <w:tcPr>
                  <w:tcW w:w="965" w:type="dxa"/>
                  <w:noWrap w:val="0"/>
                  <w:vAlign w:val="center"/>
                </w:tcPr>
                <w:p>
                  <w:pPr>
                    <w:adjustRightInd w:val="0"/>
                    <w:snapToGrid w:val="0"/>
                    <w:jc w:val="center"/>
                    <w:rPr>
                      <w:rFonts w:hint="eastAsia"/>
                      <w:color w:val="FF0000"/>
                      <w:spacing w:val="-1"/>
                      <w:sz w:val="20"/>
                      <w:szCs w:val="20"/>
                      <w:lang w:val="en-US" w:eastAsia="zh-CN"/>
                    </w:rPr>
                  </w:pPr>
                  <w:r>
                    <w:rPr>
                      <w:rFonts w:hint="eastAsia"/>
                      <w:color w:val="FF0000"/>
                      <w:spacing w:val="-1"/>
                      <w:sz w:val="20"/>
                      <w:szCs w:val="20"/>
                      <w:lang w:val="en-US" w:eastAsia="zh-CN"/>
                    </w:rPr>
                    <w:t>ND</w:t>
                  </w:r>
                </w:p>
              </w:tc>
              <w:tc>
                <w:tcPr>
                  <w:tcW w:w="965" w:type="dxa"/>
                  <w:noWrap w:val="0"/>
                  <w:vAlign w:val="center"/>
                </w:tcPr>
                <w:p>
                  <w:pPr>
                    <w:adjustRightInd w:val="0"/>
                    <w:snapToGrid w:val="0"/>
                    <w:jc w:val="center"/>
                    <w:rPr>
                      <w:rFonts w:hint="eastAsia"/>
                      <w:color w:val="FF0000"/>
                      <w:spacing w:val="-1"/>
                      <w:sz w:val="20"/>
                      <w:szCs w:val="20"/>
                      <w:lang w:val="en-US" w:eastAsia="zh-CN"/>
                    </w:rPr>
                  </w:pPr>
                  <w:r>
                    <w:rPr>
                      <w:rFonts w:hint="eastAsia"/>
                      <w:color w:val="FF0000"/>
                      <w:spacing w:val="-1"/>
                      <w:sz w:val="20"/>
                      <w:szCs w:val="20"/>
                      <w:lang w:val="en-US" w:eastAsia="zh-CN"/>
                    </w:rPr>
                    <w:t>ND</w:t>
                  </w:r>
                </w:p>
              </w:tc>
              <w:tc>
                <w:tcPr>
                  <w:tcW w:w="799" w:type="dxa"/>
                  <w:noWrap w:val="0"/>
                  <w:vAlign w:val="center"/>
                </w:tcPr>
                <w:p>
                  <w:pPr>
                    <w:adjustRightInd w:val="0"/>
                    <w:snapToGrid w:val="0"/>
                    <w:jc w:val="center"/>
                    <w:rPr>
                      <w:rFonts w:hint="default"/>
                      <w:color w:val="FF0000"/>
                      <w:spacing w:val="-1"/>
                      <w:sz w:val="20"/>
                      <w:szCs w:val="20"/>
                      <w:lang w:val="en-US" w:eastAsia="zh-CN"/>
                    </w:rPr>
                  </w:pPr>
                  <w:r>
                    <w:rPr>
                      <w:rFonts w:hint="eastAsia"/>
                      <w:color w:val="FF0000"/>
                      <w:spacing w:val="-1"/>
                      <w:sz w:val="20"/>
                      <w:szCs w:val="20"/>
                      <w:lang w:val="en-US" w:eastAsia="zh-CN"/>
                    </w:rPr>
                    <w:t>100</w:t>
                  </w:r>
                </w:p>
              </w:tc>
              <w:tc>
                <w:tcPr>
                  <w:tcW w:w="721" w:type="dxa"/>
                  <w:noWrap w:val="0"/>
                  <w:vAlign w:val="center"/>
                </w:tcPr>
                <w:p>
                  <w:pPr>
                    <w:adjustRightInd w:val="0"/>
                    <w:snapToGrid w:val="0"/>
                    <w:jc w:val="center"/>
                    <w:rPr>
                      <w:rFonts w:hint="eastAsia"/>
                      <w:color w:val="FF0000"/>
                      <w:spacing w:val="-1"/>
                      <w:sz w:val="20"/>
                      <w:szCs w:val="20"/>
                    </w:rPr>
                  </w:pPr>
                  <w:r>
                    <w:rPr>
                      <w:rFonts w:hint="eastAsia"/>
                      <w:color w:val="FF0000"/>
                      <w:spacing w:val="-1"/>
                      <w:sz w:val="20"/>
                      <w:szCs w:val="20"/>
                    </w:rPr>
                    <w:t>达标</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FF0000"/>
                <w:sz w:val="18"/>
                <w:szCs w:val="21"/>
                <w:lang w:val="en-US" w:eastAsia="zh-CN"/>
              </w:rPr>
            </w:pPr>
            <w:r>
              <w:rPr>
                <w:rFonts w:hint="eastAsia" w:cs="Times New Roman"/>
                <w:color w:val="FF0000"/>
                <w:sz w:val="18"/>
                <w:szCs w:val="21"/>
                <w:lang w:val="en-US" w:eastAsia="zh-CN"/>
              </w:rPr>
              <w:t>注：动植物油检出限为0.06mg/L</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监测期间，污水排口各因子排放浓度满足《污水综合排放标准》（</w:t>
            </w:r>
            <w:r>
              <w:rPr>
                <w:rFonts w:hint="default" w:ascii="Times New Roman" w:hAnsi="Times New Roman" w:eastAsia="宋体" w:cs="Times New Roman"/>
                <w:color w:val="FF0000"/>
                <w:lang w:val="en-US" w:eastAsia="zh-CN"/>
              </w:rPr>
              <w:t>GB8978-1996</w:t>
            </w:r>
            <w:r>
              <w:rPr>
                <w:rFonts w:hint="eastAsia" w:ascii="Times New Roman" w:hAnsi="Times New Roman" w:eastAsia="宋体" w:cs="Times New Roman"/>
                <w:color w:val="FF0000"/>
                <w:lang w:val="en-US" w:eastAsia="zh-CN"/>
              </w:rPr>
              <w:t>）表 4中的三级标准。</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 xml:space="preserve">华胜公司厂区污水处理站处理能力为500t/d，目前废水产生量共计 </w:t>
            </w:r>
            <w:r>
              <w:rPr>
                <w:rFonts w:hint="eastAsia" w:cs="Times New Roman"/>
                <w:color w:val="FF0000"/>
                <w:lang w:val="en-US" w:eastAsia="zh-CN"/>
              </w:rPr>
              <w:t>300</w:t>
            </w:r>
            <w:r>
              <w:rPr>
                <w:rFonts w:hint="eastAsia" w:ascii="Times New Roman" w:hAnsi="Times New Roman" w:eastAsia="宋体" w:cs="Times New Roman"/>
                <w:color w:val="FF0000"/>
                <w:lang w:val="en-US" w:eastAsia="zh-CN"/>
              </w:rPr>
              <w:t>t/d(</w:t>
            </w:r>
            <w:r>
              <w:rPr>
                <w:rFonts w:hint="eastAsia" w:cs="Times New Roman"/>
                <w:color w:val="FF0000"/>
                <w:lang w:val="en-US" w:eastAsia="zh-CN"/>
              </w:rPr>
              <w:t>900000</w:t>
            </w:r>
            <w:r>
              <w:rPr>
                <w:rFonts w:hint="eastAsia" w:ascii="Times New Roman" w:hAnsi="Times New Roman" w:eastAsia="宋体" w:cs="Times New Roman"/>
                <w:color w:val="FF0000"/>
                <w:lang w:val="en-US" w:eastAsia="zh-CN"/>
              </w:rPr>
              <w:t>t/a)，剩余</w:t>
            </w:r>
            <w:r>
              <w:rPr>
                <w:rFonts w:hint="eastAsia" w:cs="Times New Roman"/>
                <w:color w:val="FF0000"/>
                <w:lang w:val="en-US" w:eastAsia="zh-CN"/>
              </w:rPr>
              <w:t>200</w:t>
            </w:r>
            <w:r>
              <w:rPr>
                <w:rFonts w:hint="eastAsia" w:ascii="Times New Roman" w:hAnsi="Times New Roman" w:eastAsia="宋体" w:cs="Times New Roman"/>
                <w:color w:val="FF0000"/>
                <w:lang w:val="en-US" w:eastAsia="zh-CN"/>
              </w:rPr>
              <w:t>t/d处理能力，本项目需依托华胜污水处理站处理的废水量为9.6t/d，可以满足本项目废水处理的需要。</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Times New Roman" w:hAnsi="Times New Roman" w:eastAsia="宋体" w:cs="Times New Roman"/>
                <w:color w:val="FF0000"/>
                <w:lang w:val="en-US" w:eastAsia="zh-CN"/>
              </w:rPr>
            </w:pPr>
            <w:r>
              <w:rPr>
                <w:rFonts w:hint="eastAsia" w:ascii="Times New Roman" w:hAnsi="Times New Roman" w:eastAsia="宋体" w:cs="Times New Roman"/>
                <w:color w:val="FF0000"/>
                <w:lang w:val="en-US" w:eastAsia="zh-CN"/>
              </w:rPr>
              <w:t>本项目全厂废水主要污染物为COD、SS、TP、氨氮、TN，水质简单，不涉及特征污染物，不会影响华胜现有废水的稳定运行和达标排排放。</w:t>
            </w:r>
          </w:p>
          <w:p>
            <w:pPr>
              <w:pStyle w:val="3718"/>
              <w:spacing w:line="380" w:lineRule="exact"/>
              <w:ind w:left="0" w:right="0" w:firstLine="422" w:firstLineChars="200"/>
              <w:jc w:val="both"/>
              <w:rPr>
                <w:rFonts w:hint="eastAsia" w:ascii="Times New Roman" w:hAnsi="Times New Roman" w:cs="Times New Roman"/>
                <w:b/>
                <w:bCs/>
                <w:color w:val="FF0000"/>
                <w:kern w:val="2"/>
                <w:sz w:val="21"/>
                <w:szCs w:val="21"/>
                <w:lang w:val="en-US" w:eastAsia="zh-CN"/>
              </w:rPr>
            </w:pPr>
            <w:r>
              <w:rPr>
                <w:rFonts w:hint="eastAsia" w:ascii="Times New Roman" w:hAnsi="Times New Roman" w:cs="Times New Roman"/>
                <w:b/>
                <w:bCs/>
                <w:color w:val="FF0000"/>
                <w:kern w:val="2"/>
                <w:sz w:val="21"/>
                <w:szCs w:val="21"/>
                <w:lang w:val="en-US" w:eastAsia="zh-CN"/>
              </w:rPr>
              <w:t>④</w:t>
            </w:r>
            <w:r>
              <w:rPr>
                <w:rFonts w:hint="eastAsia" w:ascii="Times New Roman" w:hAnsi="Times New Roman" w:cs="Times New Roman"/>
                <w:b/>
                <w:bCs/>
                <w:color w:val="FF0000"/>
                <w:kern w:val="2"/>
                <w:sz w:val="21"/>
                <w:szCs w:val="21"/>
                <w:lang w:val="en-US" w:eastAsia="zh-CN"/>
              </w:rPr>
              <w:tab/>
            </w:r>
            <w:r>
              <w:rPr>
                <w:rFonts w:hint="eastAsia" w:ascii="Times New Roman" w:hAnsi="Times New Roman" w:cs="Times New Roman"/>
                <w:b/>
                <w:bCs/>
                <w:color w:val="FF0000"/>
                <w:kern w:val="2"/>
                <w:sz w:val="21"/>
                <w:szCs w:val="21"/>
                <w:lang w:val="en-US" w:eastAsia="zh-CN"/>
              </w:rPr>
              <w:t>华胜公司现有废水实际排放总量</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FF0000"/>
                <w:lang w:val="en-US" w:eastAsia="zh-CN"/>
              </w:rPr>
            </w:pPr>
            <w:r>
              <w:rPr>
                <w:rFonts w:hint="eastAsia" w:cs="Times New Roman"/>
                <w:color w:val="FF0000"/>
                <w:kern w:val="2"/>
                <w:sz w:val="21"/>
                <w:szCs w:val="21"/>
                <w:lang w:val="en-US" w:eastAsia="zh-CN"/>
              </w:rPr>
              <w:t>据企业介绍，华胜公司2025年实际废水排放量为90000t。</w:t>
            </w:r>
            <w:r>
              <w:rPr>
                <w:rFonts w:hint="eastAsia" w:ascii="Times New Roman" w:hAnsi="Times New Roman" w:eastAsia="宋体" w:cs="Times New Roman"/>
                <w:color w:val="FF0000"/>
                <w:lang w:val="en-US" w:eastAsia="zh-CN"/>
              </w:rPr>
              <w:t>根据华胜公司202</w:t>
            </w:r>
            <w:r>
              <w:rPr>
                <w:rFonts w:hint="eastAsia" w:cs="Times New Roman"/>
                <w:color w:val="FF0000"/>
                <w:lang w:val="en-US" w:eastAsia="zh-CN"/>
              </w:rPr>
              <w:t>6</w:t>
            </w:r>
            <w:r>
              <w:rPr>
                <w:rFonts w:hint="eastAsia" w:ascii="Times New Roman" w:hAnsi="Times New Roman" w:eastAsia="宋体" w:cs="Times New Roman"/>
                <w:color w:val="FF0000"/>
                <w:lang w:val="en-US" w:eastAsia="zh-CN"/>
              </w:rPr>
              <w:t>年废水自行监测数据核算，现有工程废水污染物排放情况见表2-1</w:t>
            </w:r>
            <w:r>
              <w:rPr>
                <w:rFonts w:hint="eastAsia" w:cs="Times New Roman"/>
                <w:color w:val="FF0000"/>
                <w:lang w:val="en-US" w:eastAsia="zh-CN"/>
              </w:rPr>
              <w:t>3</w:t>
            </w:r>
            <w:r>
              <w:rPr>
                <w:rFonts w:hint="eastAsia" w:ascii="Times New Roman" w:hAnsi="Times New Roman" w:eastAsia="宋体" w:cs="Times New Roman"/>
                <w:color w:val="FF0000"/>
                <w:lang w:val="en-US" w:eastAsia="zh-CN"/>
              </w:rPr>
              <w:t>。</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eastAsia="宋体" w:cs="Times New Roman"/>
                <w:b/>
                <w:bCs/>
                <w:color w:val="FF0000"/>
                <w:lang w:val="en-US" w:eastAsia="zh-CN"/>
              </w:rPr>
            </w:pPr>
            <w:r>
              <w:rPr>
                <w:rFonts w:hint="eastAsia" w:ascii="Times New Roman" w:hAnsi="Times New Roman" w:eastAsia="宋体" w:cs="Times New Roman"/>
                <w:b/>
                <w:bCs/>
                <w:color w:val="FF0000"/>
                <w:lang w:val="en-US" w:eastAsia="zh-CN"/>
              </w:rPr>
              <w:t>表2-1</w:t>
            </w:r>
            <w:r>
              <w:rPr>
                <w:rFonts w:hint="eastAsia" w:cs="Times New Roman"/>
                <w:b/>
                <w:bCs/>
                <w:color w:val="FF0000"/>
                <w:lang w:val="en-US" w:eastAsia="zh-CN"/>
              </w:rPr>
              <w:t>3</w:t>
            </w:r>
            <w:r>
              <w:rPr>
                <w:rFonts w:hint="eastAsia" w:ascii="Times New Roman" w:hAnsi="Times New Roman" w:eastAsia="宋体" w:cs="Times New Roman"/>
                <w:b/>
                <w:bCs/>
                <w:color w:val="FF0000"/>
                <w:lang w:val="en-US" w:eastAsia="zh-CN"/>
              </w:rPr>
              <w:t xml:space="preserve">   现有工程污染物排放情况 单位t/a</w:t>
            </w:r>
          </w:p>
          <w:tbl>
            <w:tblPr>
              <w:tblStyle w:val="91"/>
              <w:tblW w:w="498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970"/>
              <w:gridCol w:w="1349"/>
              <w:gridCol w:w="2279"/>
              <w:gridCol w:w="1982"/>
              <w:gridCol w:w="1598"/>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tcBorders>
                    <w:bottom w:val="single" w:color="auto" w:sz="12" w:space="0"/>
                  </w:tcBorders>
                  <w:noWrap w:val="0"/>
                  <w:vAlign w:val="center"/>
                </w:tcPr>
                <w:p>
                  <w:pPr>
                    <w:adjustRightInd w:val="0"/>
                    <w:snapToGrid w:val="0"/>
                    <w:jc w:val="center"/>
                    <w:rPr>
                      <w:b/>
                      <w:bCs/>
                      <w:color w:val="FF0000"/>
                      <w:spacing w:val="-1"/>
                      <w:sz w:val="20"/>
                      <w:szCs w:val="20"/>
                      <w:highlight w:val="none"/>
                    </w:rPr>
                  </w:pPr>
                  <w:r>
                    <w:rPr>
                      <w:rFonts w:hint="eastAsia"/>
                      <w:b/>
                      <w:bCs/>
                      <w:color w:val="FF0000"/>
                      <w:spacing w:val="-1"/>
                      <w:sz w:val="20"/>
                      <w:szCs w:val="20"/>
                      <w:highlight w:val="none"/>
                    </w:rPr>
                    <w:t>种类</w:t>
                  </w:r>
                </w:p>
              </w:tc>
              <w:tc>
                <w:tcPr>
                  <w:tcW w:w="824" w:type="pct"/>
                  <w:tcBorders>
                    <w:bottom w:val="single" w:color="auto" w:sz="12" w:space="0"/>
                  </w:tcBorders>
                  <w:noWrap w:val="0"/>
                  <w:vAlign w:val="center"/>
                </w:tcPr>
                <w:p>
                  <w:pPr>
                    <w:adjustRightInd w:val="0"/>
                    <w:snapToGrid w:val="0"/>
                    <w:jc w:val="center"/>
                    <w:rPr>
                      <w:b/>
                      <w:bCs/>
                      <w:color w:val="FF0000"/>
                      <w:spacing w:val="-1"/>
                      <w:sz w:val="20"/>
                      <w:szCs w:val="20"/>
                      <w:highlight w:val="none"/>
                    </w:rPr>
                  </w:pPr>
                  <w:r>
                    <w:rPr>
                      <w:rFonts w:hint="eastAsia"/>
                      <w:b/>
                      <w:bCs/>
                      <w:color w:val="FF0000"/>
                      <w:spacing w:val="-1"/>
                      <w:sz w:val="20"/>
                      <w:szCs w:val="20"/>
                      <w:highlight w:val="none"/>
                    </w:rPr>
                    <w:t>污染物名称</w:t>
                  </w:r>
                </w:p>
              </w:tc>
              <w:tc>
                <w:tcPr>
                  <w:tcW w:w="1393" w:type="pct"/>
                  <w:tcBorders>
                    <w:bottom w:val="single" w:color="auto" w:sz="12" w:space="0"/>
                  </w:tcBorders>
                  <w:noWrap w:val="0"/>
                  <w:vAlign w:val="center"/>
                </w:tcPr>
                <w:p>
                  <w:pPr>
                    <w:adjustRightInd w:val="0"/>
                    <w:snapToGrid w:val="0"/>
                    <w:jc w:val="center"/>
                    <w:rPr>
                      <w:b/>
                      <w:bCs/>
                      <w:color w:val="FF0000"/>
                      <w:spacing w:val="-1"/>
                      <w:sz w:val="20"/>
                      <w:szCs w:val="20"/>
                      <w:highlight w:val="none"/>
                    </w:rPr>
                  </w:pPr>
                  <w:r>
                    <w:rPr>
                      <w:rFonts w:hint="eastAsia"/>
                      <w:b/>
                      <w:bCs/>
                      <w:color w:val="FF0000"/>
                      <w:spacing w:val="-1"/>
                      <w:sz w:val="20"/>
                      <w:szCs w:val="20"/>
                      <w:highlight w:val="none"/>
                    </w:rPr>
                    <w:t>现有项目实际排放总量</w:t>
                  </w:r>
                </w:p>
              </w:tc>
              <w:tc>
                <w:tcPr>
                  <w:tcW w:w="1211" w:type="pct"/>
                  <w:tcBorders>
                    <w:bottom w:val="single" w:color="auto" w:sz="12" w:space="0"/>
                  </w:tcBorders>
                  <w:noWrap w:val="0"/>
                  <w:vAlign w:val="center"/>
                </w:tcPr>
                <w:p>
                  <w:pPr>
                    <w:adjustRightInd w:val="0"/>
                    <w:snapToGrid w:val="0"/>
                    <w:jc w:val="center"/>
                    <w:rPr>
                      <w:b/>
                      <w:bCs/>
                      <w:color w:val="FF0000"/>
                      <w:spacing w:val="-1"/>
                      <w:sz w:val="20"/>
                      <w:szCs w:val="20"/>
                      <w:highlight w:val="none"/>
                    </w:rPr>
                  </w:pPr>
                  <w:r>
                    <w:rPr>
                      <w:rFonts w:hint="eastAsia"/>
                      <w:b/>
                      <w:bCs/>
                      <w:color w:val="FF0000"/>
                      <w:spacing w:val="-1"/>
                      <w:sz w:val="20"/>
                      <w:szCs w:val="20"/>
                      <w:highlight w:val="none"/>
                    </w:rPr>
                    <w:t>现有项目环评批复量</w:t>
                  </w:r>
                </w:p>
              </w:tc>
              <w:tc>
                <w:tcPr>
                  <w:tcW w:w="977" w:type="pct"/>
                  <w:tcBorders>
                    <w:bottom w:val="single" w:color="auto" w:sz="12" w:space="0"/>
                  </w:tcBorders>
                  <w:noWrap w:val="0"/>
                  <w:vAlign w:val="center"/>
                </w:tcPr>
                <w:p>
                  <w:pPr>
                    <w:adjustRightInd w:val="0"/>
                    <w:snapToGrid w:val="0"/>
                    <w:jc w:val="center"/>
                    <w:rPr>
                      <w:b/>
                      <w:bCs/>
                      <w:color w:val="FF0000"/>
                      <w:spacing w:val="-1"/>
                      <w:sz w:val="20"/>
                      <w:szCs w:val="20"/>
                      <w:highlight w:val="none"/>
                    </w:rPr>
                  </w:pPr>
                  <w:r>
                    <w:rPr>
                      <w:rFonts w:hint="eastAsia"/>
                      <w:b/>
                      <w:bCs/>
                      <w:color w:val="FF0000"/>
                      <w:spacing w:val="-1"/>
                      <w:sz w:val="20"/>
                      <w:szCs w:val="20"/>
                      <w:highlight w:val="none"/>
                    </w:rPr>
                    <w:t>排污许可允许量</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237" w:hRule="atLeast"/>
              </w:trPr>
              <w:tc>
                <w:tcPr>
                  <w:tcW w:w="593" w:type="pct"/>
                  <w:vMerge w:val="restart"/>
                  <w:tcBorders>
                    <w:top w:val="single" w:color="auto" w:sz="12" w:space="0"/>
                    <w:tl2br w:val="nil"/>
                    <w:tr2bl w:val="nil"/>
                  </w:tcBorders>
                  <w:noWrap w:val="0"/>
                  <w:vAlign w:val="center"/>
                </w:tcPr>
                <w:p>
                  <w:pPr>
                    <w:adjustRightInd w:val="0"/>
                    <w:snapToGrid w:val="0"/>
                    <w:jc w:val="center"/>
                    <w:rPr>
                      <w:color w:val="FF0000"/>
                      <w:spacing w:val="-1"/>
                      <w:sz w:val="20"/>
                      <w:szCs w:val="20"/>
                      <w:highlight w:val="none"/>
                    </w:rPr>
                  </w:pPr>
                  <w:r>
                    <w:rPr>
                      <w:rFonts w:hint="eastAsia"/>
                      <w:color w:val="FF0000"/>
                      <w:spacing w:val="-1"/>
                      <w:sz w:val="20"/>
                      <w:szCs w:val="20"/>
                      <w:highlight w:val="none"/>
                    </w:rPr>
                    <w:t>废水</w:t>
                  </w:r>
                </w:p>
              </w:tc>
              <w:tc>
                <w:tcPr>
                  <w:tcW w:w="824" w:type="pct"/>
                  <w:tcBorders>
                    <w:top w:val="single" w:color="auto" w:sz="12" w:space="0"/>
                    <w:tl2br w:val="nil"/>
                    <w:tr2bl w:val="nil"/>
                  </w:tcBorders>
                  <w:noWrap w:val="0"/>
                  <w:vAlign w:val="center"/>
                </w:tcPr>
                <w:p>
                  <w:pPr>
                    <w:adjustRightInd w:val="0"/>
                    <w:snapToGrid w:val="0"/>
                    <w:jc w:val="center"/>
                    <w:rPr>
                      <w:color w:val="FF0000"/>
                      <w:spacing w:val="-1"/>
                      <w:sz w:val="20"/>
                      <w:szCs w:val="20"/>
                      <w:highlight w:val="none"/>
                    </w:rPr>
                  </w:pPr>
                  <w:r>
                    <w:rPr>
                      <w:rFonts w:hint="eastAsia"/>
                      <w:color w:val="FF0000"/>
                      <w:spacing w:val="-1"/>
                      <w:sz w:val="20"/>
                      <w:szCs w:val="20"/>
                      <w:highlight w:val="none"/>
                    </w:rPr>
                    <w:t>废水量</w:t>
                  </w:r>
                </w:p>
              </w:tc>
              <w:tc>
                <w:tcPr>
                  <w:tcW w:w="1393" w:type="pct"/>
                  <w:tcBorders>
                    <w:top w:val="single" w:color="auto" w:sz="12" w:space="0"/>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90000</w:t>
                  </w:r>
                </w:p>
              </w:tc>
              <w:tc>
                <w:tcPr>
                  <w:tcW w:w="1211" w:type="pct"/>
                  <w:tcBorders>
                    <w:top w:val="single" w:color="auto" w:sz="12" w:space="0"/>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ascii="Times New Roman" w:hAnsi="Times New Roman" w:eastAsia="宋体" w:cs="Times New Roman"/>
                      <w:color w:val="FF0000"/>
                      <w:spacing w:val="-1"/>
                      <w:sz w:val="20"/>
                      <w:szCs w:val="20"/>
                      <w:highlight w:val="none"/>
                      <w:lang w:val="en-US" w:eastAsia="zh-CN"/>
                    </w:rPr>
                    <w:t>141480</w:t>
                  </w:r>
                </w:p>
              </w:tc>
              <w:tc>
                <w:tcPr>
                  <w:tcW w:w="977" w:type="pct"/>
                  <w:tcBorders>
                    <w:top w:val="single" w:color="auto" w:sz="12" w:space="0"/>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ascii="Times New Roman" w:hAnsi="Times New Roman" w:eastAsia="宋体" w:cs="Times New Roman"/>
                      <w:color w:val="FF0000"/>
                      <w:spacing w:val="-1"/>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vMerge w:val="continue"/>
                  <w:tcBorders>
                    <w:tl2br w:val="nil"/>
                    <w:tr2bl w:val="nil"/>
                  </w:tcBorders>
                  <w:noWrap w:val="0"/>
                  <w:vAlign w:val="center"/>
                </w:tcPr>
                <w:p>
                  <w:pPr>
                    <w:adjustRightInd w:val="0"/>
                    <w:snapToGrid w:val="0"/>
                    <w:jc w:val="center"/>
                    <w:rPr>
                      <w:color w:val="FF0000"/>
                      <w:spacing w:val="-1"/>
                      <w:sz w:val="20"/>
                      <w:szCs w:val="20"/>
                      <w:highlight w:val="none"/>
                    </w:rPr>
                  </w:pPr>
                </w:p>
              </w:tc>
              <w:tc>
                <w:tcPr>
                  <w:tcW w:w="824" w:type="pct"/>
                  <w:tcBorders>
                    <w:tl2br w:val="nil"/>
                    <w:tr2bl w:val="nil"/>
                  </w:tcBorders>
                  <w:noWrap w:val="0"/>
                  <w:vAlign w:val="center"/>
                </w:tcPr>
                <w:p>
                  <w:pPr>
                    <w:adjustRightInd w:val="0"/>
                    <w:snapToGrid w:val="0"/>
                    <w:jc w:val="center"/>
                    <w:rPr>
                      <w:rFonts w:hint="default" w:eastAsia="宋体"/>
                      <w:color w:val="FF0000"/>
                      <w:spacing w:val="-1"/>
                      <w:sz w:val="20"/>
                      <w:szCs w:val="20"/>
                      <w:highlight w:val="none"/>
                      <w:lang w:val="en-US" w:eastAsia="zh-CN"/>
                    </w:rPr>
                  </w:pPr>
                  <w:r>
                    <w:rPr>
                      <w:rFonts w:hint="eastAsia"/>
                      <w:color w:val="FF0000"/>
                      <w:spacing w:val="-1"/>
                      <w:sz w:val="20"/>
                      <w:szCs w:val="20"/>
                      <w:highlight w:val="none"/>
                      <w:lang w:val="en-US" w:eastAsia="zh-CN"/>
                    </w:rPr>
                    <w:t>COD</w:t>
                  </w:r>
                </w:p>
              </w:tc>
              <w:tc>
                <w:tcPr>
                  <w:tcW w:w="227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22.29</w:t>
                  </w:r>
                </w:p>
              </w:tc>
              <w:tc>
                <w:tcPr>
                  <w:tcW w:w="121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ascii="Times New Roman" w:hAnsi="Times New Roman" w:eastAsia="宋体" w:cs="Times New Roman"/>
                      <w:color w:val="FF0000"/>
                      <w:spacing w:val="-1"/>
                      <w:sz w:val="20"/>
                      <w:szCs w:val="20"/>
                      <w:highlight w:val="none"/>
                      <w:lang w:val="en-US" w:eastAsia="zh-CN"/>
                    </w:rPr>
                    <w:t>50.367</w:t>
                  </w:r>
                </w:p>
              </w:tc>
              <w:tc>
                <w:tcPr>
                  <w:tcW w:w="977"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FF0000"/>
                      <w:spacing w:val="-1"/>
                      <w:sz w:val="20"/>
                      <w:szCs w:val="20"/>
                      <w:highlight w:val="none"/>
                      <w:lang w:val="en-US" w:eastAsia="zh-CN"/>
                    </w:rPr>
                  </w:pPr>
                  <w:r>
                    <w:rPr>
                      <w:rFonts w:hint="eastAsia" w:ascii="Times New Roman" w:hAnsi="Times New Roman" w:eastAsia="宋体" w:cs="Times New Roman"/>
                      <w:color w:val="FF0000"/>
                      <w:spacing w:val="-1"/>
                      <w:sz w:val="20"/>
                      <w:szCs w:val="20"/>
                      <w:highlight w:val="none"/>
                      <w:lang w:val="en-US" w:eastAsia="zh-CN"/>
                    </w:rPr>
                    <w:t>50.367</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vMerge w:val="continue"/>
                  <w:tcBorders>
                    <w:tl2br w:val="nil"/>
                    <w:tr2bl w:val="nil"/>
                  </w:tcBorders>
                  <w:noWrap w:val="0"/>
                  <w:vAlign w:val="center"/>
                </w:tcPr>
                <w:p>
                  <w:pPr>
                    <w:adjustRightInd w:val="0"/>
                    <w:snapToGrid w:val="0"/>
                    <w:jc w:val="center"/>
                    <w:rPr>
                      <w:color w:val="FF0000"/>
                      <w:spacing w:val="-1"/>
                      <w:sz w:val="20"/>
                      <w:szCs w:val="20"/>
                    </w:rPr>
                  </w:pPr>
                </w:p>
              </w:tc>
              <w:tc>
                <w:tcPr>
                  <w:tcW w:w="82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FF0000"/>
                      <w:spacing w:val="-1"/>
                      <w:kern w:val="2"/>
                      <w:sz w:val="21"/>
                      <w:szCs w:val="21"/>
                      <w:lang w:val="en-US" w:eastAsia="zh-CN" w:bidi="ar-SA"/>
                    </w:rPr>
                  </w:pPr>
                  <w:r>
                    <w:rPr>
                      <w:rFonts w:hint="eastAsia" w:cs="Times New Roman"/>
                      <w:color w:val="FF0000"/>
                      <w:spacing w:val="-1"/>
                      <w:kern w:val="2"/>
                      <w:sz w:val="21"/>
                      <w:szCs w:val="21"/>
                      <w:lang w:val="en-US" w:eastAsia="zh-CN" w:bidi="ar-SA"/>
                    </w:rPr>
                    <w:t>BOD</w:t>
                  </w:r>
                  <w:r>
                    <w:rPr>
                      <w:rFonts w:hint="eastAsia" w:cs="Times New Roman"/>
                      <w:color w:val="FF0000"/>
                      <w:spacing w:val="-1"/>
                      <w:kern w:val="2"/>
                      <w:sz w:val="21"/>
                      <w:szCs w:val="21"/>
                      <w:vertAlign w:val="subscript"/>
                      <w:lang w:val="en-US" w:eastAsia="zh-CN" w:bidi="ar-SA"/>
                    </w:rPr>
                    <w:t>5</w:t>
                  </w:r>
                </w:p>
              </w:tc>
              <w:tc>
                <w:tcPr>
                  <w:tcW w:w="227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4.038</w:t>
                  </w:r>
                </w:p>
              </w:tc>
              <w:tc>
                <w:tcPr>
                  <w:tcW w:w="121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14.431</w:t>
                  </w:r>
                </w:p>
              </w:tc>
              <w:tc>
                <w:tcPr>
                  <w:tcW w:w="977"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FF0000"/>
                      <w:spacing w:val="-1"/>
                      <w:kern w:val="2"/>
                      <w:sz w:val="20"/>
                      <w:szCs w:val="20"/>
                      <w:highlight w:val="none"/>
                      <w:lang w:val="en-US" w:eastAsia="zh-CN" w:bidi="ar-SA"/>
                    </w:rPr>
                  </w:pPr>
                  <w:r>
                    <w:rPr>
                      <w:rFonts w:hint="eastAsia" w:cs="Times New Roman"/>
                      <w:color w:val="FF0000"/>
                      <w:spacing w:val="-1"/>
                      <w:kern w:val="2"/>
                      <w:sz w:val="20"/>
                      <w:szCs w:val="20"/>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vMerge w:val="continue"/>
                  <w:tcBorders>
                    <w:tl2br w:val="nil"/>
                    <w:tr2bl w:val="nil"/>
                  </w:tcBorders>
                  <w:noWrap w:val="0"/>
                  <w:vAlign w:val="center"/>
                </w:tcPr>
                <w:p>
                  <w:pPr>
                    <w:adjustRightInd w:val="0"/>
                    <w:snapToGrid w:val="0"/>
                    <w:jc w:val="center"/>
                    <w:rPr>
                      <w:color w:val="FF0000"/>
                      <w:spacing w:val="-1"/>
                      <w:sz w:val="20"/>
                      <w:szCs w:val="20"/>
                    </w:rPr>
                  </w:pPr>
                </w:p>
              </w:tc>
              <w:tc>
                <w:tcPr>
                  <w:tcW w:w="824"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FF0000"/>
                      <w:spacing w:val="-1"/>
                      <w:kern w:val="2"/>
                      <w:sz w:val="21"/>
                      <w:szCs w:val="21"/>
                      <w:lang w:val="en-US" w:eastAsia="zh-CN" w:bidi="ar-SA"/>
                    </w:rPr>
                  </w:pPr>
                  <w:r>
                    <w:rPr>
                      <w:rFonts w:hint="eastAsia" w:cs="Times New Roman"/>
                      <w:color w:val="FF0000"/>
                      <w:spacing w:val="-1"/>
                      <w:kern w:val="2"/>
                      <w:sz w:val="21"/>
                      <w:szCs w:val="21"/>
                      <w:lang w:val="en-US" w:eastAsia="zh-CN" w:bidi="ar-SA"/>
                    </w:rPr>
                    <w:t>SS</w:t>
                  </w:r>
                </w:p>
              </w:tc>
              <w:tc>
                <w:tcPr>
                  <w:tcW w:w="227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1.68</w:t>
                  </w:r>
                </w:p>
              </w:tc>
              <w:tc>
                <w:tcPr>
                  <w:tcW w:w="121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12.875</w:t>
                  </w:r>
                </w:p>
              </w:tc>
              <w:tc>
                <w:tcPr>
                  <w:tcW w:w="977"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FF0000"/>
                      <w:spacing w:val="-1"/>
                      <w:kern w:val="2"/>
                      <w:sz w:val="20"/>
                      <w:szCs w:val="20"/>
                      <w:highlight w:val="none"/>
                      <w:lang w:val="en-US" w:eastAsia="zh-CN" w:bidi="ar-SA"/>
                    </w:rPr>
                  </w:pPr>
                  <w:r>
                    <w:rPr>
                      <w:rFonts w:hint="eastAsia" w:cs="Times New Roman"/>
                      <w:color w:val="FF0000"/>
                      <w:spacing w:val="-1"/>
                      <w:kern w:val="2"/>
                      <w:sz w:val="20"/>
                      <w:szCs w:val="20"/>
                      <w:highlight w:val="none"/>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vMerge w:val="continue"/>
                  <w:tcBorders>
                    <w:tl2br w:val="nil"/>
                    <w:tr2bl w:val="nil"/>
                  </w:tcBorders>
                  <w:noWrap w:val="0"/>
                  <w:vAlign w:val="center"/>
                </w:tcPr>
                <w:p>
                  <w:pPr>
                    <w:adjustRightInd w:val="0"/>
                    <w:snapToGrid w:val="0"/>
                    <w:jc w:val="center"/>
                    <w:rPr>
                      <w:color w:val="FF0000"/>
                      <w:spacing w:val="-1"/>
                      <w:sz w:val="20"/>
                      <w:szCs w:val="20"/>
                    </w:rPr>
                  </w:pPr>
                </w:p>
              </w:tc>
              <w:tc>
                <w:tcPr>
                  <w:tcW w:w="824"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1"/>
                      <w:szCs w:val="21"/>
                      <w:lang w:val="en-US" w:eastAsia="zh-CN" w:bidi="ar-SA"/>
                    </w:rPr>
                  </w:pPr>
                  <w:r>
                    <w:rPr>
                      <w:rFonts w:hint="eastAsia"/>
                      <w:color w:val="FF0000"/>
                      <w:spacing w:val="-1"/>
                      <w:szCs w:val="21"/>
                      <w:lang w:val="en-US" w:eastAsia="zh-CN"/>
                    </w:rPr>
                    <w:t>氨氮</w:t>
                  </w:r>
                </w:p>
              </w:tc>
              <w:tc>
                <w:tcPr>
                  <w:tcW w:w="227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0.143</w:t>
                  </w:r>
                </w:p>
              </w:tc>
              <w:tc>
                <w:tcPr>
                  <w:tcW w:w="1211"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FF0000"/>
                      <w:spacing w:val="-1"/>
                      <w:kern w:val="2"/>
                      <w:sz w:val="20"/>
                      <w:szCs w:val="20"/>
                      <w:highlight w:val="none"/>
                      <w:lang w:val="en-US" w:eastAsia="zh-CN" w:bidi="ar-SA"/>
                    </w:rPr>
                  </w:pPr>
                  <w:r>
                    <w:rPr>
                      <w:rFonts w:hint="eastAsia" w:ascii="Times New Roman" w:hAnsi="Times New Roman" w:eastAsia="宋体" w:cs="Times New Roman"/>
                      <w:color w:val="FF0000"/>
                      <w:spacing w:val="-1"/>
                      <w:sz w:val="20"/>
                      <w:szCs w:val="20"/>
                      <w:highlight w:val="none"/>
                      <w:lang w:val="en-US" w:eastAsia="zh-CN"/>
                    </w:rPr>
                    <w:t>4.952</w:t>
                  </w:r>
                </w:p>
              </w:tc>
              <w:tc>
                <w:tcPr>
                  <w:tcW w:w="977"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0"/>
                      <w:szCs w:val="20"/>
                      <w:highlight w:val="none"/>
                      <w:lang w:val="en-US" w:eastAsia="zh-CN" w:bidi="ar-SA"/>
                    </w:rPr>
                  </w:pPr>
                  <w:r>
                    <w:rPr>
                      <w:rFonts w:hint="eastAsia" w:ascii="Times New Roman" w:hAnsi="Times New Roman" w:eastAsia="宋体" w:cs="Times New Roman"/>
                      <w:color w:val="FF0000"/>
                      <w:spacing w:val="-1"/>
                      <w:sz w:val="20"/>
                      <w:szCs w:val="20"/>
                      <w:highlight w:val="none"/>
                      <w:lang w:val="en-US" w:eastAsia="zh-CN"/>
                    </w:rPr>
                    <w:t>4.952</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vMerge w:val="continue"/>
                  <w:tcBorders>
                    <w:tl2br w:val="nil"/>
                    <w:tr2bl w:val="nil"/>
                  </w:tcBorders>
                  <w:noWrap w:val="0"/>
                  <w:vAlign w:val="center"/>
                </w:tcPr>
                <w:p>
                  <w:pPr>
                    <w:adjustRightInd w:val="0"/>
                    <w:snapToGrid w:val="0"/>
                    <w:jc w:val="center"/>
                    <w:rPr>
                      <w:color w:val="FF0000"/>
                      <w:spacing w:val="-1"/>
                      <w:sz w:val="20"/>
                      <w:szCs w:val="20"/>
                    </w:rPr>
                  </w:pPr>
                </w:p>
              </w:tc>
              <w:tc>
                <w:tcPr>
                  <w:tcW w:w="824"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1"/>
                      <w:szCs w:val="21"/>
                      <w:lang w:val="en-US" w:eastAsia="zh-CN" w:bidi="ar-SA"/>
                    </w:rPr>
                  </w:pPr>
                  <w:r>
                    <w:rPr>
                      <w:rFonts w:hint="eastAsia"/>
                      <w:color w:val="FF0000"/>
                      <w:spacing w:val="-1"/>
                      <w:szCs w:val="21"/>
                      <w:lang w:val="en-US" w:eastAsia="zh-CN"/>
                    </w:rPr>
                    <w:t>总磷</w:t>
                  </w:r>
                </w:p>
              </w:tc>
              <w:tc>
                <w:tcPr>
                  <w:tcW w:w="227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0.0088</w:t>
                  </w:r>
                </w:p>
              </w:tc>
              <w:tc>
                <w:tcPr>
                  <w:tcW w:w="1211"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0"/>
                      <w:szCs w:val="20"/>
                      <w:highlight w:val="none"/>
                      <w:lang w:val="en-US" w:eastAsia="zh-CN" w:bidi="ar-SA"/>
                    </w:rPr>
                  </w:pPr>
                  <w:r>
                    <w:rPr>
                      <w:rFonts w:hint="eastAsia" w:ascii="Times New Roman" w:hAnsi="Times New Roman" w:eastAsia="宋体" w:cs="Times New Roman"/>
                      <w:color w:val="FF0000"/>
                      <w:spacing w:val="-1"/>
                      <w:sz w:val="20"/>
                      <w:szCs w:val="20"/>
                      <w:highlight w:val="none"/>
                      <w:lang w:val="en-US" w:eastAsia="zh-CN"/>
                    </w:rPr>
                    <w:t>0.011</w:t>
                  </w:r>
                </w:p>
              </w:tc>
              <w:tc>
                <w:tcPr>
                  <w:tcW w:w="977"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0"/>
                      <w:szCs w:val="20"/>
                      <w:highlight w:val="none"/>
                      <w:lang w:val="en-US" w:eastAsia="zh-CN" w:bidi="ar-SA"/>
                    </w:rPr>
                  </w:pPr>
                  <w:r>
                    <w:rPr>
                      <w:rFonts w:hint="eastAsia" w:ascii="Times New Roman" w:hAnsi="Times New Roman" w:eastAsia="宋体" w:cs="Times New Roman"/>
                      <w:color w:val="FF0000"/>
                      <w:spacing w:val="-1"/>
                      <w:sz w:val="20"/>
                      <w:szCs w:val="20"/>
                      <w:highlight w:val="none"/>
                      <w:lang w:val="en-US" w:eastAsia="zh-CN"/>
                    </w:rPr>
                    <w:t>0.011</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vMerge w:val="continue"/>
                  <w:tcBorders>
                    <w:tl2br w:val="nil"/>
                    <w:tr2bl w:val="nil"/>
                  </w:tcBorders>
                  <w:noWrap w:val="0"/>
                  <w:vAlign w:val="center"/>
                </w:tcPr>
                <w:p>
                  <w:pPr>
                    <w:adjustRightInd w:val="0"/>
                    <w:snapToGrid w:val="0"/>
                    <w:jc w:val="center"/>
                    <w:rPr>
                      <w:color w:val="FF0000"/>
                      <w:spacing w:val="-1"/>
                      <w:sz w:val="20"/>
                      <w:szCs w:val="20"/>
                    </w:rPr>
                  </w:pPr>
                </w:p>
              </w:tc>
              <w:tc>
                <w:tcPr>
                  <w:tcW w:w="824"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1"/>
                      <w:szCs w:val="21"/>
                      <w:lang w:val="en-US" w:eastAsia="zh-CN" w:bidi="ar-SA"/>
                    </w:rPr>
                  </w:pPr>
                  <w:r>
                    <w:rPr>
                      <w:rFonts w:hint="eastAsia"/>
                      <w:color w:val="FF0000"/>
                      <w:spacing w:val="-1"/>
                      <w:szCs w:val="21"/>
                      <w:lang w:val="en-US" w:eastAsia="zh-CN"/>
                    </w:rPr>
                    <w:t>总氮</w:t>
                  </w:r>
                </w:p>
              </w:tc>
              <w:tc>
                <w:tcPr>
                  <w:tcW w:w="2279"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0.289</w:t>
                  </w:r>
                </w:p>
              </w:tc>
              <w:tc>
                <w:tcPr>
                  <w:tcW w:w="1211"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0"/>
                      <w:szCs w:val="20"/>
                      <w:highlight w:val="none"/>
                      <w:lang w:val="en-US" w:eastAsia="zh-CN" w:bidi="ar-SA"/>
                    </w:rPr>
                  </w:pPr>
                  <w:r>
                    <w:rPr>
                      <w:rFonts w:hint="eastAsia" w:ascii="Times New Roman" w:hAnsi="Times New Roman" w:eastAsia="宋体" w:cs="Times New Roman"/>
                      <w:color w:val="FF0000"/>
                      <w:spacing w:val="-1"/>
                      <w:sz w:val="20"/>
                      <w:szCs w:val="20"/>
                      <w:highlight w:val="none"/>
                      <w:lang w:val="en-US" w:eastAsia="zh-CN"/>
                    </w:rPr>
                    <w:t>34.3</w:t>
                  </w:r>
                </w:p>
              </w:tc>
              <w:tc>
                <w:tcPr>
                  <w:tcW w:w="977" w:type="pct"/>
                  <w:tcBorders>
                    <w:tl2br w:val="nil"/>
                    <w:tr2bl w:val="nil"/>
                  </w:tcBorders>
                  <w:shd w:val="clear" w:color="auto" w:fill="auto"/>
                  <w:noWrap w:val="0"/>
                  <w:vAlign w:val="center"/>
                </w:tcPr>
                <w:p>
                  <w:pPr>
                    <w:adjustRightInd w:val="0"/>
                    <w:snapToGrid w:val="0"/>
                    <w:jc w:val="center"/>
                    <w:rPr>
                      <w:rFonts w:hint="eastAsia" w:ascii="Times New Roman" w:hAnsi="Times New Roman" w:eastAsia="宋体" w:cs="Times New Roman"/>
                      <w:color w:val="FF0000"/>
                      <w:spacing w:val="-1"/>
                      <w:kern w:val="2"/>
                      <w:sz w:val="20"/>
                      <w:szCs w:val="20"/>
                      <w:highlight w:val="none"/>
                      <w:lang w:val="en-US" w:eastAsia="zh-CN" w:bidi="ar-SA"/>
                    </w:rPr>
                  </w:pPr>
                  <w:r>
                    <w:rPr>
                      <w:rFonts w:hint="eastAsia" w:ascii="Times New Roman" w:hAnsi="Times New Roman" w:eastAsia="宋体" w:cs="Times New Roman"/>
                      <w:color w:val="FF0000"/>
                      <w:spacing w:val="-1"/>
                      <w:sz w:val="20"/>
                      <w:szCs w:val="20"/>
                      <w:highlight w:val="none"/>
                      <w:lang w:val="en-US" w:eastAsia="zh-CN"/>
                    </w:rPr>
                    <w:t>34.3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2" w:hRule="atLeast"/>
              </w:trPr>
              <w:tc>
                <w:tcPr>
                  <w:tcW w:w="593" w:type="pct"/>
                  <w:vMerge w:val="continue"/>
                  <w:tcBorders>
                    <w:tl2br w:val="nil"/>
                    <w:tr2bl w:val="nil"/>
                  </w:tcBorders>
                  <w:noWrap w:val="0"/>
                  <w:vAlign w:val="center"/>
                </w:tcPr>
                <w:p>
                  <w:pPr>
                    <w:adjustRightInd w:val="0"/>
                    <w:snapToGrid w:val="0"/>
                    <w:jc w:val="center"/>
                    <w:rPr>
                      <w:color w:val="FF0000"/>
                      <w:spacing w:val="-1"/>
                      <w:sz w:val="20"/>
                      <w:szCs w:val="20"/>
                    </w:rPr>
                  </w:pPr>
                </w:p>
              </w:tc>
              <w:tc>
                <w:tcPr>
                  <w:tcW w:w="824" w:type="pct"/>
                  <w:tcBorders>
                    <w:tl2br w:val="nil"/>
                    <w:tr2bl w:val="nil"/>
                  </w:tcBorders>
                  <w:shd w:val="clear" w:color="auto" w:fill="auto"/>
                  <w:noWrap w:val="0"/>
                  <w:vAlign w:val="center"/>
                </w:tcPr>
                <w:p>
                  <w:pPr>
                    <w:adjustRightInd w:val="0"/>
                    <w:snapToGrid w:val="0"/>
                    <w:jc w:val="center"/>
                    <w:rPr>
                      <w:rFonts w:hint="default"/>
                      <w:color w:val="FF0000"/>
                      <w:spacing w:val="-1"/>
                      <w:szCs w:val="21"/>
                      <w:lang w:val="en-US" w:eastAsia="zh-CN"/>
                    </w:rPr>
                  </w:pPr>
                  <w:r>
                    <w:rPr>
                      <w:rFonts w:hint="eastAsia"/>
                      <w:color w:val="FF0000"/>
                      <w:spacing w:val="-1"/>
                      <w:szCs w:val="21"/>
                      <w:lang w:val="en-US" w:eastAsia="zh-CN"/>
                    </w:rPr>
                    <w:t>动植物油</w:t>
                  </w:r>
                </w:p>
              </w:tc>
              <w:tc>
                <w:tcPr>
                  <w:tcW w:w="1393" w:type="pct"/>
                  <w:tcBorders>
                    <w:tl2br w:val="nil"/>
                    <w:tr2bl w:val="nil"/>
                  </w:tcBorders>
                  <w:noWrap w:val="0"/>
                  <w:vAlign w:val="center"/>
                </w:tcPr>
                <w:p>
                  <w:pPr>
                    <w:adjustRightInd w:val="0"/>
                    <w:snapToGrid w:val="0"/>
                    <w:jc w:val="center"/>
                    <w:rPr>
                      <w:rFonts w:hint="default"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w:t>
                  </w:r>
                </w:p>
              </w:tc>
              <w:tc>
                <w:tcPr>
                  <w:tcW w:w="1211" w:type="pct"/>
                  <w:tcBorders>
                    <w:tl2br w:val="nil"/>
                    <w:tr2bl w:val="nil"/>
                  </w:tcBorders>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0.004</w:t>
                  </w:r>
                </w:p>
              </w:tc>
              <w:tc>
                <w:tcPr>
                  <w:tcW w:w="977" w:type="pct"/>
                  <w:tcBorders>
                    <w:tl2br w:val="nil"/>
                    <w:tr2bl w:val="nil"/>
                  </w:tcBorders>
                  <w:shd w:val="clear" w:color="auto" w:fill="auto"/>
                  <w:noWrap w:val="0"/>
                  <w:vAlign w:val="center"/>
                </w:tcPr>
                <w:p>
                  <w:pPr>
                    <w:adjustRightInd w:val="0"/>
                    <w:snapToGrid w:val="0"/>
                    <w:jc w:val="center"/>
                    <w:rPr>
                      <w:rFonts w:hint="default" w:ascii="Times New Roman" w:hAnsi="Times New Roman" w:eastAsia="宋体" w:cs="Times New Roman"/>
                      <w:color w:val="FF0000"/>
                      <w:spacing w:val="-1"/>
                      <w:sz w:val="20"/>
                      <w:szCs w:val="20"/>
                      <w:highlight w:val="none"/>
                      <w:lang w:val="en-US" w:eastAsia="zh-CN"/>
                    </w:rPr>
                  </w:pPr>
                  <w:r>
                    <w:rPr>
                      <w:rFonts w:hint="eastAsia" w:cs="Times New Roman"/>
                      <w:color w:val="FF0000"/>
                      <w:spacing w:val="-1"/>
                      <w:sz w:val="20"/>
                      <w:szCs w:val="20"/>
                      <w:highlight w:val="none"/>
                      <w:lang w:val="en-US" w:eastAsia="zh-CN"/>
                    </w:rPr>
                    <w:t>/</w:t>
                  </w:r>
                </w:p>
              </w:tc>
            </w:tr>
          </w:tbl>
          <w:p>
            <w:pPr>
              <w:keepNext w:val="0"/>
              <w:keepLines w:val="0"/>
              <w:pageBreakBefore w:val="0"/>
              <w:widowControl w:val="0"/>
              <w:kinsoku/>
              <w:wordWrap/>
              <w:overflowPunct/>
              <w:topLinePunct w:val="0"/>
              <w:autoSpaceDE/>
              <w:autoSpaceDN/>
              <w:bidi w:val="0"/>
              <w:adjustRightInd/>
              <w:snapToGrid/>
              <w:spacing w:line="400" w:lineRule="exact"/>
              <w:ind w:firstLine="422" w:firstLineChars="200"/>
              <w:textAlignment w:val="auto"/>
              <w:rPr>
                <w:rFonts w:hint="default" w:ascii="Times New Roman" w:hAnsi="Times New Roman" w:eastAsia="宋体" w:cs="Times New Roman"/>
                <w:b/>
                <w:bCs/>
                <w:color w:val="000000"/>
                <w:lang w:val="en-US" w:eastAsia="zh-CN"/>
              </w:rPr>
            </w:pPr>
            <w:r>
              <w:rPr>
                <w:rFonts w:hint="eastAsia" w:ascii="Times New Roman" w:hAnsi="Times New Roman" w:eastAsia="宋体" w:cs="Times New Roman"/>
                <w:b/>
                <w:bCs/>
                <w:color w:val="000000"/>
                <w:lang w:val="en-US" w:eastAsia="zh-CN"/>
              </w:rPr>
              <w:t>⑤主要环境问题及拟采取的“以新带老”措施</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default" w:ascii="Times New Roman" w:hAnsi="Times New Roman" w:eastAsia="宋体" w:cs="Times New Roman"/>
                <w:color w:val="auto"/>
                <w:sz w:val="21"/>
                <w:szCs w:val="21"/>
                <w:lang w:val="en-US" w:eastAsia="zh-CN"/>
              </w:rPr>
            </w:pPr>
            <w:r>
              <w:rPr>
                <w:rFonts w:hint="eastAsia" w:cs="Times New Roman"/>
                <w:color w:val="000000"/>
                <w:lang w:val="en-US" w:eastAsia="zh-CN"/>
              </w:rPr>
              <w:t>众隆公司自成立以来未从事生产，无现有环境问题。</w:t>
            </w:r>
          </w:p>
        </w:tc>
      </w:tr>
    </w:tbl>
    <w:p>
      <w:pPr>
        <w:pStyle w:val="82"/>
        <w:rPr>
          <w:rFonts w:ascii="Times New Roman" w:hAnsi="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82"/>
        <w:jc w:val="center"/>
        <w:outlineLvl w:val="0"/>
        <w:rPr>
          <w:b/>
          <w:snapToGrid w:val="0"/>
          <w:color w:val="auto"/>
          <w:sz w:val="30"/>
          <w:szCs w:val="30"/>
        </w:rPr>
      </w:pPr>
      <w:bookmarkStart w:id="11" w:name="_Toc69916176"/>
      <w:r>
        <w:rPr>
          <w:rFonts w:hint="eastAsia"/>
          <w:b/>
          <w:snapToGrid w:val="0"/>
          <w:color w:val="auto"/>
          <w:sz w:val="30"/>
          <w:szCs w:val="30"/>
        </w:rPr>
        <w:t>三、区域环境质量现状、环境保护目标及评价标准</w:t>
      </w:r>
      <w:bookmarkEnd w:id="11"/>
    </w:p>
    <w:tbl>
      <w:tblPr>
        <w:tblStyle w:val="9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8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tcBorders>
              <w:tl2br w:val="nil"/>
              <w:tr2bl w:val="nil"/>
            </w:tcBorders>
            <w:noWrap w:val="0"/>
            <w:vAlign w:val="center"/>
          </w:tcPr>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区域</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环境</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质量</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现状</w:t>
            </w: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p>
            <w:pPr>
              <w:adjustRightInd w:val="0"/>
              <w:snapToGrid w:val="0"/>
              <w:jc w:val="center"/>
              <w:rPr>
                <w:rFonts w:hint="eastAsia" w:ascii="宋体" w:hAnsi="宋体" w:cs="宋体"/>
                <w:b/>
                <w:color w:val="auto"/>
                <w:kern w:val="0"/>
                <w:szCs w:val="21"/>
              </w:rPr>
            </w:pPr>
          </w:p>
        </w:tc>
        <w:tc>
          <w:tcPr>
            <w:tcW w:w="8846" w:type="dxa"/>
            <w:vMerge w:val="restart"/>
            <w:tcBorders>
              <w:tl2br w:val="nil"/>
              <w:tr2bl w:val="nil"/>
            </w:tcBorders>
            <w:noWrap w:val="0"/>
            <w:vAlign w:val="top"/>
          </w:tcPr>
          <w:p>
            <w:pPr>
              <w:spacing w:before="120" w:beforeLines="50" w:line="360" w:lineRule="auto"/>
              <w:ind w:firstLine="482"/>
              <w:rPr>
                <w:b/>
                <w:color w:val="auto"/>
                <w:sz w:val="21"/>
                <w:szCs w:val="21"/>
              </w:rPr>
            </w:pPr>
            <w:r>
              <w:rPr>
                <w:b/>
                <w:color w:val="auto"/>
                <w:sz w:val="21"/>
                <w:szCs w:val="21"/>
              </w:rPr>
              <w:t>1、环境空气质量现状</w:t>
            </w:r>
          </w:p>
          <w:p>
            <w:pPr>
              <w:tabs>
                <w:tab w:val="left" w:pos="705"/>
              </w:tabs>
              <w:adjustRightInd w:val="0"/>
              <w:snapToGrid w:val="0"/>
              <w:spacing w:line="360" w:lineRule="auto"/>
              <w:ind w:firstLine="420" w:firstLineChars="200"/>
              <w:rPr>
                <w:rFonts w:hint="eastAsia"/>
                <w:sz w:val="21"/>
                <w:szCs w:val="21"/>
              </w:rPr>
            </w:pPr>
            <w:r>
              <w:rPr>
                <w:rFonts w:hint="eastAsia"/>
                <w:sz w:val="21"/>
                <w:szCs w:val="21"/>
              </w:rPr>
              <w:t>对照《南通市生态环境状况公报（</w:t>
            </w:r>
            <w:r>
              <w:rPr>
                <w:sz w:val="21"/>
                <w:szCs w:val="21"/>
              </w:rPr>
              <w:t>202</w:t>
            </w:r>
            <w:r>
              <w:rPr>
                <w:rFonts w:hint="eastAsia"/>
                <w:sz w:val="21"/>
                <w:szCs w:val="21"/>
              </w:rPr>
              <w:t>4年）》，</w:t>
            </w:r>
            <w:r>
              <w:rPr>
                <w:rFonts w:hint="eastAsia"/>
                <w:sz w:val="21"/>
                <w:szCs w:val="21"/>
                <w:lang w:val="en-US" w:eastAsia="zh-CN"/>
              </w:rPr>
              <w:t>如皋</w:t>
            </w:r>
            <w:r>
              <w:rPr>
                <w:rFonts w:hint="eastAsia"/>
                <w:sz w:val="21"/>
                <w:szCs w:val="21"/>
              </w:rPr>
              <w:t>市</w:t>
            </w:r>
            <w:r>
              <w:rPr>
                <w:sz w:val="21"/>
                <w:szCs w:val="21"/>
              </w:rPr>
              <w:t>20</w:t>
            </w:r>
            <w:r>
              <w:rPr>
                <w:rFonts w:hint="eastAsia"/>
                <w:sz w:val="21"/>
                <w:szCs w:val="21"/>
              </w:rPr>
              <w:t>24</w:t>
            </w:r>
            <w:r>
              <w:rPr>
                <w:sz w:val="21"/>
                <w:szCs w:val="21"/>
              </w:rPr>
              <w:t>年可吸入颗粒物（PM</w:t>
            </w:r>
            <w:r>
              <w:rPr>
                <w:sz w:val="21"/>
                <w:szCs w:val="21"/>
                <w:vertAlign w:val="subscript"/>
              </w:rPr>
              <w:t>10</w:t>
            </w:r>
            <w:r>
              <w:rPr>
                <w:sz w:val="21"/>
                <w:szCs w:val="21"/>
              </w:rPr>
              <w:t>）、细颗粒物（PM</w:t>
            </w:r>
            <w:r>
              <w:rPr>
                <w:sz w:val="21"/>
                <w:szCs w:val="21"/>
                <w:vertAlign w:val="subscript"/>
              </w:rPr>
              <w:t>2.5</w:t>
            </w:r>
            <w:r>
              <w:rPr>
                <w:sz w:val="21"/>
                <w:szCs w:val="21"/>
              </w:rPr>
              <w:t>）</w:t>
            </w:r>
            <w:r>
              <w:rPr>
                <w:rFonts w:hint="eastAsia"/>
                <w:sz w:val="21"/>
                <w:szCs w:val="21"/>
              </w:rPr>
              <w:t>、</w:t>
            </w:r>
            <w:r>
              <w:rPr>
                <w:sz w:val="21"/>
                <w:szCs w:val="21"/>
              </w:rPr>
              <w:t>二氧化硫（SO</w:t>
            </w:r>
            <w:r>
              <w:rPr>
                <w:sz w:val="21"/>
                <w:szCs w:val="21"/>
                <w:vertAlign w:val="subscript"/>
              </w:rPr>
              <w:t>2</w:t>
            </w:r>
            <w:r>
              <w:rPr>
                <w:sz w:val="21"/>
                <w:szCs w:val="21"/>
              </w:rPr>
              <w:t>）、二氧化氮（NO</w:t>
            </w:r>
            <w:r>
              <w:rPr>
                <w:sz w:val="21"/>
                <w:szCs w:val="21"/>
                <w:vertAlign w:val="subscript"/>
              </w:rPr>
              <w:t>2</w:t>
            </w:r>
            <w:r>
              <w:rPr>
                <w:sz w:val="21"/>
                <w:szCs w:val="21"/>
              </w:rPr>
              <w:t>）、一氧化碳第95百分位浓度（CO-95%）和臭氧日最大8小时滑动平均值第90百分位浓度（O</w:t>
            </w:r>
            <w:r>
              <w:rPr>
                <w:sz w:val="21"/>
                <w:szCs w:val="21"/>
                <w:vertAlign w:val="subscript"/>
              </w:rPr>
              <w:t>3</w:t>
            </w:r>
            <w:r>
              <w:rPr>
                <w:sz w:val="21"/>
                <w:szCs w:val="21"/>
              </w:rPr>
              <w:t>-8h-90%）年均浓度分别为</w:t>
            </w:r>
            <w:r>
              <w:rPr>
                <w:rFonts w:hint="eastAsia"/>
                <w:sz w:val="21"/>
                <w:szCs w:val="21"/>
              </w:rPr>
              <w:t>4</w:t>
            </w:r>
            <w:r>
              <w:rPr>
                <w:rFonts w:hint="eastAsia"/>
                <w:sz w:val="21"/>
                <w:szCs w:val="21"/>
                <w:lang w:val="en-US" w:eastAsia="zh-CN"/>
              </w:rPr>
              <w:t>9</w:t>
            </w:r>
            <w:r>
              <w:rPr>
                <w:sz w:val="21"/>
                <w:szCs w:val="21"/>
              </w:rPr>
              <w:t>μg/m</w:t>
            </w:r>
            <w:r>
              <w:rPr>
                <w:sz w:val="21"/>
                <w:szCs w:val="21"/>
                <w:vertAlign w:val="superscript"/>
              </w:rPr>
              <w:t>3</w:t>
            </w:r>
            <w:r>
              <w:rPr>
                <w:sz w:val="21"/>
                <w:szCs w:val="21"/>
              </w:rPr>
              <w:t>、</w:t>
            </w:r>
            <w:r>
              <w:rPr>
                <w:rFonts w:hint="eastAsia"/>
                <w:sz w:val="21"/>
                <w:szCs w:val="21"/>
                <w:lang w:val="en-US" w:eastAsia="zh-CN"/>
              </w:rPr>
              <w:t>31</w:t>
            </w:r>
            <w:r>
              <w:rPr>
                <w:sz w:val="21"/>
                <w:szCs w:val="21"/>
              </w:rPr>
              <w:t>μg/m</w:t>
            </w:r>
            <w:r>
              <w:rPr>
                <w:sz w:val="21"/>
                <w:szCs w:val="21"/>
                <w:vertAlign w:val="superscript"/>
              </w:rPr>
              <w:t>3</w:t>
            </w:r>
            <w:r>
              <w:rPr>
                <w:rFonts w:hint="eastAsia"/>
                <w:sz w:val="21"/>
                <w:szCs w:val="21"/>
              </w:rPr>
              <w:t>、</w:t>
            </w:r>
            <w:r>
              <w:rPr>
                <w:rFonts w:hint="eastAsia"/>
                <w:sz w:val="21"/>
                <w:szCs w:val="21"/>
                <w:lang w:val="en-US" w:eastAsia="zh-CN"/>
              </w:rPr>
              <w:t>9</w:t>
            </w:r>
            <w:r>
              <w:rPr>
                <w:sz w:val="21"/>
                <w:szCs w:val="21"/>
              </w:rPr>
              <w:t>μg/m</w:t>
            </w:r>
            <w:r>
              <w:rPr>
                <w:sz w:val="21"/>
                <w:szCs w:val="21"/>
                <w:vertAlign w:val="superscript"/>
              </w:rPr>
              <w:t>3</w:t>
            </w:r>
            <w:r>
              <w:rPr>
                <w:sz w:val="21"/>
                <w:szCs w:val="21"/>
              </w:rPr>
              <w:t>、</w:t>
            </w:r>
            <w:r>
              <w:rPr>
                <w:rFonts w:hint="eastAsia"/>
                <w:sz w:val="21"/>
                <w:szCs w:val="21"/>
                <w:lang w:val="en-US" w:eastAsia="zh-CN"/>
              </w:rPr>
              <w:t>18</w:t>
            </w:r>
            <w:r>
              <w:rPr>
                <w:sz w:val="21"/>
                <w:szCs w:val="21"/>
              </w:rPr>
              <w:t>μg/m</w:t>
            </w:r>
            <w:r>
              <w:rPr>
                <w:sz w:val="21"/>
                <w:szCs w:val="21"/>
                <w:vertAlign w:val="superscript"/>
              </w:rPr>
              <w:t>3</w:t>
            </w:r>
            <w:r>
              <w:rPr>
                <w:sz w:val="21"/>
                <w:szCs w:val="21"/>
              </w:rPr>
              <w:t>、</w:t>
            </w:r>
            <w:r>
              <w:rPr>
                <w:rFonts w:hint="eastAsia"/>
                <w:sz w:val="21"/>
                <w:szCs w:val="21"/>
                <w:lang w:val="en-US" w:eastAsia="zh-CN"/>
              </w:rPr>
              <w:t>1.2</w:t>
            </w:r>
            <w:r>
              <w:rPr>
                <w:rFonts w:hint="eastAsia"/>
                <w:sz w:val="21"/>
                <w:szCs w:val="21"/>
              </w:rPr>
              <w:t>m</w:t>
            </w:r>
            <w:r>
              <w:rPr>
                <w:sz w:val="21"/>
                <w:szCs w:val="21"/>
              </w:rPr>
              <w:t>g/m</w:t>
            </w:r>
            <w:r>
              <w:rPr>
                <w:sz w:val="21"/>
                <w:szCs w:val="21"/>
                <w:vertAlign w:val="superscript"/>
              </w:rPr>
              <w:t>3</w:t>
            </w:r>
            <w:r>
              <w:rPr>
                <w:rFonts w:hint="eastAsia"/>
                <w:sz w:val="21"/>
                <w:szCs w:val="21"/>
              </w:rPr>
              <w:t>、15</w:t>
            </w:r>
            <w:r>
              <w:rPr>
                <w:rFonts w:hint="eastAsia"/>
                <w:sz w:val="21"/>
                <w:szCs w:val="21"/>
                <w:lang w:val="en-US" w:eastAsia="zh-CN"/>
              </w:rPr>
              <w:t>2</w:t>
            </w:r>
            <w:r>
              <w:rPr>
                <w:sz w:val="21"/>
                <w:szCs w:val="21"/>
              </w:rPr>
              <w:t>μg/m</w:t>
            </w:r>
            <w:r>
              <w:rPr>
                <w:sz w:val="21"/>
                <w:szCs w:val="21"/>
                <w:vertAlign w:val="superscript"/>
              </w:rPr>
              <w:t>3</w:t>
            </w:r>
            <w:r>
              <w:rPr>
                <w:rFonts w:hint="eastAsia"/>
                <w:sz w:val="21"/>
                <w:szCs w:val="21"/>
              </w:rPr>
              <w:t>，</w:t>
            </w:r>
            <w:r>
              <w:rPr>
                <w:rFonts w:hint="eastAsia"/>
                <w:sz w:val="21"/>
                <w:szCs w:val="21"/>
                <w:lang w:val="en-US" w:eastAsia="zh-CN"/>
              </w:rPr>
              <w:t>对照</w:t>
            </w:r>
            <w:r>
              <w:rPr>
                <w:sz w:val="21"/>
                <w:szCs w:val="21"/>
              </w:rPr>
              <w:t>《环境空气质量标准》（GB3095-20</w:t>
            </w:r>
            <w:r>
              <w:rPr>
                <w:rFonts w:hint="eastAsia"/>
                <w:sz w:val="21"/>
                <w:szCs w:val="21"/>
                <w:lang w:val="en-US" w:eastAsia="zh-CN"/>
              </w:rPr>
              <w:t>12</w:t>
            </w:r>
            <w:r>
              <w:rPr>
                <w:sz w:val="21"/>
                <w:szCs w:val="21"/>
              </w:rPr>
              <w:t>）</w:t>
            </w:r>
            <w:r>
              <w:rPr>
                <w:rFonts w:hint="eastAsia"/>
                <w:sz w:val="21"/>
                <w:szCs w:val="21"/>
                <w:lang w:eastAsia="zh-CN"/>
              </w:rPr>
              <w:t>，</w:t>
            </w:r>
            <w:r>
              <w:rPr>
                <w:rFonts w:hint="eastAsia"/>
                <w:sz w:val="21"/>
                <w:szCs w:val="21"/>
                <w:lang w:val="en-US" w:eastAsia="zh-CN"/>
              </w:rPr>
              <w:t>各因子</w:t>
            </w:r>
            <w:r>
              <w:rPr>
                <w:rFonts w:hint="eastAsia"/>
                <w:sz w:val="21"/>
                <w:szCs w:val="21"/>
              </w:rPr>
              <w:t>浓度限值</w:t>
            </w:r>
            <w:r>
              <w:rPr>
                <w:rFonts w:hint="eastAsia"/>
                <w:sz w:val="21"/>
                <w:szCs w:val="21"/>
                <w:lang w:val="en-US" w:eastAsia="zh-CN"/>
              </w:rPr>
              <w:t>均满足</w:t>
            </w:r>
            <w:r>
              <w:rPr>
                <w:rFonts w:hint="eastAsia"/>
                <w:sz w:val="21"/>
                <w:szCs w:val="21"/>
              </w:rPr>
              <w:t>年均值的二级标准</w:t>
            </w:r>
            <w:r>
              <w:rPr>
                <w:rFonts w:hint="eastAsia"/>
                <w:sz w:val="21"/>
                <w:szCs w:val="21"/>
                <w:lang w:eastAsia="zh-CN"/>
              </w:rPr>
              <w:t>，</w:t>
            </w:r>
            <w:r>
              <w:rPr>
                <w:rFonts w:hint="eastAsia"/>
                <w:sz w:val="21"/>
                <w:szCs w:val="21"/>
                <w:lang w:val="en-US" w:eastAsia="zh-CN"/>
              </w:rPr>
              <w:t>对照</w:t>
            </w:r>
            <w:r>
              <w:rPr>
                <w:sz w:val="21"/>
                <w:szCs w:val="21"/>
              </w:rPr>
              <w:t>《环境空气质量标准》（GB3095-20</w:t>
            </w:r>
            <w:r>
              <w:rPr>
                <w:rFonts w:hint="eastAsia"/>
                <w:sz w:val="21"/>
                <w:szCs w:val="21"/>
                <w:lang w:val="en-US" w:eastAsia="zh-CN"/>
              </w:rPr>
              <w:t>26</w:t>
            </w:r>
            <w:r>
              <w:rPr>
                <w:sz w:val="21"/>
                <w:szCs w:val="21"/>
              </w:rPr>
              <w:t>）</w:t>
            </w:r>
            <w:r>
              <w:rPr>
                <w:rFonts w:hint="eastAsia"/>
                <w:sz w:val="21"/>
                <w:szCs w:val="21"/>
                <w:lang w:val="en-US" w:eastAsia="zh-CN"/>
              </w:rPr>
              <w:t>除PM</w:t>
            </w:r>
            <w:r>
              <w:rPr>
                <w:rFonts w:hint="eastAsia"/>
                <w:sz w:val="21"/>
                <w:szCs w:val="21"/>
                <w:vertAlign w:val="subscript"/>
                <w:lang w:val="en-US" w:eastAsia="zh-CN"/>
              </w:rPr>
              <w:t>2.5</w:t>
            </w:r>
            <w:r>
              <w:rPr>
                <w:rFonts w:hint="eastAsia"/>
                <w:sz w:val="21"/>
                <w:szCs w:val="21"/>
                <w:lang w:val="en-US" w:eastAsia="zh-CN"/>
              </w:rPr>
              <w:t>外均</w:t>
            </w:r>
            <w:r>
              <w:rPr>
                <w:sz w:val="21"/>
                <w:szCs w:val="21"/>
              </w:rPr>
              <w:t>满足中</w:t>
            </w:r>
            <w:r>
              <w:rPr>
                <w:rFonts w:hint="eastAsia"/>
                <w:sz w:val="21"/>
                <w:szCs w:val="21"/>
              </w:rPr>
              <w:t>过渡阶段浓度限值中年均值的二级标准，项目所在区域属于环境空气质量</w:t>
            </w:r>
            <w:r>
              <w:rPr>
                <w:rFonts w:hint="eastAsia"/>
                <w:sz w:val="21"/>
                <w:szCs w:val="21"/>
                <w:lang w:val="en-US" w:eastAsia="zh-CN"/>
              </w:rPr>
              <w:t>不</w:t>
            </w:r>
            <w:r>
              <w:rPr>
                <w:rFonts w:hint="eastAsia"/>
                <w:sz w:val="21"/>
                <w:szCs w:val="21"/>
              </w:rPr>
              <w:t>达标区。</w:t>
            </w:r>
          </w:p>
          <w:p>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eastAsia="Times New Roman"/>
                <w:color w:val="FF0000"/>
                <w:spacing w:val="-4"/>
                <w:szCs w:val="21"/>
              </w:rPr>
            </w:pPr>
            <w:r>
              <w:rPr>
                <w:rFonts w:hint="eastAsia" w:eastAsia="Times New Roman"/>
                <w:color w:val="FF0000"/>
                <w:spacing w:val="-4"/>
                <w:szCs w:val="21"/>
              </w:rPr>
              <w:t>南通市人民政府已印发《南通市空气质量持续改善行动计划实施方案》（通政发（2024））24号，以下简称《方案》），制定了“以降低细颗粒物（PM</w:t>
            </w:r>
            <w:r>
              <w:rPr>
                <w:rFonts w:hint="eastAsia" w:eastAsia="宋体"/>
                <w:color w:val="FF0000"/>
                <w:spacing w:val="-4"/>
                <w:szCs w:val="21"/>
                <w:vertAlign w:val="subscript"/>
                <w:lang w:val="en-US" w:eastAsia="zh-CN"/>
              </w:rPr>
              <w:t>2.5</w:t>
            </w:r>
            <w:r>
              <w:rPr>
                <w:rFonts w:hint="eastAsia" w:eastAsia="Times New Roman"/>
                <w:color w:val="FF0000"/>
                <w:spacing w:val="-4"/>
                <w:szCs w:val="21"/>
              </w:rPr>
              <w:t>）浓度为主线</w:t>
            </w:r>
            <w:r>
              <w:rPr>
                <w:rFonts w:hint="eastAsia" w:eastAsia="宋体"/>
                <w:color w:val="FF0000"/>
                <w:spacing w:val="-4"/>
                <w:szCs w:val="21"/>
                <w:lang w:eastAsia="zh-CN"/>
              </w:rPr>
              <w:t>，</w:t>
            </w:r>
            <w:r>
              <w:rPr>
                <w:rFonts w:hint="eastAsia" w:eastAsia="Times New Roman"/>
                <w:color w:val="FF0000"/>
                <w:spacing w:val="-4"/>
                <w:szCs w:val="21"/>
              </w:rPr>
              <w:t>大力推动氮氧化物和挥发性有机物（VOCs）减排”的目标。《方案》提出了“坚决遇制‘两高一低’项目盲目上马”等二十四项重点工作计划，制定了详细的工作任务、责任分工和完成时限，预计全市2026年大气环境质量状况可以得到进一步改善。</w:t>
            </w:r>
          </w:p>
          <w:p>
            <w:pPr>
              <w:numPr>
                <w:ilvl w:val="0"/>
                <w:numId w:val="26"/>
              </w:numPr>
              <w:spacing w:line="360" w:lineRule="auto"/>
              <w:ind w:firstLine="482"/>
              <w:rPr>
                <w:b/>
                <w:color w:val="auto"/>
                <w:sz w:val="21"/>
                <w:szCs w:val="21"/>
              </w:rPr>
            </w:pPr>
            <w:r>
              <w:rPr>
                <w:b/>
                <w:color w:val="auto"/>
                <w:sz w:val="21"/>
                <w:szCs w:val="21"/>
              </w:rPr>
              <w:t>水环境质量现状</w:t>
            </w:r>
          </w:p>
          <w:p>
            <w:pPr>
              <w:tabs>
                <w:tab w:val="left" w:pos="705"/>
              </w:tabs>
              <w:adjustRightInd w:val="0"/>
              <w:snapToGrid w:val="0"/>
              <w:spacing w:line="360" w:lineRule="auto"/>
              <w:ind w:firstLine="420" w:firstLineChars="200"/>
              <w:rPr>
                <w:rFonts w:eastAsia="方正仿宋_GBK"/>
                <w:color w:val="auto"/>
                <w:sz w:val="21"/>
                <w:szCs w:val="21"/>
              </w:rPr>
            </w:pPr>
            <w:r>
              <w:rPr>
                <w:color w:val="auto"/>
                <w:sz w:val="21"/>
                <w:szCs w:val="21"/>
              </w:rPr>
              <w:t>根据《南通市生态环境状况公报（2024年）》，南通市共有16个国家考核断面，均达到省定考核要求，其中15个断面水质达到或优于《地表水环境质量标准》(GB3838-2002)Ⅲ类标准。55个省考以上断面中九圩港桥、聚南大桥、营船港闸、通吕二号桥等16个断面水质符合Ⅱ类标准，孙窑大桥、碾砣港闸、勇敢大桥、东方大道桥、城港路桥等38个断面水质符合Ⅲ类标准；无V类和劣V类断面。</w:t>
            </w:r>
          </w:p>
          <w:p>
            <w:pPr>
              <w:spacing w:line="360" w:lineRule="auto"/>
              <w:ind w:firstLine="487" w:firstLineChars="232"/>
              <w:rPr>
                <w:color w:val="auto"/>
                <w:sz w:val="21"/>
                <w:szCs w:val="21"/>
              </w:rPr>
            </w:pPr>
            <w:r>
              <w:rPr>
                <w:color w:val="auto"/>
                <w:sz w:val="21"/>
                <w:szCs w:val="21"/>
              </w:rPr>
              <w:t>厂区实行“雨污分流”制，后期雨水经管道收集后接入市政雨水管网，排入</w:t>
            </w:r>
            <w:r>
              <w:rPr>
                <w:rFonts w:hint="eastAsia"/>
                <w:color w:val="auto"/>
                <w:sz w:val="21"/>
                <w:szCs w:val="21"/>
                <w:lang w:val="en-US" w:eastAsia="zh-CN"/>
              </w:rPr>
              <w:t>西侧小河</w:t>
            </w:r>
            <w:r>
              <w:rPr>
                <w:color w:val="auto"/>
                <w:sz w:val="21"/>
                <w:szCs w:val="21"/>
              </w:rPr>
              <w:t>后，最终经长洪河汇入长江，长江（南通段）水质为Ⅱ类，水质优良。其中，姚港（左岸）、团结闸（左岸）、小李港（左岸）断面水质保持Ⅱ类。</w:t>
            </w:r>
          </w:p>
          <w:p>
            <w:pPr>
              <w:spacing w:line="360" w:lineRule="auto"/>
              <w:ind w:firstLine="489" w:firstLineChars="232"/>
              <w:rPr>
                <w:b/>
                <w:color w:val="auto"/>
                <w:sz w:val="21"/>
                <w:szCs w:val="21"/>
              </w:rPr>
            </w:pPr>
            <w:r>
              <w:rPr>
                <w:b/>
                <w:color w:val="auto"/>
                <w:sz w:val="21"/>
                <w:szCs w:val="21"/>
              </w:rPr>
              <w:t>3、声环境质量现状</w:t>
            </w:r>
          </w:p>
          <w:p>
            <w:pPr>
              <w:spacing w:line="360" w:lineRule="auto"/>
              <w:ind w:firstLine="487" w:firstLineChars="23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根据江苏省生态环境厅答复，建议以租赁区域边界作为本项目厂界。如公司厂界外50米范围内存在声环境保护目标，应当对声环境保护目标和厂界声环境质量进行监测。本报告以众隆公司租赁华胜车间和锅炉房作为本项目厂界，周边50m范围内不存在环境保护目标，为了解周边声环境现状，委托江苏科测检测科技有限公司于2026年3月28日~2026年3月29对华胜东西南北厂界、西侧九华镇卫生院和南侧马桥村十九组保留本底监测（报告编号：A260316-1-1），监测结果见表3-1。</w:t>
            </w:r>
          </w:p>
          <w:p>
            <w:pPr>
              <w:spacing w:line="360" w:lineRule="auto"/>
              <w:ind w:firstLine="487" w:firstLineChars="23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根据《如皋市声环境功能区和噪声敏感建筑物集中区划分方案》</w:t>
            </w:r>
            <w:r>
              <w:rPr>
                <w:rFonts w:hint="eastAsia"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皋政发(2025)20号</w:t>
            </w:r>
            <w:r>
              <w:rPr>
                <w:rFonts w:hint="eastAsia" w:cs="Times New Roman"/>
                <w:color w:val="FF0000"/>
                <w:sz w:val="21"/>
                <w:szCs w:val="21"/>
                <w:lang w:val="en-US" w:eastAsia="zh-CN"/>
              </w:rPr>
              <w:t>）和</w:t>
            </w:r>
            <w:r>
              <w:rPr>
                <w:rFonts w:hint="eastAsia" w:ascii="Times New Roman" w:hAnsi="Times New Roman" w:eastAsia="宋体" w:cs="Times New Roman"/>
                <w:color w:val="FF0000"/>
                <w:sz w:val="21"/>
                <w:szCs w:val="21"/>
                <w:lang w:val="en-US" w:eastAsia="zh-CN"/>
              </w:rPr>
              <w:t>《声环境质量标准》(GB3096-2008)，</w:t>
            </w:r>
            <w:r>
              <w:rPr>
                <w:rFonts w:hint="eastAsia" w:cs="Times New Roman"/>
                <w:color w:val="FF0000"/>
                <w:sz w:val="21"/>
                <w:szCs w:val="21"/>
                <w:lang w:val="en-US" w:eastAsia="zh-CN"/>
              </w:rPr>
              <w:t>本项目选址</w:t>
            </w:r>
            <w:r>
              <w:rPr>
                <w:rFonts w:hint="eastAsia" w:ascii="Times New Roman" w:hAnsi="Times New Roman" w:eastAsia="宋体" w:cs="Times New Roman"/>
                <w:color w:val="FF0000"/>
                <w:sz w:val="21"/>
                <w:szCs w:val="21"/>
                <w:lang w:val="en-US" w:eastAsia="zh-CN"/>
              </w:rPr>
              <w:t>未在划分范围内的乡村区域按以下规定确定声环境功能区的管理。</w:t>
            </w:r>
          </w:p>
          <w:p>
            <w:pPr>
              <w:spacing w:line="360" w:lineRule="auto"/>
              <w:ind w:firstLine="487" w:firstLineChars="232"/>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1</w:t>
            </w:r>
            <w:r>
              <w:rPr>
                <w:rFonts w:hint="eastAsia" w:ascii="Times New Roman" w:hAnsi="Times New Roman" w:eastAsia="宋体" w:cs="Times New Roman"/>
                <w:color w:val="FF0000"/>
                <w:sz w:val="21"/>
                <w:szCs w:val="21"/>
                <w:lang w:val="en-US" w:eastAsia="zh-CN"/>
              </w:rPr>
              <w:t>类声环境功能区：指以居民住宅、医疗卫生、文化教育、科研设计、行政办公为主要功能，需要保持安静的区域。</w:t>
            </w:r>
          </w:p>
          <w:p>
            <w:pPr>
              <w:spacing w:line="360" w:lineRule="auto"/>
              <w:ind w:firstLine="487" w:firstLineChars="232"/>
              <w:rPr>
                <w:rFonts w:hint="eastAsia" w:ascii="Times New Roman" w:hAnsi="Times New Roman" w:eastAsia="宋体" w:cs="Times New Roman"/>
                <w:color w:val="FF0000"/>
                <w:sz w:val="21"/>
                <w:szCs w:val="21"/>
                <w:lang w:val="en-US" w:eastAsia="zh-CN"/>
              </w:rPr>
            </w:pPr>
            <w:r>
              <w:rPr>
                <w:rFonts w:hint="default" w:ascii="Times New Roman" w:hAnsi="Times New Roman" w:eastAsia="宋体" w:cs="Times New Roman"/>
                <w:color w:val="FF0000"/>
                <w:sz w:val="21"/>
                <w:szCs w:val="21"/>
                <w:lang w:val="en-US" w:eastAsia="zh-CN"/>
              </w:rPr>
              <w:t>2</w:t>
            </w:r>
            <w:r>
              <w:rPr>
                <w:rFonts w:hint="eastAsia" w:ascii="Times New Roman" w:hAnsi="Times New Roman" w:eastAsia="宋体" w:cs="Times New Roman"/>
                <w:color w:val="FF0000"/>
                <w:sz w:val="21"/>
                <w:szCs w:val="21"/>
                <w:lang w:val="en-US" w:eastAsia="zh-CN"/>
              </w:rPr>
              <w:t>类声环境功能区：指以商业金融、集市贸易为主要功能，或者居住、商业、工业混杂，需要维护住宅安静的区域。</w:t>
            </w:r>
          </w:p>
          <w:p>
            <w:pPr>
              <w:spacing w:line="360" w:lineRule="auto"/>
              <w:ind w:firstLine="487" w:firstLineChars="23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乡村区域声环境功能区确定</w:t>
            </w:r>
          </w:p>
          <w:p>
            <w:pPr>
              <w:spacing w:line="360" w:lineRule="auto"/>
              <w:ind w:firstLine="487" w:firstLineChars="232"/>
              <w:rPr>
                <w:rFonts w:hint="eastAsia" w:cs="Times New Roman"/>
                <w:color w:val="FF0000"/>
                <w:sz w:val="21"/>
                <w:szCs w:val="21"/>
                <w:lang w:val="en-US" w:eastAsia="zh-CN"/>
              </w:rPr>
            </w:pPr>
            <w:r>
              <w:rPr>
                <w:rFonts w:hint="eastAsia" w:cs="Times New Roman"/>
                <w:color w:val="FF0000"/>
                <w:sz w:val="21"/>
                <w:szCs w:val="21"/>
                <w:lang w:val="en-US" w:eastAsia="zh-CN"/>
              </w:rPr>
              <w:t>①</w:t>
            </w:r>
            <w:r>
              <w:rPr>
                <w:rFonts w:hint="eastAsia" w:ascii="Times New Roman" w:hAnsi="Times New Roman" w:eastAsia="宋体" w:cs="Times New Roman"/>
                <w:color w:val="FF0000"/>
                <w:sz w:val="21"/>
                <w:szCs w:val="21"/>
                <w:lang w:val="en-US" w:eastAsia="zh-CN"/>
              </w:rPr>
              <w:t>村庄原则上执行1类声环境功能区要求，工业活动较多的村庄以及交通干线经过的村庄</w:t>
            </w:r>
            <w:r>
              <w:rPr>
                <w:rFonts w:hint="eastAsia"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指执行4类声环境功能区要求以外的地区</w:t>
            </w:r>
            <w:r>
              <w:rPr>
                <w:rFonts w:hint="eastAsia" w:cs="Times New Roman"/>
                <w:color w:val="FF0000"/>
                <w:sz w:val="21"/>
                <w:szCs w:val="21"/>
                <w:lang w:val="en-US" w:eastAsia="zh-CN"/>
              </w:rPr>
              <w:t>）</w:t>
            </w:r>
            <w:r>
              <w:rPr>
                <w:rFonts w:hint="eastAsia" w:ascii="Times New Roman" w:hAnsi="Times New Roman" w:eastAsia="宋体" w:cs="Times New Roman"/>
                <w:color w:val="FF0000"/>
                <w:sz w:val="21"/>
                <w:szCs w:val="21"/>
                <w:lang w:val="en-US" w:eastAsia="zh-CN"/>
              </w:rPr>
              <w:t>执行2类声环境功能区类别</w:t>
            </w:r>
            <w:r>
              <w:rPr>
                <w:rFonts w:hint="eastAsia" w:cs="Times New Roman"/>
                <w:color w:val="FF0000"/>
                <w:sz w:val="21"/>
                <w:szCs w:val="21"/>
                <w:lang w:val="en-US" w:eastAsia="zh-CN"/>
              </w:rPr>
              <w:t>，</w:t>
            </w:r>
          </w:p>
          <w:p>
            <w:pPr>
              <w:spacing w:line="360" w:lineRule="auto"/>
              <w:ind w:firstLine="487" w:firstLineChars="232"/>
              <w:rPr>
                <w:rFonts w:hint="default" w:cs="Times New Roman"/>
                <w:color w:val="FF0000"/>
                <w:sz w:val="21"/>
                <w:szCs w:val="21"/>
                <w:lang w:val="en-US" w:eastAsia="zh-CN"/>
              </w:rPr>
            </w:pPr>
            <w:r>
              <w:rPr>
                <w:rFonts w:hint="eastAsia" w:cs="Times New Roman"/>
                <w:color w:val="FF0000"/>
                <w:sz w:val="21"/>
                <w:szCs w:val="21"/>
                <w:lang w:val="en-US" w:eastAsia="zh-CN"/>
              </w:rPr>
              <w:t>②位于交通干线两侧一定距离(参考《声环境功能区划分技术规范》(GB/T15190-2014)第8.3条规定)内的噪声敏感建筑物执行4类声环境功能区类别。</w:t>
            </w:r>
          </w:p>
          <w:p>
            <w:pPr>
              <w:spacing w:line="360" w:lineRule="auto"/>
              <w:ind w:firstLine="487" w:firstLineChars="232"/>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本项目所在地为2类声环境功能区，</w:t>
            </w:r>
            <w:r>
              <w:rPr>
                <w:rFonts w:hint="eastAsia" w:cs="Times New Roman"/>
                <w:color w:val="FF0000"/>
                <w:sz w:val="21"/>
                <w:szCs w:val="21"/>
                <w:lang w:val="en-US" w:eastAsia="zh-CN"/>
              </w:rPr>
              <w:t>相邻区域为1类标准适用区域，交通干线两侧距离为50m±5m区域划定为4a类声环境功能区，相邻区域为2类标准适用区域，交通干线两侧距离为35m±5m区域划定为4a类声环境功能区，华胜南</w:t>
            </w:r>
            <w:r>
              <w:rPr>
                <w:rFonts w:hint="eastAsia" w:ascii="Times New Roman" w:hAnsi="Times New Roman" w:eastAsia="宋体" w:cs="Times New Roman"/>
                <w:color w:val="FF0000"/>
                <w:sz w:val="21"/>
                <w:szCs w:val="21"/>
                <w:lang w:val="en-US" w:eastAsia="zh-CN"/>
              </w:rPr>
              <w:t>厂界</w:t>
            </w:r>
            <w:r>
              <w:rPr>
                <w:rFonts w:hint="eastAsia" w:cs="Times New Roman"/>
                <w:color w:val="FF0000"/>
                <w:sz w:val="21"/>
                <w:szCs w:val="21"/>
                <w:lang w:val="en-US" w:eastAsia="zh-CN"/>
              </w:rPr>
              <w:t>外</w:t>
            </w:r>
            <w:r>
              <w:rPr>
                <w:rFonts w:hint="eastAsia" w:ascii="Times New Roman" w:hAnsi="Times New Roman" w:eastAsia="宋体" w:cs="Times New Roman"/>
                <w:color w:val="FF0000"/>
                <w:sz w:val="21"/>
                <w:szCs w:val="21"/>
                <w:lang w:val="en-US" w:eastAsia="zh-CN"/>
              </w:rPr>
              <w:t>1</w:t>
            </w:r>
            <w:r>
              <w:rPr>
                <w:rFonts w:hint="eastAsia" w:cs="Times New Roman"/>
                <w:color w:val="FF0000"/>
                <w:sz w:val="21"/>
                <w:szCs w:val="21"/>
                <w:lang w:val="en-US" w:eastAsia="zh-CN"/>
              </w:rPr>
              <w:t>5</w:t>
            </w:r>
            <w:r>
              <w:rPr>
                <w:rFonts w:hint="eastAsia" w:ascii="Times New Roman" w:hAnsi="Times New Roman" w:eastAsia="宋体" w:cs="Times New Roman"/>
                <w:color w:val="FF0000"/>
                <w:sz w:val="21"/>
                <w:szCs w:val="21"/>
                <w:lang w:val="en-US" w:eastAsia="zh-CN"/>
              </w:rPr>
              <w:t>m为</w:t>
            </w:r>
            <w:r>
              <w:rPr>
                <w:rFonts w:hint="eastAsia" w:cs="Times New Roman"/>
                <w:color w:val="FF0000"/>
                <w:sz w:val="21"/>
                <w:szCs w:val="21"/>
                <w:lang w:val="en-US" w:eastAsia="zh-CN"/>
              </w:rPr>
              <w:t>国道G345启那线</w:t>
            </w:r>
            <w:r>
              <w:rPr>
                <w:rFonts w:hint="eastAsia" w:ascii="Times New Roman" w:hAnsi="Times New Roman" w:eastAsia="宋体" w:cs="Times New Roman"/>
                <w:color w:val="FF0000"/>
                <w:sz w:val="21"/>
                <w:szCs w:val="21"/>
                <w:lang w:val="en-US" w:eastAsia="zh-CN"/>
              </w:rPr>
              <w:t>，</w:t>
            </w:r>
            <w:r>
              <w:rPr>
                <w:rFonts w:hint="eastAsia" w:cs="Times New Roman"/>
                <w:color w:val="FF0000"/>
                <w:sz w:val="21"/>
                <w:szCs w:val="21"/>
                <w:lang w:val="en-US" w:eastAsia="zh-CN"/>
              </w:rPr>
              <w:t>华胜</w:t>
            </w:r>
            <w:r>
              <w:rPr>
                <w:rFonts w:hint="eastAsia" w:ascii="Times New Roman" w:hAnsi="Times New Roman" w:eastAsia="宋体" w:cs="Times New Roman"/>
                <w:color w:val="FF0000"/>
                <w:sz w:val="21"/>
                <w:szCs w:val="21"/>
                <w:lang w:val="en-US" w:eastAsia="zh-CN"/>
              </w:rPr>
              <w:t>东、</w:t>
            </w:r>
            <w:r>
              <w:rPr>
                <w:rFonts w:hint="eastAsia" w:cs="Times New Roman"/>
                <w:color w:val="FF0000"/>
                <w:sz w:val="21"/>
                <w:szCs w:val="21"/>
                <w:lang w:val="en-US" w:eastAsia="zh-CN"/>
              </w:rPr>
              <w:t>西</w:t>
            </w:r>
            <w:r>
              <w:rPr>
                <w:rFonts w:hint="eastAsia" w:ascii="Times New Roman" w:hAnsi="Times New Roman" w:eastAsia="宋体" w:cs="Times New Roman"/>
                <w:color w:val="FF0000"/>
                <w:sz w:val="21"/>
                <w:szCs w:val="21"/>
                <w:lang w:val="en-US" w:eastAsia="zh-CN"/>
              </w:rPr>
              <w:t>、北</w:t>
            </w:r>
            <w:r>
              <w:rPr>
                <w:rFonts w:hint="eastAsia" w:cs="Times New Roman"/>
                <w:color w:val="FF0000"/>
                <w:sz w:val="21"/>
                <w:szCs w:val="21"/>
                <w:lang w:val="en-US" w:eastAsia="zh-CN"/>
              </w:rPr>
              <w:t>厂界</w:t>
            </w:r>
            <w:r>
              <w:rPr>
                <w:rFonts w:hint="eastAsia" w:ascii="Times New Roman" w:hAnsi="Times New Roman" w:eastAsia="宋体" w:cs="Times New Roman"/>
                <w:color w:val="FF0000"/>
                <w:sz w:val="21"/>
                <w:szCs w:val="21"/>
                <w:lang w:val="en-US" w:eastAsia="zh-CN"/>
              </w:rPr>
              <w:t>执行《声环境质量标准》(GB3096-2008)中2类标准，</w:t>
            </w:r>
            <w:r>
              <w:rPr>
                <w:rFonts w:hint="eastAsia" w:cs="Times New Roman"/>
                <w:color w:val="FF0000"/>
                <w:sz w:val="21"/>
                <w:szCs w:val="21"/>
                <w:lang w:val="en-US" w:eastAsia="zh-CN"/>
              </w:rPr>
              <w:t>华胜南</w:t>
            </w:r>
            <w:r>
              <w:rPr>
                <w:rFonts w:hint="eastAsia" w:ascii="Times New Roman" w:hAnsi="Times New Roman" w:eastAsia="宋体" w:cs="Times New Roman"/>
                <w:color w:val="FF0000"/>
                <w:sz w:val="21"/>
                <w:szCs w:val="21"/>
                <w:lang w:val="en-US" w:eastAsia="zh-CN"/>
              </w:rPr>
              <w:t>厂界执行《声环境质量标准》(GB3096-2008)中4a类标准</w:t>
            </w:r>
            <w:r>
              <w:rPr>
                <w:rFonts w:hint="eastAsia" w:cs="Times New Roman"/>
                <w:color w:val="FF0000"/>
                <w:sz w:val="21"/>
                <w:szCs w:val="21"/>
                <w:lang w:val="en-US" w:eastAsia="zh-CN"/>
              </w:rPr>
              <w:t>；西侧九华镇卫生院为</w:t>
            </w:r>
            <w:r>
              <w:rPr>
                <w:rFonts w:hint="default" w:cs="Times New Roman"/>
                <w:color w:val="FF0000"/>
                <w:sz w:val="21"/>
                <w:szCs w:val="21"/>
                <w:lang w:val="en-US" w:eastAsia="zh-CN"/>
              </w:rPr>
              <w:t>1</w:t>
            </w:r>
            <w:r>
              <w:rPr>
                <w:rFonts w:hint="eastAsia" w:ascii="Times New Roman" w:hAnsi="Times New Roman" w:eastAsia="宋体" w:cs="Times New Roman"/>
                <w:color w:val="FF0000"/>
                <w:sz w:val="21"/>
                <w:szCs w:val="21"/>
                <w:lang w:val="en-US" w:eastAsia="zh-CN"/>
              </w:rPr>
              <w:t>类声环境功能区</w:t>
            </w:r>
            <w:r>
              <w:rPr>
                <w:rFonts w:hint="eastAsia" w:cs="Times New Roman"/>
                <w:color w:val="FF0000"/>
                <w:sz w:val="21"/>
                <w:szCs w:val="21"/>
                <w:lang w:val="en-US" w:eastAsia="zh-CN"/>
              </w:rPr>
              <w:t>，执行</w:t>
            </w:r>
            <w:r>
              <w:rPr>
                <w:rFonts w:hint="eastAsia" w:ascii="Times New Roman" w:hAnsi="Times New Roman" w:eastAsia="宋体" w:cs="Times New Roman"/>
                <w:color w:val="FF0000"/>
                <w:sz w:val="21"/>
                <w:szCs w:val="21"/>
                <w:lang w:val="en-US" w:eastAsia="zh-CN"/>
              </w:rPr>
              <w:t>《声环境质量标准》(GB3096-2008)中</w:t>
            </w:r>
            <w:r>
              <w:rPr>
                <w:rFonts w:hint="eastAsia" w:cs="Times New Roman"/>
                <w:color w:val="FF0000"/>
                <w:sz w:val="21"/>
                <w:szCs w:val="21"/>
                <w:lang w:val="en-US" w:eastAsia="zh-CN"/>
              </w:rPr>
              <w:t>1</w:t>
            </w:r>
            <w:r>
              <w:rPr>
                <w:rFonts w:hint="eastAsia" w:ascii="Times New Roman" w:hAnsi="Times New Roman" w:eastAsia="宋体" w:cs="Times New Roman"/>
                <w:color w:val="FF0000"/>
                <w:sz w:val="21"/>
                <w:szCs w:val="21"/>
                <w:lang w:val="en-US" w:eastAsia="zh-CN"/>
              </w:rPr>
              <w:t>类标准</w:t>
            </w:r>
            <w:r>
              <w:rPr>
                <w:rFonts w:hint="eastAsia" w:cs="Times New Roman"/>
                <w:color w:val="FF0000"/>
                <w:sz w:val="21"/>
                <w:szCs w:val="21"/>
                <w:lang w:val="en-US" w:eastAsia="zh-CN"/>
              </w:rPr>
              <w:t>；G345启那线南侧15m为南侧居民敏感</w:t>
            </w:r>
            <w:r>
              <w:rPr>
                <w:rFonts w:hint="eastAsia" w:ascii="Times New Roman" w:hAnsi="Times New Roman" w:eastAsia="宋体" w:cs="Times New Roman"/>
                <w:color w:val="FF0000"/>
                <w:sz w:val="21"/>
                <w:szCs w:val="21"/>
                <w:lang w:val="en-US" w:eastAsia="zh-CN"/>
              </w:rPr>
              <w:t>点（马桥村十九组）执行《声环境质量标准》(GB3096-2008)中4a类标准。具体标准见下表。</w:t>
            </w:r>
          </w:p>
          <w:p>
            <w:pPr>
              <w:spacing w:line="360" w:lineRule="auto"/>
              <w:jc w:val="center"/>
              <w:rPr>
                <w:rFonts w:hint="eastAsia" w:ascii="Times New Roman" w:hAnsi="Times New Roman" w:eastAsia="宋体" w:cs="Times New Roman"/>
                <w:b/>
                <w:bCs/>
                <w:color w:val="auto"/>
                <w:sz w:val="21"/>
                <w:szCs w:val="21"/>
                <w:lang w:eastAsia="zh-CN"/>
              </w:rPr>
            </w:pPr>
            <w:r>
              <w:rPr>
                <w:rFonts w:hint="eastAsia" w:ascii="Times New Roman" w:hAnsi="Times New Roman" w:eastAsia="宋体" w:cs="Times New Roman"/>
                <w:b/>
                <w:bCs/>
                <w:color w:val="auto"/>
                <w:sz w:val="21"/>
                <w:szCs w:val="21"/>
                <w:lang w:eastAsia="zh-CN"/>
              </w:rPr>
              <w:t>表3-</w:t>
            </w:r>
            <w:r>
              <w:rPr>
                <w:rFonts w:hint="eastAsia" w:cs="Times New Roman"/>
                <w:b/>
                <w:bCs/>
                <w:color w:val="auto"/>
                <w:sz w:val="21"/>
                <w:szCs w:val="21"/>
                <w:lang w:val="en-US" w:eastAsia="zh-CN"/>
              </w:rPr>
              <w:t>1</w:t>
            </w:r>
            <w:r>
              <w:rPr>
                <w:rFonts w:hint="eastAsia" w:ascii="Times New Roman" w:hAnsi="Times New Roman" w:eastAsia="宋体" w:cs="Times New Roman"/>
                <w:b/>
                <w:bCs/>
                <w:color w:val="auto"/>
                <w:sz w:val="21"/>
                <w:szCs w:val="21"/>
                <w:lang w:eastAsia="zh-CN"/>
              </w:rPr>
              <w:t xml:space="preserve">  项目周边环境噪声监测结果   （单位：dB(A)）</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398"/>
              <w:gridCol w:w="1283"/>
              <w:gridCol w:w="1181"/>
              <w:gridCol w:w="1125"/>
              <w:gridCol w:w="1126"/>
              <w:gridCol w:w="14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0"/>
                      <w:szCs w:val="20"/>
                      <w:lang w:eastAsia="zh-CN"/>
                    </w:rPr>
                  </w:pPr>
                  <w:r>
                    <w:rPr>
                      <w:rFonts w:hint="eastAsia" w:ascii="Times New Roman" w:hAnsi="Times New Roman" w:eastAsia="宋体" w:cs="Times New Roman"/>
                      <w:b/>
                      <w:bCs/>
                      <w:color w:val="auto"/>
                      <w:sz w:val="20"/>
                      <w:szCs w:val="20"/>
                      <w:lang w:eastAsia="zh-CN"/>
                    </w:rPr>
                    <w:t>测点编号</w:t>
                  </w:r>
                </w:p>
              </w:tc>
              <w:tc>
                <w:tcPr>
                  <w:tcW w:w="1398"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0"/>
                      <w:szCs w:val="20"/>
                      <w:lang w:eastAsia="zh-CN"/>
                    </w:rPr>
                  </w:pPr>
                  <w:r>
                    <w:rPr>
                      <w:rFonts w:hint="eastAsia" w:ascii="Times New Roman" w:hAnsi="Times New Roman" w:eastAsia="宋体" w:cs="Times New Roman"/>
                      <w:b/>
                      <w:bCs/>
                      <w:color w:val="auto"/>
                      <w:sz w:val="20"/>
                      <w:szCs w:val="20"/>
                      <w:lang w:eastAsia="zh-CN"/>
                    </w:rPr>
                    <w:t>测点位置</w:t>
                  </w:r>
                </w:p>
              </w:tc>
              <w:tc>
                <w:tcPr>
                  <w:tcW w:w="2464"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0"/>
                      <w:szCs w:val="20"/>
                      <w:lang w:val="en-US" w:eastAsia="zh-CN"/>
                    </w:rPr>
                  </w:pPr>
                  <w:r>
                    <w:rPr>
                      <w:rFonts w:hint="eastAsia" w:ascii="Times New Roman" w:hAnsi="Times New Roman" w:eastAsia="宋体" w:cs="Times New Roman"/>
                      <w:b/>
                      <w:bCs/>
                      <w:color w:val="auto"/>
                      <w:sz w:val="20"/>
                      <w:szCs w:val="20"/>
                      <w:lang w:val="en-US" w:eastAsia="zh-CN"/>
                    </w:rPr>
                    <w:t>监测结果</w:t>
                  </w:r>
                </w:p>
              </w:tc>
              <w:tc>
                <w:tcPr>
                  <w:tcW w:w="2251" w:type="dxa"/>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0"/>
                      <w:szCs w:val="20"/>
                      <w:lang w:eastAsia="zh-CN"/>
                    </w:rPr>
                  </w:pPr>
                  <w:r>
                    <w:rPr>
                      <w:rFonts w:hint="eastAsia" w:ascii="Times New Roman" w:hAnsi="Times New Roman" w:eastAsia="宋体" w:cs="Times New Roman"/>
                      <w:b/>
                      <w:bCs/>
                      <w:color w:val="auto"/>
                      <w:sz w:val="20"/>
                      <w:szCs w:val="20"/>
                      <w:lang w:eastAsia="zh-CN"/>
                    </w:rPr>
                    <w:t>执行标准</w:t>
                  </w:r>
                </w:p>
              </w:tc>
              <w:tc>
                <w:tcPr>
                  <w:tcW w:w="148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0"/>
                      <w:szCs w:val="20"/>
                      <w:lang w:eastAsia="zh-CN"/>
                    </w:rPr>
                  </w:pPr>
                  <w:r>
                    <w:rPr>
                      <w:rFonts w:hint="eastAsia" w:ascii="Times New Roman" w:hAnsi="Times New Roman" w:eastAsia="宋体" w:cs="Times New Roman"/>
                      <w:b/>
                      <w:bCs/>
                      <w:color w:val="auto"/>
                      <w:sz w:val="20"/>
                      <w:szCs w:val="20"/>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0"/>
                      <w:szCs w:val="20"/>
                    </w:rPr>
                  </w:pPr>
                </w:p>
              </w:tc>
              <w:tc>
                <w:tcPr>
                  <w:tcW w:w="1398"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sz w:val="20"/>
                      <w:szCs w:val="20"/>
                    </w:rPr>
                  </w:pPr>
                </w:p>
              </w:tc>
              <w:tc>
                <w:tcPr>
                  <w:tcW w:w="1283"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0"/>
                      <w:szCs w:val="20"/>
                      <w:lang w:val="en-US" w:eastAsia="zh-CN" w:bidi="ar-SA"/>
                    </w:rPr>
                  </w:pPr>
                  <w:r>
                    <w:rPr>
                      <w:rFonts w:hint="eastAsia" w:ascii="Times New Roman" w:hAnsi="Times New Roman" w:eastAsia="宋体" w:cs="Times New Roman"/>
                      <w:b/>
                      <w:bCs/>
                      <w:color w:val="auto"/>
                      <w:sz w:val="20"/>
                      <w:szCs w:val="20"/>
                      <w:lang w:eastAsia="zh-CN"/>
                    </w:rPr>
                    <w:t>昼间dB（A）</w:t>
                  </w:r>
                </w:p>
              </w:tc>
              <w:tc>
                <w:tcPr>
                  <w:tcW w:w="1181"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kern w:val="2"/>
                      <w:sz w:val="20"/>
                      <w:szCs w:val="20"/>
                      <w:lang w:val="en-US" w:eastAsia="zh-CN" w:bidi="ar-SA"/>
                    </w:rPr>
                  </w:pPr>
                  <w:r>
                    <w:rPr>
                      <w:rFonts w:hint="eastAsia" w:ascii="Times New Roman" w:hAnsi="Times New Roman" w:eastAsia="宋体" w:cs="Times New Roman"/>
                      <w:b/>
                      <w:bCs/>
                      <w:color w:val="auto"/>
                      <w:sz w:val="20"/>
                      <w:szCs w:val="20"/>
                      <w:lang w:val="en-US" w:eastAsia="zh-CN"/>
                    </w:rPr>
                    <w:t>夜</w:t>
                  </w:r>
                  <w:r>
                    <w:rPr>
                      <w:rFonts w:hint="eastAsia" w:ascii="Times New Roman" w:hAnsi="Times New Roman" w:eastAsia="宋体" w:cs="Times New Roman"/>
                      <w:b/>
                      <w:bCs/>
                      <w:color w:val="auto"/>
                      <w:sz w:val="20"/>
                      <w:szCs w:val="20"/>
                      <w:lang w:eastAsia="zh-CN"/>
                    </w:rPr>
                    <w:t>间dB（A）</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0"/>
                      <w:szCs w:val="20"/>
                      <w:lang w:eastAsia="zh-CN"/>
                    </w:rPr>
                  </w:pPr>
                  <w:r>
                    <w:rPr>
                      <w:rFonts w:hint="eastAsia" w:ascii="Times New Roman" w:hAnsi="Times New Roman" w:eastAsia="宋体" w:cs="Times New Roman"/>
                      <w:b/>
                      <w:bCs/>
                      <w:color w:val="auto"/>
                      <w:sz w:val="20"/>
                      <w:szCs w:val="20"/>
                      <w:lang w:eastAsia="zh-CN"/>
                    </w:rPr>
                    <w:t>昼间dB（A）</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
                      <w:bCs/>
                      <w:color w:val="auto"/>
                      <w:sz w:val="20"/>
                      <w:szCs w:val="20"/>
                      <w:lang w:eastAsia="zh-CN"/>
                    </w:rPr>
                  </w:pPr>
                  <w:r>
                    <w:rPr>
                      <w:rFonts w:hint="eastAsia" w:ascii="Times New Roman" w:hAnsi="Times New Roman" w:eastAsia="宋体" w:cs="Times New Roman"/>
                      <w:b/>
                      <w:bCs/>
                      <w:color w:val="auto"/>
                      <w:sz w:val="20"/>
                      <w:szCs w:val="20"/>
                      <w:lang w:val="en-US" w:eastAsia="zh-CN"/>
                    </w:rPr>
                    <w:t>夜</w:t>
                  </w:r>
                  <w:r>
                    <w:rPr>
                      <w:rFonts w:hint="eastAsia" w:ascii="Times New Roman" w:hAnsi="Times New Roman" w:eastAsia="宋体" w:cs="Times New Roman"/>
                      <w:b/>
                      <w:bCs/>
                      <w:color w:val="auto"/>
                      <w:sz w:val="20"/>
                      <w:szCs w:val="20"/>
                      <w:lang w:eastAsia="zh-CN"/>
                    </w:rPr>
                    <w:t>间dB（A）</w:t>
                  </w:r>
                </w:p>
              </w:tc>
              <w:tc>
                <w:tcPr>
                  <w:tcW w:w="148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N1</w:t>
                  </w:r>
                </w:p>
              </w:tc>
              <w:tc>
                <w:tcPr>
                  <w:tcW w:w="1398"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华胜东厂界</w:t>
                  </w:r>
                </w:p>
              </w:tc>
              <w:tc>
                <w:tcPr>
                  <w:tcW w:w="1283" w:type="dxa"/>
                  <w:tcBorders>
                    <w:tl2br w:val="nil"/>
                    <w:tr2bl w:val="nil"/>
                  </w:tcBorders>
                  <w:shd w:val="clear" w:color="auto" w:fill="auto"/>
                  <w:noWrap w:val="0"/>
                  <w:vAlign w:val="center"/>
                </w:tcPr>
                <w:p>
                  <w:pPr>
                    <w:ind w:right="19" w:rightChars="9"/>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53.1</w:t>
                  </w:r>
                </w:p>
              </w:tc>
              <w:tc>
                <w:tcPr>
                  <w:tcW w:w="1181" w:type="dxa"/>
                  <w:tcBorders>
                    <w:tl2br w:val="nil"/>
                    <w:tr2bl w:val="nil"/>
                  </w:tcBorders>
                  <w:shd w:val="clear" w:color="auto" w:fill="auto"/>
                  <w:noWrap w:val="0"/>
                  <w:vAlign w:val="center"/>
                </w:tcPr>
                <w:p>
                  <w:pPr>
                    <w:ind w:right="19" w:rightChars="9"/>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46.9</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60</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5</w:t>
                  </w:r>
                  <w:r>
                    <w:rPr>
                      <w:rFonts w:hint="eastAsia" w:cs="Times New Roman"/>
                      <w:color w:val="auto"/>
                      <w:sz w:val="20"/>
                      <w:szCs w:val="20"/>
                      <w:lang w:val="en-US" w:eastAsia="zh-CN"/>
                    </w:rPr>
                    <w:t>0</w:t>
                  </w:r>
                </w:p>
              </w:tc>
              <w:tc>
                <w:tcPr>
                  <w:tcW w:w="1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N2</w:t>
                  </w:r>
                </w:p>
              </w:tc>
              <w:tc>
                <w:tcPr>
                  <w:tcW w:w="1398"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华胜东厂界</w:t>
                  </w:r>
                </w:p>
              </w:tc>
              <w:tc>
                <w:tcPr>
                  <w:tcW w:w="1283" w:type="dxa"/>
                  <w:tcBorders>
                    <w:tl2br w:val="nil"/>
                    <w:tr2bl w:val="nil"/>
                  </w:tcBorders>
                  <w:shd w:val="clear" w:color="auto" w:fill="auto"/>
                  <w:noWrap w:val="0"/>
                  <w:vAlign w:val="center"/>
                </w:tcPr>
                <w:p>
                  <w:pPr>
                    <w:ind w:right="19" w:rightChars="9"/>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50.1</w:t>
                  </w:r>
                </w:p>
              </w:tc>
              <w:tc>
                <w:tcPr>
                  <w:tcW w:w="1181" w:type="dxa"/>
                  <w:tcBorders>
                    <w:tl2br w:val="nil"/>
                    <w:tr2bl w:val="nil"/>
                  </w:tcBorders>
                  <w:shd w:val="clear" w:color="auto" w:fill="auto"/>
                  <w:noWrap w:val="0"/>
                  <w:vAlign w:val="center"/>
                </w:tcPr>
                <w:p>
                  <w:pPr>
                    <w:ind w:right="19" w:rightChars="9"/>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44.5</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cs="Times New Roman"/>
                      <w:color w:val="auto"/>
                      <w:sz w:val="20"/>
                      <w:szCs w:val="20"/>
                      <w:lang w:val="en-US" w:eastAsia="zh-CN"/>
                    </w:rPr>
                    <w:t>60</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val="en-US" w:eastAsia="zh-CN"/>
                    </w:rPr>
                    <w:t>5</w:t>
                  </w:r>
                  <w:r>
                    <w:rPr>
                      <w:rFonts w:hint="eastAsia" w:cs="Times New Roman"/>
                      <w:color w:val="auto"/>
                      <w:sz w:val="20"/>
                      <w:szCs w:val="20"/>
                      <w:lang w:val="en-US" w:eastAsia="zh-CN"/>
                    </w:rPr>
                    <w:t>0</w:t>
                  </w:r>
                </w:p>
              </w:tc>
              <w:tc>
                <w:tcPr>
                  <w:tcW w:w="1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N3</w:t>
                  </w:r>
                </w:p>
              </w:tc>
              <w:tc>
                <w:tcPr>
                  <w:tcW w:w="1398"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华胜南厂界</w:t>
                  </w:r>
                </w:p>
              </w:tc>
              <w:tc>
                <w:tcPr>
                  <w:tcW w:w="1283" w:type="dxa"/>
                  <w:tcBorders>
                    <w:tl2br w:val="nil"/>
                    <w:tr2bl w:val="nil"/>
                  </w:tcBorders>
                  <w:shd w:val="clear" w:color="auto" w:fill="auto"/>
                  <w:noWrap w:val="0"/>
                  <w:vAlign w:val="center"/>
                </w:tcPr>
                <w:p>
                  <w:pPr>
                    <w:ind w:right="19" w:rightChars="9"/>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55.8</w:t>
                  </w:r>
                </w:p>
              </w:tc>
              <w:tc>
                <w:tcPr>
                  <w:tcW w:w="1181" w:type="dxa"/>
                  <w:tcBorders>
                    <w:tl2br w:val="nil"/>
                    <w:tr2bl w:val="nil"/>
                  </w:tcBorders>
                  <w:shd w:val="clear" w:color="auto" w:fill="auto"/>
                  <w:noWrap w:val="0"/>
                  <w:vAlign w:val="center"/>
                </w:tcPr>
                <w:p>
                  <w:pPr>
                    <w:ind w:right="19" w:rightChars="9"/>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42.1</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cs="Times New Roman"/>
                      <w:color w:val="auto"/>
                      <w:sz w:val="20"/>
                      <w:szCs w:val="20"/>
                      <w:lang w:val="en-US" w:eastAsia="zh-CN"/>
                    </w:rPr>
                    <w:t>70</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val="en-US" w:eastAsia="zh-CN"/>
                    </w:rPr>
                    <w:t>5</w:t>
                  </w:r>
                  <w:r>
                    <w:rPr>
                      <w:rFonts w:hint="eastAsia" w:cs="Times New Roman"/>
                      <w:color w:val="auto"/>
                      <w:sz w:val="20"/>
                      <w:szCs w:val="20"/>
                      <w:lang w:val="en-US" w:eastAsia="zh-CN"/>
                    </w:rPr>
                    <w:t>5</w:t>
                  </w:r>
                </w:p>
              </w:tc>
              <w:tc>
                <w:tcPr>
                  <w:tcW w:w="1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N4</w:t>
                  </w:r>
                </w:p>
              </w:tc>
              <w:tc>
                <w:tcPr>
                  <w:tcW w:w="1398" w:type="dxa"/>
                  <w:tcBorders>
                    <w:tl2br w:val="nil"/>
                    <w:tr2bl w:val="nil"/>
                  </w:tcBorders>
                  <w:noWrap w:val="0"/>
                  <w:vAlign w:val="center"/>
                </w:tcPr>
                <w:p>
                  <w:pPr>
                    <w:jc w:val="center"/>
                    <w:rPr>
                      <w:rFonts w:hint="eastAsia" w:ascii="Times New Roman" w:hAnsi="Times New Roman" w:eastAsia="宋体" w:cs="Times New Roman"/>
                      <w:color w:val="auto"/>
                      <w:sz w:val="20"/>
                      <w:szCs w:val="20"/>
                      <w:lang w:eastAsia="zh-CN"/>
                    </w:rPr>
                  </w:pPr>
                  <w:r>
                    <w:rPr>
                      <w:rFonts w:hint="eastAsia"/>
                      <w:sz w:val="20"/>
                      <w:szCs w:val="20"/>
                      <w:lang w:val="en-US" w:eastAsia="zh-CN"/>
                    </w:rPr>
                    <w:t>华胜西厂界</w:t>
                  </w:r>
                </w:p>
              </w:tc>
              <w:tc>
                <w:tcPr>
                  <w:tcW w:w="1283" w:type="dxa"/>
                  <w:tcBorders>
                    <w:tl2br w:val="nil"/>
                    <w:tr2bl w:val="nil"/>
                  </w:tcBorders>
                  <w:shd w:val="clear" w:color="auto" w:fill="auto"/>
                  <w:noWrap w:val="0"/>
                  <w:vAlign w:val="center"/>
                </w:tcPr>
                <w:p>
                  <w:pPr>
                    <w:ind w:right="19" w:rightChars="9"/>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49.6</w:t>
                  </w:r>
                </w:p>
              </w:tc>
              <w:tc>
                <w:tcPr>
                  <w:tcW w:w="1181" w:type="dxa"/>
                  <w:tcBorders>
                    <w:tl2br w:val="nil"/>
                    <w:tr2bl w:val="nil"/>
                  </w:tcBorders>
                  <w:shd w:val="clear" w:color="auto" w:fill="auto"/>
                  <w:noWrap w:val="0"/>
                  <w:vAlign w:val="center"/>
                </w:tcPr>
                <w:p>
                  <w:pPr>
                    <w:ind w:right="19" w:rightChars="9"/>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43.2</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60</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val="en-US" w:eastAsia="zh-CN"/>
                    </w:rPr>
                    <w:t>5</w:t>
                  </w:r>
                  <w:r>
                    <w:rPr>
                      <w:rFonts w:hint="eastAsia" w:cs="Times New Roman"/>
                      <w:color w:val="auto"/>
                      <w:sz w:val="20"/>
                      <w:szCs w:val="20"/>
                      <w:lang w:val="en-US" w:eastAsia="zh-CN"/>
                    </w:rPr>
                    <w:t>0</w:t>
                  </w:r>
                </w:p>
              </w:tc>
              <w:tc>
                <w:tcPr>
                  <w:tcW w:w="1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tcBorders>
                    <w:tl2br w:val="nil"/>
                    <w:tr2bl w:val="nil"/>
                  </w:tcBorders>
                  <w:shd w:val="clear" w:color="auto" w:fill="auto"/>
                  <w:noWrap w:val="0"/>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N5</w:t>
                  </w:r>
                </w:p>
              </w:tc>
              <w:tc>
                <w:tcPr>
                  <w:tcW w:w="1398" w:type="dxa"/>
                  <w:tcBorders>
                    <w:tl2br w:val="nil"/>
                    <w:tr2bl w:val="nil"/>
                  </w:tcBorders>
                  <w:shd w:val="clear" w:color="auto" w:fill="auto"/>
                  <w:noWrap w:val="0"/>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华胜北厂界</w:t>
                  </w:r>
                </w:p>
              </w:tc>
              <w:tc>
                <w:tcPr>
                  <w:tcW w:w="1283" w:type="dxa"/>
                  <w:tcBorders>
                    <w:tl2br w:val="nil"/>
                    <w:tr2bl w:val="nil"/>
                  </w:tcBorders>
                  <w:shd w:val="clear" w:color="auto" w:fill="auto"/>
                  <w:noWrap w:val="0"/>
                  <w:vAlign w:val="center"/>
                </w:tcPr>
                <w:p>
                  <w:pPr>
                    <w:ind w:right="19" w:rightChars="9"/>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51.6</w:t>
                  </w:r>
                </w:p>
              </w:tc>
              <w:tc>
                <w:tcPr>
                  <w:tcW w:w="1181" w:type="dxa"/>
                  <w:tcBorders>
                    <w:tl2br w:val="nil"/>
                    <w:tr2bl w:val="nil"/>
                  </w:tcBorders>
                  <w:shd w:val="clear" w:color="auto" w:fill="auto"/>
                  <w:noWrap w:val="0"/>
                  <w:vAlign w:val="center"/>
                </w:tcPr>
                <w:p>
                  <w:pPr>
                    <w:ind w:right="19" w:rightChars="9"/>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46.5</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60</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5</w:t>
                  </w:r>
                  <w:r>
                    <w:rPr>
                      <w:rFonts w:hint="eastAsia" w:cs="Times New Roman"/>
                      <w:color w:val="auto"/>
                      <w:sz w:val="20"/>
                      <w:szCs w:val="20"/>
                      <w:lang w:val="en-US" w:eastAsia="zh-CN"/>
                    </w:rPr>
                    <w:t>0</w:t>
                  </w:r>
                </w:p>
              </w:tc>
              <w:tc>
                <w:tcPr>
                  <w:tcW w:w="1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tcBorders>
                    <w:tl2br w:val="nil"/>
                    <w:tr2bl w:val="nil"/>
                  </w:tcBorders>
                  <w:shd w:val="clear" w:color="auto" w:fill="auto"/>
                  <w:noWrap w:val="0"/>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N6</w:t>
                  </w:r>
                </w:p>
              </w:tc>
              <w:tc>
                <w:tcPr>
                  <w:tcW w:w="1398" w:type="dxa"/>
                  <w:tcBorders>
                    <w:tl2br w:val="nil"/>
                    <w:tr2bl w:val="nil"/>
                  </w:tcBorders>
                  <w:shd w:val="clear" w:color="auto" w:fill="auto"/>
                  <w:noWrap w:val="0"/>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西侧九华镇卫生院</w:t>
                  </w:r>
                </w:p>
              </w:tc>
              <w:tc>
                <w:tcPr>
                  <w:tcW w:w="1283" w:type="dxa"/>
                  <w:tcBorders>
                    <w:tl2br w:val="nil"/>
                    <w:tr2bl w:val="nil"/>
                  </w:tcBorders>
                  <w:shd w:val="clear" w:color="auto" w:fill="auto"/>
                  <w:noWrap w:val="0"/>
                  <w:vAlign w:val="center"/>
                </w:tcPr>
                <w:p>
                  <w:pPr>
                    <w:ind w:right="19" w:rightChars="9"/>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45.7</w:t>
                  </w:r>
                </w:p>
              </w:tc>
              <w:tc>
                <w:tcPr>
                  <w:tcW w:w="1181" w:type="dxa"/>
                  <w:tcBorders>
                    <w:tl2br w:val="nil"/>
                    <w:tr2bl w:val="nil"/>
                  </w:tcBorders>
                  <w:shd w:val="clear" w:color="auto" w:fill="auto"/>
                  <w:noWrap w:val="0"/>
                  <w:vAlign w:val="center"/>
                </w:tcPr>
                <w:p>
                  <w:pPr>
                    <w:ind w:right="19" w:rightChars="9"/>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39.6</w:t>
                  </w:r>
                </w:p>
              </w:tc>
              <w:tc>
                <w:tcPr>
                  <w:tcW w:w="112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55</w:t>
                  </w:r>
                </w:p>
              </w:tc>
              <w:tc>
                <w:tcPr>
                  <w:tcW w:w="112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45</w:t>
                  </w:r>
                </w:p>
              </w:tc>
              <w:tc>
                <w:tcPr>
                  <w:tcW w:w="1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30" w:type="dxa"/>
                  <w:tcBorders>
                    <w:tl2br w:val="nil"/>
                    <w:tr2bl w:val="nil"/>
                  </w:tcBorders>
                  <w:shd w:val="clear" w:color="auto" w:fill="auto"/>
                  <w:noWrap w:val="0"/>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N7</w:t>
                  </w:r>
                </w:p>
              </w:tc>
              <w:tc>
                <w:tcPr>
                  <w:tcW w:w="1398" w:type="dxa"/>
                  <w:tcBorders>
                    <w:tl2br w:val="nil"/>
                    <w:tr2bl w:val="nil"/>
                  </w:tcBorders>
                  <w:shd w:val="clear" w:color="auto" w:fill="auto"/>
                  <w:noWrap w:val="0"/>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南侧居民（</w:t>
                  </w:r>
                  <w:r>
                    <w:rPr>
                      <w:rFonts w:hint="eastAsia"/>
                      <w:bCs/>
                      <w:color w:val="FF0000"/>
                      <w:sz w:val="20"/>
                      <w:szCs w:val="20"/>
                      <w:lang w:val="en-US" w:eastAsia="zh-CN"/>
                    </w:rPr>
                    <w:t>马桥村十九组</w:t>
                  </w:r>
                  <w:r>
                    <w:rPr>
                      <w:rFonts w:hint="eastAsia"/>
                      <w:sz w:val="20"/>
                      <w:szCs w:val="20"/>
                      <w:lang w:val="en-US" w:eastAsia="zh-CN"/>
                    </w:rPr>
                    <w:t>）</w:t>
                  </w:r>
                </w:p>
              </w:tc>
              <w:tc>
                <w:tcPr>
                  <w:tcW w:w="1283" w:type="dxa"/>
                  <w:tcBorders>
                    <w:tl2br w:val="nil"/>
                    <w:tr2bl w:val="nil"/>
                  </w:tcBorders>
                  <w:shd w:val="clear" w:color="auto" w:fill="auto"/>
                  <w:noWrap w:val="0"/>
                  <w:vAlign w:val="center"/>
                </w:tcPr>
                <w:p>
                  <w:pPr>
                    <w:ind w:right="19" w:rightChars="9"/>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53.1</w:t>
                  </w:r>
                </w:p>
              </w:tc>
              <w:tc>
                <w:tcPr>
                  <w:tcW w:w="1181" w:type="dxa"/>
                  <w:tcBorders>
                    <w:tl2br w:val="nil"/>
                    <w:tr2bl w:val="nil"/>
                  </w:tcBorders>
                  <w:shd w:val="clear" w:color="auto" w:fill="auto"/>
                  <w:noWrap w:val="0"/>
                  <w:vAlign w:val="center"/>
                </w:tcPr>
                <w:p>
                  <w:pPr>
                    <w:ind w:right="19" w:rightChars="9"/>
                    <w:jc w:val="center"/>
                    <w:rPr>
                      <w:rFonts w:hint="eastAsia"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40.8</w:t>
                  </w:r>
                </w:p>
              </w:tc>
              <w:tc>
                <w:tcPr>
                  <w:tcW w:w="1125"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70</w:t>
                  </w:r>
                </w:p>
              </w:tc>
              <w:tc>
                <w:tcPr>
                  <w:tcW w:w="1126" w:type="dxa"/>
                  <w:tcBorders>
                    <w:tl2br w:val="nil"/>
                    <w:tr2bl w:val="nil"/>
                  </w:tcBorders>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0"/>
                      <w:szCs w:val="20"/>
                      <w:lang w:val="en-US" w:eastAsia="zh-CN" w:bidi="ar-SA"/>
                    </w:rPr>
                  </w:pPr>
                  <w:r>
                    <w:rPr>
                      <w:rFonts w:hint="eastAsia" w:cs="Times New Roman"/>
                      <w:color w:val="auto"/>
                      <w:sz w:val="20"/>
                      <w:szCs w:val="20"/>
                      <w:lang w:val="en-US" w:eastAsia="zh-CN"/>
                    </w:rPr>
                    <w:t>55</w:t>
                  </w:r>
                </w:p>
              </w:tc>
              <w:tc>
                <w:tcPr>
                  <w:tcW w:w="148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z w:val="20"/>
                      <w:szCs w:val="20"/>
                      <w:lang w:eastAsia="zh-CN"/>
                    </w:rPr>
                    <w:t>达标</w:t>
                  </w:r>
                </w:p>
              </w:tc>
            </w:tr>
          </w:tbl>
          <w:p>
            <w:pPr>
              <w:spacing w:line="360" w:lineRule="auto"/>
              <w:ind w:firstLine="487" w:firstLineChars="232"/>
              <w:rPr>
                <w:rFonts w:hint="eastAsia" w:ascii="Times New Roman" w:hAnsi="Times New Roman" w:eastAsia="宋体" w:cs="Times New Roman"/>
                <w:color w:val="FF0000"/>
                <w:sz w:val="21"/>
                <w:szCs w:val="21"/>
                <w:lang w:val="en-US" w:eastAsia="zh-CN"/>
              </w:rPr>
            </w:pPr>
            <w:r>
              <w:rPr>
                <w:rFonts w:hint="eastAsia" w:cs="Times New Roman"/>
                <w:color w:val="FF0000"/>
                <w:sz w:val="21"/>
                <w:szCs w:val="21"/>
                <w:lang w:val="en-US" w:eastAsia="zh-CN"/>
              </w:rPr>
              <w:t>监测结果表明：华胜东</w:t>
            </w:r>
            <w:r>
              <w:rPr>
                <w:rFonts w:hint="eastAsia" w:ascii="Times New Roman" w:hAnsi="Times New Roman" w:eastAsia="宋体" w:cs="Times New Roman"/>
                <w:color w:val="FF0000"/>
                <w:sz w:val="21"/>
                <w:szCs w:val="21"/>
                <w:lang w:val="en-US" w:eastAsia="zh-CN"/>
              </w:rPr>
              <w:t>、</w:t>
            </w:r>
            <w:r>
              <w:rPr>
                <w:rFonts w:hint="eastAsia" w:cs="Times New Roman"/>
                <w:color w:val="FF0000"/>
                <w:sz w:val="21"/>
                <w:szCs w:val="21"/>
                <w:lang w:val="en-US" w:eastAsia="zh-CN"/>
              </w:rPr>
              <w:t>西</w:t>
            </w:r>
            <w:r>
              <w:rPr>
                <w:rFonts w:hint="eastAsia" w:ascii="Times New Roman" w:hAnsi="Times New Roman" w:eastAsia="宋体" w:cs="Times New Roman"/>
                <w:color w:val="FF0000"/>
                <w:sz w:val="21"/>
                <w:szCs w:val="21"/>
                <w:lang w:val="en-US" w:eastAsia="zh-CN"/>
              </w:rPr>
              <w:t>、北厂界执行《声环境质量标准》(GB3096-2008)中2类标准，</w:t>
            </w:r>
            <w:r>
              <w:rPr>
                <w:rFonts w:hint="eastAsia" w:cs="Times New Roman"/>
                <w:color w:val="FF0000"/>
                <w:sz w:val="21"/>
                <w:szCs w:val="21"/>
                <w:lang w:val="en-US" w:eastAsia="zh-CN"/>
              </w:rPr>
              <w:t>南</w:t>
            </w:r>
            <w:r>
              <w:rPr>
                <w:rFonts w:hint="eastAsia" w:ascii="Times New Roman" w:hAnsi="Times New Roman" w:eastAsia="宋体" w:cs="Times New Roman"/>
                <w:color w:val="FF0000"/>
                <w:sz w:val="21"/>
                <w:szCs w:val="21"/>
                <w:lang w:val="en-US" w:eastAsia="zh-CN"/>
              </w:rPr>
              <w:t>厂界执行4a类标准</w:t>
            </w:r>
            <w:r>
              <w:rPr>
                <w:rFonts w:hint="eastAsia" w:cs="Times New Roman"/>
                <w:color w:val="FF0000"/>
                <w:sz w:val="21"/>
                <w:szCs w:val="21"/>
                <w:lang w:val="en-US" w:eastAsia="zh-CN"/>
              </w:rPr>
              <w:t>；西侧九华镇卫生院敏感点执行1</w:t>
            </w:r>
            <w:r>
              <w:rPr>
                <w:rFonts w:hint="eastAsia" w:ascii="Times New Roman" w:hAnsi="Times New Roman" w:eastAsia="宋体" w:cs="Times New Roman"/>
                <w:color w:val="FF0000"/>
                <w:sz w:val="21"/>
                <w:szCs w:val="21"/>
                <w:lang w:val="en-US" w:eastAsia="zh-CN"/>
              </w:rPr>
              <w:t>类标准</w:t>
            </w:r>
            <w:r>
              <w:rPr>
                <w:rFonts w:hint="eastAsia" w:cs="Times New Roman"/>
                <w:color w:val="FF0000"/>
                <w:sz w:val="21"/>
                <w:szCs w:val="21"/>
                <w:lang w:val="en-US" w:eastAsia="zh-CN"/>
              </w:rPr>
              <w:t>；南侧居民敏</w:t>
            </w:r>
            <w:r>
              <w:rPr>
                <w:rFonts w:hint="eastAsia" w:ascii="Times New Roman" w:hAnsi="Times New Roman" w:eastAsia="宋体" w:cs="Times New Roman"/>
                <w:color w:val="FF0000"/>
                <w:sz w:val="21"/>
                <w:szCs w:val="21"/>
                <w:lang w:val="en-US" w:eastAsia="zh-CN"/>
              </w:rPr>
              <w:t>感点（马桥村十九组）执行4a类标准。</w:t>
            </w:r>
          </w:p>
          <w:p>
            <w:pPr>
              <w:spacing w:line="360" w:lineRule="auto"/>
              <w:ind w:firstLine="489" w:firstLineChars="232"/>
              <w:rPr>
                <w:rFonts w:hint="eastAsia"/>
                <w:b/>
                <w:color w:val="auto"/>
                <w:sz w:val="21"/>
                <w:szCs w:val="21"/>
              </w:rPr>
            </w:pPr>
            <w:r>
              <w:rPr>
                <w:rFonts w:hint="eastAsia"/>
                <w:b/>
                <w:color w:val="auto"/>
                <w:sz w:val="21"/>
                <w:szCs w:val="21"/>
              </w:rPr>
              <w:t>4、生态环境质量现状</w:t>
            </w:r>
          </w:p>
          <w:p>
            <w:pPr>
              <w:adjustRightInd w:val="0"/>
              <w:snapToGrid w:val="0"/>
              <w:spacing w:line="360" w:lineRule="auto"/>
              <w:ind w:firstLine="420" w:firstLineChars="200"/>
              <w:jc w:val="left"/>
              <w:rPr>
                <w:rFonts w:hint="eastAsia" w:ascii="宋体" w:hAnsi="宋体" w:cs="宋体"/>
                <w:color w:val="auto"/>
                <w:kern w:val="0"/>
                <w:sz w:val="21"/>
                <w:szCs w:val="21"/>
              </w:rPr>
            </w:pPr>
            <w:r>
              <w:rPr>
                <w:rFonts w:hint="eastAsia" w:ascii="宋体" w:hAnsi="宋体" w:cs="宋体"/>
                <w:color w:val="auto"/>
                <w:kern w:val="0"/>
                <w:sz w:val="21"/>
                <w:szCs w:val="21"/>
              </w:rPr>
              <w:t>本项目占地范围内不含有生态环境保护目标，因此不开展生态环境现状调查。</w:t>
            </w:r>
          </w:p>
          <w:p>
            <w:pPr>
              <w:spacing w:line="360" w:lineRule="auto"/>
              <w:ind w:firstLine="489" w:firstLineChars="232"/>
              <w:rPr>
                <w:rFonts w:hint="eastAsia"/>
                <w:b/>
                <w:color w:val="auto"/>
                <w:sz w:val="21"/>
                <w:szCs w:val="21"/>
              </w:rPr>
            </w:pPr>
            <w:r>
              <w:rPr>
                <w:rFonts w:hint="eastAsia"/>
                <w:b/>
                <w:color w:val="auto"/>
                <w:sz w:val="21"/>
                <w:szCs w:val="21"/>
              </w:rPr>
              <w:t>5、电磁辐射</w:t>
            </w:r>
          </w:p>
          <w:p>
            <w:pPr>
              <w:adjustRightInd w:val="0"/>
              <w:snapToGrid w:val="0"/>
              <w:spacing w:line="360" w:lineRule="auto"/>
              <w:ind w:firstLine="420" w:firstLineChars="200"/>
              <w:jc w:val="left"/>
              <w:rPr>
                <w:rFonts w:hint="eastAsia" w:ascii="宋体" w:hAnsi="宋体" w:cs="宋体"/>
                <w:color w:val="auto"/>
                <w:kern w:val="0"/>
                <w:sz w:val="21"/>
                <w:szCs w:val="21"/>
              </w:rPr>
            </w:pPr>
            <w:r>
              <w:rPr>
                <w:rFonts w:hint="eastAsia" w:ascii="宋体" w:hAnsi="宋体" w:cs="宋体"/>
                <w:color w:val="auto"/>
                <w:kern w:val="0"/>
                <w:sz w:val="21"/>
                <w:szCs w:val="21"/>
              </w:rPr>
              <w:t>本项目不属于广播电台、差转台、电视塔台、卫星地球上行站、雷达等电磁辐射类项目，因此不开展电磁辐射环境现状调查。</w:t>
            </w:r>
          </w:p>
          <w:p>
            <w:pPr>
              <w:spacing w:line="360" w:lineRule="auto"/>
              <w:ind w:firstLine="489" w:firstLineChars="232"/>
              <w:rPr>
                <w:rFonts w:hint="eastAsia"/>
                <w:b/>
                <w:color w:val="auto"/>
                <w:sz w:val="21"/>
                <w:szCs w:val="21"/>
              </w:rPr>
            </w:pPr>
            <w:r>
              <w:rPr>
                <w:rFonts w:hint="eastAsia"/>
                <w:b/>
                <w:color w:val="auto"/>
                <w:sz w:val="21"/>
                <w:szCs w:val="21"/>
              </w:rPr>
              <w:t>6、土壤、地下水环境质量</w:t>
            </w:r>
          </w:p>
          <w:p>
            <w:pPr>
              <w:adjustRightInd w:val="0"/>
              <w:snapToGrid w:val="0"/>
              <w:spacing w:line="360" w:lineRule="auto"/>
              <w:ind w:firstLine="420" w:firstLineChars="200"/>
              <w:jc w:val="left"/>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本项目厂界外500m范围内不涉及地下水集中式饮用水水源和热水、矿泉水、温泉等特殊地下水资源等地下水环境敏感目标。不开展地下水环境现状调查。</w:t>
            </w:r>
          </w:p>
          <w:p>
            <w:pPr>
              <w:adjustRightInd w:val="0"/>
              <w:snapToGrid w:val="0"/>
              <w:spacing w:line="360" w:lineRule="auto"/>
              <w:ind w:firstLine="420" w:firstLineChars="200"/>
              <w:jc w:val="left"/>
              <w:rPr>
                <w:rFonts w:ascii="Times New Roman Regular" w:hAnsi="Times New Roman Regular" w:cs="Times New Roman Regular"/>
                <w:color w:val="auto"/>
                <w:sz w:val="24"/>
                <w:lang w:eastAsia="zh-Hans"/>
              </w:rPr>
            </w:pPr>
            <w:r>
              <w:rPr>
                <w:rFonts w:hint="default" w:ascii="Times New Roman" w:hAnsi="Times New Roman" w:cs="Times New Roman"/>
                <w:color w:val="auto"/>
                <w:kern w:val="0"/>
                <w:sz w:val="21"/>
                <w:szCs w:val="21"/>
              </w:rPr>
              <w:t>本项目针对潜在的土壤污染源和污染途径采取了有效防渗措施，措施落实后不存在土壤环境污染途径，不开展土壤环境现状调查。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4" w:hRule="atLeast"/>
          <w:jc w:val="center"/>
        </w:trPr>
        <w:tc>
          <w:tcPr>
            <w:tcW w:w="441" w:type="dxa"/>
            <w:tcBorders>
              <w:tl2br w:val="nil"/>
              <w:tr2bl w:val="nil"/>
            </w:tcBorders>
            <w:noWrap w:val="0"/>
            <w:vAlign w:val="center"/>
          </w:tcPr>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区域</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环境</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质量</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现状</w:t>
            </w:r>
          </w:p>
        </w:tc>
        <w:tc>
          <w:tcPr>
            <w:tcW w:w="8846" w:type="dxa"/>
            <w:vMerge w:val="continue"/>
            <w:tcBorders>
              <w:tl2br w:val="nil"/>
              <w:tr2bl w:val="nil"/>
            </w:tcBorders>
            <w:noWrap w:val="0"/>
            <w:vAlign w:val="top"/>
          </w:tcPr>
          <w:p>
            <w:pPr>
              <w:adjustRightInd w:val="0"/>
              <w:snapToGrid w:val="0"/>
              <w:jc w:val="center"/>
              <w:rPr>
                <w:rFonts w:hint="eastAsia" w:ascii="宋体" w:hAnsi="宋体" w:cs="宋体"/>
                <w:b/>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9" w:hRule="atLeast"/>
          <w:jc w:val="center"/>
        </w:trPr>
        <w:tc>
          <w:tcPr>
            <w:tcW w:w="441" w:type="dxa"/>
            <w:tcBorders>
              <w:tl2br w:val="nil"/>
              <w:tr2bl w:val="nil"/>
            </w:tcBorders>
            <w:noWrap w:val="0"/>
            <w:vAlign w:val="center"/>
          </w:tcPr>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环境</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保护</w:t>
            </w:r>
          </w:p>
          <w:p>
            <w:pPr>
              <w:adjustRightInd w:val="0"/>
              <w:snapToGrid w:val="0"/>
              <w:jc w:val="center"/>
              <w:rPr>
                <w:rFonts w:hint="eastAsia" w:ascii="宋体" w:hAnsi="宋体" w:cs="宋体"/>
                <w:color w:val="auto"/>
                <w:kern w:val="0"/>
                <w:szCs w:val="21"/>
              </w:rPr>
            </w:pPr>
            <w:r>
              <w:rPr>
                <w:rFonts w:hint="eastAsia" w:ascii="宋体" w:hAnsi="宋体" w:cs="宋体"/>
                <w:b/>
                <w:color w:val="auto"/>
                <w:kern w:val="0"/>
                <w:szCs w:val="21"/>
              </w:rPr>
              <w:t>目标</w:t>
            </w:r>
          </w:p>
        </w:tc>
        <w:tc>
          <w:tcPr>
            <w:tcW w:w="8846" w:type="dxa"/>
            <w:tcBorders>
              <w:tl2br w:val="nil"/>
              <w:tr2bl w:val="nil"/>
            </w:tcBorders>
            <w:noWrap w:val="0"/>
            <w:vAlign w:val="top"/>
          </w:tcPr>
          <w:p>
            <w:pPr>
              <w:spacing w:line="360" w:lineRule="auto"/>
              <w:ind w:firstLine="422" w:firstLineChars="200"/>
              <w:rPr>
                <w:rFonts w:hint="eastAsia"/>
                <w:b/>
                <w:color w:val="auto"/>
                <w:sz w:val="21"/>
                <w:szCs w:val="21"/>
              </w:rPr>
            </w:pPr>
            <w:r>
              <w:rPr>
                <w:rFonts w:hint="eastAsia"/>
                <w:b/>
                <w:color w:val="auto"/>
                <w:sz w:val="21"/>
                <w:szCs w:val="21"/>
              </w:rPr>
              <w:t>1、大气环境</w:t>
            </w:r>
          </w:p>
          <w:p>
            <w:pPr>
              <w:spacing w:line="360" w:lineRule="auto"/>
              <w:ind w:firstLine="420" w:firstLineChars="200"/>
              <w:rPr>
                <w:rFonts w:hint="eastAsia"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本项目大气专项报告预测大气环境评价工作等级为三级，根据《环境影响评价技术导则 大气环境》（HJ2.2-2018）评价范围确定，三级评价项目不需设置大气环境影响评价范围，本项目对照《建设项目环境影响报告编制技术指南》（污染影响类）（试行），大气环境明确厂界外500米范围内的自然保护区、风景名胜区、居住区、文化区和农村地区中人群较集中的区域等保护目标的名称及与建设项目厂界位置关系。</w:t>
            </w:r>
          </w:p>
          <w:p>
            <w:pPr>
              <w:adjustRightInd w:val="0"/>
              <w:snapToGrid w:val="0"/>
              <w:ind w:firstLine="482"/>
              <w:jc w:val="center"/>
              <w:rPr>
                <w:b/>
                <w:bCs/>
                <w:color w:val="FF0000"/>
                <w:kern w:val="0"/>
                <w:sz w:val="21"/>
                <w:szCs w:val="21"/>
              </w:rPr>
            </w:pPr>
            <w:r>
              <w:rPr>
                <w:b/>
                <w:bCs/>
                <w:color w:val="FF0000"/>
                <w:kern w:val="0"/>
                <w:sz w:val="21"/>
                <w:szCs w:val="21"/>
              </w:rPr>
              <w:t>表3-</w:t>
            </w:r>
            <w:r>
              <w:rPr>
                <w:rFonts w:hint="eastAsia"/>
                <w:b/>
                <w:bCs/>
                <w:color w:val="FF0000"/>
                <w:kern w:val="0"/>
                <w:sz w:val="21"/>
                <w:szCs w:val="21"/>
                <w:lang w:val="en-US" w:eastAsia="zh-CN"/>
              </w:rPr>
              <w:t xml:space="preserve">2 </w:t>
            </w:r>
            <w:r>
              <w:rPr>
                <w:b/>
                <w:bCs/>
                <w:color w:val="FF0000"/>
                <w:kern w:val="0"/>
                <w:sz w:val="21"/>
                <w:szCs w:val="21"/>
              </w:rPr>
              <w:t xml:space="preserve">  环境空气主要环境保护目标</w:t>
            </w:r>
          </w:p>
          <w:tbl>
            <w:tblPr>
              <w:tblStyle w:val="9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291"/>
              <w:gridCol w:w="1384"/>
              <w:gridCol w:w="962"/>
              <w:gridCol w:w="890"/>
              <w:gridCol w:w="908"/>
              <w:gridCol w:w="1109"/>
              <w:gridCol w:w="10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vMerge w:val="restart"/>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r>
                    <w:rPr>
                      <w:rFonts w:ascii="Times New Roman" w:eastAsia="宋体" w:cs="Times New Roman"/>
                      <w:color w:val="FF0000"/>
                      <w:sz w:val="20"/>
                      <w:szCs w:val="20"/>
                    </w:rPr>
                    <w:t>名称</w:t>
                  </w:r>
                </w:p>
              </w:tc>
              <w:tc>
                <w:tcPr>
                  <w:tcW w:w="2609" w:type="dxa"/>
                  <w:gridSpan w:val="2"/>
                  <w:tcBorders>
                    <w:bottom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r>
                    <w:rPr>
                      <w:rFonts w:ascii="Times New Roman" w:eastAsia="宋体" w:cs="Times New Roman"/>
                      <w:color w:val="FF0000"/>
                      <w:sz w:val="20"/>
                      <w:szCs w:val="20"/>
                    </w:rPr>
                    <w:t>坐标/</w:t>
                  </w:r>
                  <w:r>
                    <w:rPr>
                      <w:rFonts w:hint="eastAsia" w:ascii="Times New Roman" w:eastAsia="宋体" w:cs="Times New Roman"/>
                      <w:color w:val="FF0000"/>
                      <w:sz w:val="20"/>
                      <w:szCs w:val="20"/>
                    </w:rPr>
                    <w:t>度</w:t>
                  </w:r>
                </w:p>
              </w:tc>
              <w:tc>
                <w:tcPr>
                  <w:tcW w:w="938" w:type="dxa"/>
                  <w:vMerge w:val="restart"/>
                  <w:tcBorders>
                    <w:bottom w:val="nil"/>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r>
                    <w:rPr>
                      <w:rFonts w:ascii="Times New Roman" w:eastAsia="宋体" w:cs="Times New Roman"/>
                      <w:color w:val="FF0000"/>
                      <w:sz w:val="20"/>
                      <w:szCs w:val="20"/>
                    </w:rPr>
                    <w:t>保护对象</w:t>
                  </w:r>
                </w:p>
              </w:tc>
              <w:tc>
                <w:tcPr>
                  <w:tcW w:w="868" w:type="dxa"/>
                  <w:vMerge w:val="restart"/>
                  <w:tcBorders>
                    <w:bottom w:val="nil"/>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r>
                    <w:rPr>
                      <w:rFonts w:ascii="Times New Roman" w:eastAsia="宋体" w:cs="Times New Roman"/>
                      <w:color w:val="FF0000"/>
                      <w:kern w:val="0"/>
                      <w:sz w:val="20"/>
                      <w:szCs w:val="20"/>
                      <w:lang w:bidi="ar"/>
                    </w:rPr>
                    <w:t>环境功能区</w:t>
                  </w:r>
                </w:p>
              </w:tc>
              <w:tc>
                <w:tcPr>
                  <w:tcW w:w="885" w:type="dxa"/>
                  <w:vMerge w:val="restart"/>
                  <w:tcBorders>
                    <w:bottom w:val="nil"/>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r>
                    <w:rPr>
                      <w:rFonts w:ascii="Times New Roman" w:eastAsia="宋体" w:cs="Times New Roman"/>
                      <w:color w:val="FF0000"/>
                      <w:kern w:val="0"/>
                      <w:sz w:val="20"/>
                      <w:szCs w:val="20"/>
                      <w:lang w:bidi="ar"/>
                    </w:rPr>
                    <w:t>相对厂址方位</w:t>
                  </w:r>
                </w:p>
              </w:tc>
              <w:tc>
                <w:tcPr>
                  <w:tcW w:w="1081" w:type="dxa"/>
                  <w:vMerge w:val="restart"/>
                  <w:tcBorders>
                    <w:bottom w:val="nil"/>
                  </w:tcBorders>
                  <w:noWrap w:val="0"/>
                  <w:vAlign w:val="center"/>
                </w:tcPr>
                <w:p>
                  <w:pPr>
                    <w:keepNext w:val="0"/>
                    <w:keepLines w:val="0"/>
                    <w:pageBreakBefore w:val="0"/>
                    <w:widowControl/>
                    <w:kinsoku/>
                    <w:wordWrap/>
                    <w:overflowPunct/>
                    <w:topLinePunct w:val="0"/>
                    <w:bidi w:val="0"/>
                    <w:adjustRightInd w:val="0"/>
                    <w:snapToGrid w:val="0"/>
                    <w:ind w:firstLine="0" w:firstLineChars="0"/>
                    <w:jc w:val="center"/>
                    <w:textAlignment w:val="auto"/>
                    <w:rPr>
                      <w:rFonts w:hint="default" w:eastAsia="宋体"/>
                      <w:b/>
                      <w:color w:val="FF0000"/>
                      <w:sz w:val="20"/>
                      <w:szCs w:val="20"/>
                      <w:lang w:val="en-US" w:eastAsia="zh-CN"/>
                    </w:rPr>
                  </w:pPr>
                  <w:r>
                    <w:rPr>
                      <w:b/>
                      <w:color w:val="FF0000"/>
                      <w:kern w:val="0"/>
                      <w:sz w:val="20"/>
                      <w:szCs w:val="20"/>
                      <w:lang w:bidi="ar"/>
                    </w:rPr>
                    <w:t>相对厂界距离（m）</w:t>
                  </w:r>
                  <w:r>
                    <w:rPr>
                      <w:rFonts w:hint="eastAsia"/>
                      <w:b/>
                      <w:color w:val="FF0000"/>
                      <w:kern w:val="0"/>
                      <w:sz w:val="20"/>
                      <w:szCs w:val="20"/>
                      <w:vertAlign w:val="superscript"/>
                      <w:lang w:val="en-US" w:eastAsia="zh-CN" w:bidi="ar"/>
                    </w:rPr>
                    <w:t>[1]</w:t>
                  </w:r>
                </w:p>
              </w:tc>
              <w:tc>
                <w:tcPr>
                  <w:tcW w:w="1034" w:type="dxa"/>
                  <w:vMerge w:val="restart"/>
                  <w:tcBorders>
                    <w:bottom w:val="nil"/>
                  </w:tcBorders>
                  <w:noWrap w:val="0"/>
                  <w:vAlign w:val="center"/>
                </w:tcPr>
                <w:p>
                  <w:pPr>
                    <w:keepNext w:val="0"/>
                    <w:keepLines w:val="0"/>
                    <w:pageBreakBefore w:val="0"/>
                    <w:kinsoku/>
                    <w:wordWrap/>
                    <w:overflowPunct/>
                    <w:topLinePunct w:val="0"/>
                    <w:bidi w:val="0"/>
                    <w:snapToGrid w:val="0"/>
                    <w:ind w:firstLine="0" w:firstLineChars="0"/>
                    <w:jc w:val="center"/>
                    <w:textAlignment w:val="auto"/>
                    <w:rPr>
                      <w:b/>
                      <w:bCs/>
                      <w:snapToGrid w:val="0"/>
                      <w:color w:val="FF0000"/>
                      <w:sz w:val="20"/>
                      <w:szCs w:val="20"/>
                    </w:rPr>
                  </w:pPr>
                  <w:r>
                    <w:rPr>
                      <w:b/>
                      <w:bCs/>
                      <w:snapToGrid w:val="0"/>
                      <w:color w:val="FF0000"/>
                      <w:sz w:val="20"/>
                      <w:szCs w:val="20"/>
                    </w:rPr>
                    <w:t>规模</w:t>
                  </w:r>
                </w:p>
                <w:p>
                  <w:pPr>
                    <w:keepNext w:val="0"/>
                    <w:keepLines w:val="0"/>
                    <w:pageBreakBefore w:val="0"/>
                    <w:widowControl/>
                    <w:kinsoku/>
                    <w:wordWrap/>
                    <w:overflowPunct/>
                    <w:topLinePunct w:val="0"/>
                    <w:bidi w:val="0"/>
                    <w:adjustRightInd w:val="0"/>
                    <w:snapToGrid w:val="0"/>
                    <w:ind w:firstLine="0" w:firstLineChars="0"/>
                    <w:jc w:val="center"/>
                    <w:textAlignment w:val="auto"/>
                    <w:rPr>
                      <w:b/>
                      <w:color w:val="FF0000"/>
                      <w:kern w:val="0"/>
                      <w:sz w:val="20"/>
                      <w:szCs w:val="20"/>
                      <w:lang w:bidi="ar"/>
                    </w:rPr>
                  </w:pPr>
                  <w:r>
                    <w:rPr>
                      <w:b/>
                      <w:bCs/>
                      <w:snapToGrid w:val="0"/>
                      <w:color w:val="FF0000"/>
                      <w:sz w:val="20"/>
                      <w:szCs w:val="20"/>
                    </w:rPr>
                    <w:t>（</w:t>
                  </w:r>
                  <w:r>
                    <w:rPr>
                      <w:rFonts w:hint="eastAsia"/>
                      <w:b/>
                      <w:bCs/>
                      <w:snapToGrid w:val="0"/>
                      <w:color w:val="FF0000"/>
                      <w:sz w:val="20"/>
                      <w:szCs w:val="20"/>
                      <w:lang w:val="en-US" w:eastAsia="zh-CN"/>
                    </w:rPr>
                    <w:t>小区总</w:t>
                  </w:r>
                  <w:r>
                    <w:rPr>
                      <w:b/>
                      <w:bCs/>
                      <w:snapToGrid w:val="0"/>
                      <w:color w:val="FF0000"/>
                      <w:sz w:val="20"/>
                      <w:szCs w:val="20"/>
                    </w:rPr>
                    <w:t>人数）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vMerge w:val="continue"/>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p>
              </w:tc>
              <w:tc>
                <w:tcPr>
                  <w:tcW w:w="1259" w:type="dxa"/>
                  <w:tcBorders>
                    <w:top w:val="single" w:color="auto" w:sz="4" w:space="0"/>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r>
                    <w:rPr>
                      <w:rFonts w:ascii="Times New Roman" w:eastAsia="宋体" w:cs="Times New Roman"/>
                      <w:color w:val="FF0000"/>
                      <w:sz w:val="20"/>
                      <w:szCs w:val="20"/>
                    </w:rPr>
                    <w:t>经度</w:t>
                  </w:r>
                </w:p>
              </w:tc>
              <w:tc>
                <w:tcPr>
                  <w:tcW w:w="1350" w:type="dxa"/>
                  <w:tcBorders>
                    <w:top w:val="single" w:color="auto" w:sz="4" w:space="0"/>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r>
                    <w:rPr>
                      <w:rFonts w:ascii="Times New Roman" w:eastAsia="宋体" w:cs="Times New Roman"/>
                      <w:color w:val="FF0000"/>
                      <w:sz w:val="20"/>
                      <w:szCs w:val="20"/>
                    </w:rPr>
                    <w:t>纬度</w:t>
                  </w:r>
                </w:p>
              </w:tc>
              <w:tc>
                <w:tcPr>
                  <w:tcW w:w="938" w:type="dxa"/>
                  <w:vMerge w:val="continue"/>
                  <w:tcBorders>
                    <w:top w:val="nil"/>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p>
              </w:tc>
              <w:tc>
                <w:tcPr>
                  <w:tcW w:w="868" w:type="dxa"/>
                  <w:vMerge w:val="continue"/>
                  <w:tcBorders>
                    <w:top w:val="nil"/>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p>
              </w:tc>
              <w:tc>
                <w:tcPr>
                  <w:tcW w:w="885" w:type="dxa"/>
                  <w:vMerge w:val="continue"/>
                  <w:tcBorders>
                    <w:top w:val="nil"/>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p>
              </w:tc>
              <w:tc>
                <w:tcPr>
                  <w:tcW w:w="1081" w:type="dxa"/>
                  <w:vMerge w:val="continue"/>
                  <w:tcBorders>
                    <w:top w:val="nil"/>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p>
              </w:tc>
              <w:tc>
                <w:tcPr>
                  <w:tcW w:w="1034" w:type="dxa"/>
                  <w:vMerge w:val="continue"/>
                  <w:tcBorders>
                    <w:top w:val="nil"/>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color w:val="FF000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tcBorders>
                    <w:top w:val="single" w:color="auto" w:sz="12" w:space="0"/>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0"/>
                      <w:szCs w:val="20"/>
                      <w:lang w:val="en-US" w:eastAsia="zh-CN"/>
                    </w:rPr>
                  </w:pPr>
                  <w:r>
                    <w:rPr>
                      <w:rFonts w:hint="eastAsia"/>
                      <w:bCs/>
                      <w:color w:val="FF0000"/>
                      <w:sz w:val="20"/>
                      <w:szCs w:val="20"/>
                      <w:lang w:val="en-US" w:eastAsia="zh-CN"/>
                    </w:rPr>
                    <w:t>九华镇卫生院</w:t>
                  </w:r>
                </w:p>
              </w:tc>
              <w:tc>
                <w:tcPr>
                  <w:tcW w:w="1259" w:type="dxa"/>
                  <w:tcBorders>
                    <w:top w:val="single" w:color="auto" w:sz="12" w:space="0"/>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FF0000"/>
                      <w:sz w:val="20"/>
                      <w:szCs w:val="20"/>
                      <w:lang w:val="en-US" w:eastAsia="zh-CN"/>
                    </w:rPr>
                  </w:pPr>
                  <w:r>
                    <w:rPr>
                      <w:rFonts w:hint="default" w:ascii="Times New Roman" w:hAnsi="Times New Roman" w:eastAsia="宋体" w:cs="Times New Roman"/>
                      <w:bCs/>
                      <w:color w:val="FF0000"/>
                      <w:sz w:val="20"/>
                      <w:szCs w:val="20"/>
                      <w:lang w:val="en-US" w:eastAsia="zh-CN"/>
                    </w:rPr>
                    <w:t>120°64′79.60</w:t>
                  </w:r>
                </w:p>
              </w:tc>
              <w:tc>
                <w:tcPr>
                  <w:tcW w:w="1350" w:type="dxa"/>
                  <w:tcBorders>
                    <w:top w:val="single" w:color="auto" w:sz="12" w:space="0"/>
                  </w:tcBorders>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ascii="Times New Roman" w:hAnsi="Times New Roman" w:eastAsia="宋体" w:cs="Times New Roman"/>
                      <w:bCs/>
                      <w:color w:val="FF0000"/>
                      <w:sz w:val="20"/>
                      <w:szCs w:val="20"/>
                      <w:lang w:val="en-US" w:eastAsia="zh-CN"/>
                    </w:rPr>
                  </w:pPr>
                  <w:r>
                    <w:rPr>
                      <w:rFonts w:hint="eastAsia" w:ascii="Times New Roman" w:hAnsi="Times New Roman" w:eastAsia="宋体" w:cs="Times New Roman"/>
                      <w:bCs/>
                      <w:color w:val="FF0000"/>
                      <w:sz w:val="20"/>
                      <w:szCs w:val="20"/>
                      <w:lang w:val="en-US" w:eastAsia="zh-CN"/>
                    </w:rPr>
                    <w:t>32</w:t>
                  </w:r>
                  <w:r>
                    <w:rPr>
                      <w:rFonts w:hint="default" w:ascii="Times New Roman" w:hAnsi="Times New Roman" w:eastAsia="宋体" w:cs="Times New Roman"/>
                      <w:bCs/>
                      <w:color w:val="FF0000"/>
                      <w:sz w:val="20"/>
                      <w:szCs w:val="20"/>
                      <w:lang w:val="en-US" w:eastAsia="zh-CN"/>
                    </w:rPr>
                    <w:t>°</w:t>
                  </w:r>
                  <w:r>
                    <w:rPr>
                      <w:rFonts w:hint="eastAsia" w:ascii="Times New Roman" w:hAnsi="Times New Roman" w:eastAsia="宋体" w:cs="Times New Roman"/>
                      <w:bCs/>
                      <w:color w:val="FF0000"/>
                      <w:sz w:val="20"/>
                      <w:szCs w:val="20"/>
                      <w:lang w:val="en-US" w:eastAsia="zh-CN"/>
                    </w:rPr>
                    <w:t>13</w:t>
                  </w:r>
                  <w:r>
                    <w:rPr>
                      <w:rFonts w:hint="default" w:ascii="Times New Roman" w:hAnsi="Times New Roman" w:eastAsia="宋体" w:cs="Times New Roman"/>
                      <w:bCs/>
                      <w:color w:val="FF0000"/>
                      <w:sz w:val="20"/>
                      <w:szCs w:val="20"/>
                      <w:lang w:val="en-US" w:eastAsia="zh-CN"/>
                    </w:rPr>
                    <w:t>′</w:t>
                  </w:r>
                  <w:r>
                    <w:rPr>
                      <w:rFonts w:hint="eastAsia" w:ascii="Times New Roman" w:hAnsi="Times New Roman" w:eastAsia="宋体" w:cs="Times New Roman"/>
                      <w:bCs/>
                      <w:color w:val="FF0000"/>
                      <w:sz w:val="20"/>
                      <w:szCs w:val="20"/>
                      <w:lang w:val="en-US" w:eastAsia="zh-CN"/>
                    </w:rPr>
                    <w:t>82.27</w:t>
                  </w:r>
                  <w:r>
                    <w:rPr>
                      <w:rFonts w:hint="default" w:ascii="Times New Roman" w:hAnsi="Times New Roman" w:eastAsia="宋体" w:cs="Times New Roman"/>
                      <w:bCs/>
                      <w:color w:val="FF0000"/>
                      <w:sz w:val="20"/>
                      <w:szCs w:val="20"/>
                      <w:lang w:val="en-US" w:eastAsia="zh-CN"/>
                    </w:rPr>
                    <w:t>″</w:t>
                  </w:r>
                </w:p>
              </w:tc>
              <w:tc>
                <w:tcPr>
                  <w:tcW w:w="938" w:type="dxa"/>
                  <w:tcBorders>
                    <w:top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lang w:eastAsia="zh-CN"/>
                    </w:rPr>
                  </w:pPr>
                  <w:r>
                    <w:rPr>
                      <w:rFonts w:hint="eastAsia" w:ascii="Times New Roman" w:eastAsia="宋体" w:cs="Times New Roman"/>
                      <w:b w:val="0"/>
                      <w:bCs/>
                      <w:color w:val="FF0000"/>
                      <w:sz w:val="20"/>
                      <w:szCs w:val="20"/>
                      <w:lang w:val="en-US" w:eastAsia="zh-CN"/>
                    </w:rPr>
                    <w:t>医院</w:t>
                  </w:r>
                </w:p>
              </w:tc>
              <w:tc>
                <w:tcPr>
                  <w:tcW w:w="868" w:type="dxa"/>
                  <w:tcBorders>
                    <w:top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tcBorders>
                    <w:top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W</w:t>
                  </w:r>
                </w:p>
              </w:tc>
              <w:tc>
                <w:tcPr>
                  <w:tcW w:w="1081" w:type="dxa"/>
                  <w:tcBorders>
                    <w:top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112</w:t>
                  </w:r>
                </w:p>
              </w:tc>
              <w:tc>
                <w:tcPr>
                  <w:tcW w:w="1034" w:type="dxa"/>
                  <w:tcBorders>
                    <w:top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0"/>
                      <w:szCs w:val="20"/>
                      <w:lang w:val="en-US" w:eastAsia="zh-CN"/>
                    </w:rPr>
                  </w:pPr>
                  <w:r>
                    <w:rPr>
                      <w:rFonts w:hint="eastAsia"/>
                      <w:bCs/>
                      <w:color w:val="FF0000"/>
                      <w:sz w:val="20"/>
                      <w:szCs w:val="20"/>
                      <w:lang w:val="en-US" w:eastAsia="zh-CN"/>
                    </w:rPr>
                    <w:t>马桥村十九组</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91.30</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120°64′7</w:t>
                  </w:r>
                  <w:r>
                    <w:rPr>
                      <w:rFonts w:hint="eastAsia" w:ascii="Times New Roman" w:hAnsi="Times New Roman" w:eastAsia="宋体" w:cs="Times New Roman"/>
                      <w:bCs/>
                      <w:color w:val="FF0000"/>
                      <w:sz w:val="20"/>
                      <w:szCs w:val="20"/>
                      <w:lang w:val="en-US" w:eastAsia="zh-CN"/>
                    </w:rPr>
                    <w:t>6.68</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居民区</w:t>
                  </w:r>
                </w:p>
              </w:tc>
              <w:tc>
                <w:tcPr>
                  <w:tcW w:w="86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S</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165</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0"/>
                      <w:szCs w:val="20"/>
                      <w:lang w:val="en-US" w:eastAsia="zh-CN"/>
                    </w:rPr>
                  </w:pPr>
                  <w:r>
                    <w:rPr>
                      <w:rFonts w:hint="eastAsia"/>
                      <w:bCs/>
                      <w:color w:val="FF0000"/>
                      <w:sz w:val="20"/>
                      <w:szCs w:val="20"/>
                      <w:lang w:val="en-US" w:eastAsia="zh-CN"/>
                    </w:rPr>
                    <w:t>马桥村十七组</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w:t>
                  </w:r>
                  <w:r>
                    <w:rPr>
                      <w:rFonts w:hint="eastAsia" w:ascii="Times New Roman" w:hAnsi="Times New Roman" w:eastAsia="宋体" w:cs="Times New Roman"/>
                      <w:bCs/>
                      <w:color w:val="FF0000"/>
                      <w:sz w:val="20"/>
                      <w:szCs w:val="20"/>
                      <w:lang w:val="en-US" w:eastAsia="zh-CN"/>
                    </w:rPr>
                    <w:t>5</w:t>
                  </w:r>
                  <w:r>
                    <w:rPr>
                      <w:rFonts w:hint="default" w:ascii="Times New Roman" w:hAnsi="Times New Roman" w:eastAsia="宋体" w:cs="Times New Roman"/>
                      <w:bCs/>
                      <w:color w:val="FF0000"/>
                      <w:sz w:val="20"/>
                      <w:szCs w:val="20"/>
                      <w:lang w:val="en-US" w:eastAsia="zh-CN"/>
                    </w:rPr>
                    <w:t>′</w:t>
                  </w:r>
                  <w:r>
                    <w:rPr>
                      <w:rFonts w:hint="eastAsia" w:ascii="Times New Roman" w:hAnsi="Times New Roman" w:eastAsia="宋体" w:cs="Times New Roman"/>
                      <w:bCs/>
                      <w:color w:val="FF0000"/>
                      <w:sz w:val="20"/>
                      <w:szCs w:val="20"/>
                      <w:lang w:val="en-US" w:eastAsia="zh-CN"/>
                    </w:rPr>
                    <w:t>01.97</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120°64′7</w:t>
                  </w:r>
                  <w:r>
                    <w:rPr>
                      <w:rFonts w:hint="eastAsia" w:ascii="Times New Roman" w:hAnsi="Times New Roman" w:eastAsia="宋体" w:cs="Times New Roman"/>
                      <w:bCs/>
                      <w:color w:val="FF0000"/>
                      <w:sz w:val="20"/>
                      <w:szCs w:val="20"/>
                      <w:lang w:val="en-US" w:eastAsia="zh-CN"/>
                    </w:rPr>
                    <w:t>2.14</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ascii="Times New Roman" w:eastAsia="宋体" w:cs="Times New Roman"/>
                      <w:b w:val="0"/>
                      <w:bCs/>
                      <w:color w:val="FF0000"/>
                      <w:sz w:val="20"/>
                      <w:szCs w:val="20"/>
                    </w:rPr>
                    <w:t>居民区</w:t>
                  </w:r>
                </w:p>
              </w:tc>
              <w:tc>
                <w:tcPr>
                  <w:tcW w:w="86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SE</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175</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0"/>
                      <w:szCs w:val="20"/>
                      <w:lang w:val="en-US" w:eastAsia="zh-CN"/>
                    </w:rPr>
                  </w:pPr>
                  <w:r>
                    <w:rPr>
                      <w:rFonts w:hint="eastAsia"/>
                      <w:bCs/>
                      <w:color w:val="FF0000"/>
                      <w:sz w:val="20"/>
                      <w:szCs w:val="20"/>
                      <w:lang w:val="en-US" w:eastAsia="zh-CN"/>
                    </w:rPr>
                    <w:t>如皋市海淘职业学校</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w:t>
                  </w:r>
                  <w:r>
                    <w:rPr>
                      <w:rFonts w:hint="eastAsia" w:ascii="Times New Roman" w:hAnsi="Times New Roman" w:eastAsia="宋体" w:cs="Times New Roman"/>
                      <w:bCs/>
                      <w:color w:val="FF0000"/>
                      <w:sz w:val="20"/>
                      <w:szCs w:val="20"/>
                      <w:lang w:val="en-US" w:eastAsia="zh-CN"/>
                    </w:rPr>
                    <w:t>5</w:t>
                  </w:r>
                  <w:r>
                    <w:rPr>
                      <w:rFonts w:hint="default" w:ascii="Times New Roman" w:hAnsi="Times New Roman" w:eastAsia="宋体" w:cs="Times New Roman"/>
                      <w:bCs/>
                      <w:color w:val="FF0000"/>
                      <w:sz w:val="20"/>
                      <w:szCs w:val="20"/>
                      <w:lang w:val="en-US" w:eastAsia="zh-CN"/>
                    </w:rPr>
                    <w:t>′</w:t>
                  </w:r>
                  <w:r>
                    <w:rPr>
                      <w:rFonts w:hint="eastAsia" w:ascii="Times New Roman" w:hAnsi="Times New Roman" w:eastAsia="宋体" w:cs="Times New Roman"/>
                      <w:bCs/>
                      <w:color w:val="FF0000"/>
                      <w:sz w:val="20"/>
                      <w:szCs w:val="20"/>
                      <w:lang w:val="en-US" w:eastAsia="zh-CN"/>
                    </w:rPr>
                    <w:t>23.16</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120°64′7</w:t>
                  </w:r>
                  <w:r>
                    <w:rPr>
                      <w:rFonts w:hint="eastAsia" w:ascii="Times New Roman" w:hAnsi="Times New Roman" w:eastAsia="宋体" w:cs="Times New Roman"/>
                      <w:bCs/>
                      <w:color w:val="FF0000"/>
                      <w:sz w:val="20"/>
                      <w:szCs w:val="20"/>
                      <w:lang w:val="en-US" w:eastAsia="zh-CN"/>
                    </w:rPr>
                    <w:t>3.80</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lang w:eastAsia="zh-CN"/>
                    </w:rPr>
                  </w:pPr>
                  <w:r>
                    <w:rPr>
                      <w:rFonts w:hint="eastAsia" w:ascii="Times New Roman" w:eastAsia="宋体" w:cs="Times New Roman"/>
                      <w:b w:val="0"/>
                      <w:bCs/>
                      <w:color w:val="FF0000"/>
                      <w:sz w:val="20"/>
                      <w:szCs w:val="20"/>
                      <w:lang w:val="en-US" w:eastAsia="zh-CN"/>
                    </w:rPr>
                    <w:t>学校</w:t>
                  </w:r>
                </w:p>
              </w:tc>
              <w:tc>
                <w:tcPr>
                  <w:tcW w:w="86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E</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200</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bCs/>
                      <w:color w:val="FF0000"/>
                      <w:sz w:val="20"/>
                      <w:szCs w:val="20"/>
                      <w:lang w:val="en-US" w:eastAsia="zh-CN"/>
                    </w:rPr>
                  </w:pPr>
                  <w:r>
                    <w:rPr>
                      <w:rFonts w:hint="eastAsia"/>
                      <w:bCs/>
                      <w:color w:val="FF0000"/>
                      <w:sz w:val="20"/>
                      <w:szCs w:val="20"/>
                      <w:lang w:val="en-US" w:eastAsia="zh-CN"/>
                    </w:rPr>
                    <w:t>九华镇马桥幼儿园</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0"/>
                      <w:szCs w:val="20"/>
                      <w:lang w:val="en-US" w:eastAsia="zh-CN"/>
                    </w:rPr>
                  </w:pPr>
                  <w:r>
                    <w:rPr>
                      <w:rFonts w:hint="default" w:ascii="Times New Roman" w:hAnsi="Times New Roman" w:eastAsia="宋体" w:cs="Times New Roman"/>
                      <w:bCs/>
                      <w:color w:val="FF0000"/>
                      <w:sz w:val="20"/>
                      <w:szCs w:val="20"/>
                      <w:lang w:val="en-US" w:eastAsia="zh-CN"/>
                    </w:rPr>
                    <w:t>120°6</w:t>
                  </w:r>
                  <w:r>
                    <w:rPr>
                      <w:rFonts w:hint="eastAsia" w:ascii="Times New Roman" w:hAnsi="Times New Roman" w:eastAsia="宋体" w:cs="Times New Roman"/>
                      <w:bCs/>
                      <w:color w:val="FF0000"/>
                      <w:sz w:val="20"/>
                      <w:szCs w:val="20"/>
                      <w:lang w:val="en-US" w:eastAsia="zh-CN"/>
                    </w:rPr>
                    <w:t>5</w:t>
                  </w:r>
                  <w:r>
                    <w:rPr>
                      <w:rFonts w:hint="default" w:ascii="Times New Roman" w:hAnsi="Times New Roman" w:eastAsia="宋体" w:cs="Times New Roman"/>
                      <w:bCs/>
                      <w:color w:val="FF0000"/>
                      <w:sz w:val="20"/>
                      <w:szCs w:val="20"/>
                      <w:lang w:val="en-US" w:eastAsia="zh-CN"/>
                    </w:rPr>
                    <w:t>′</w:t>
                  </w:r>
                  <w:r>
                    <w:rPr>
                      <w:rFonts w:hint="eastAsia" w:ascii="Times New Roman" w:hAnsi="Times New Roman" w:eastAsia="宋体" w:cs="Times New Roman"/>
                      <w:bCs/>
                      <w:color w:val="FF0000"/>
                      <w:sz w:val="20"/>
                      <w:szCs w:val="20"/>
                      <w:lang w:val="en-US" w:eastAsia="zh-CN"/>
                    </w:rPr>
                    <w:t>33.25</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0"/>
                      <w:szCs w:val="20"/>
                      <w:lang w:val="en-US" w:eastAsia="zh-CN"/>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65.70</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hint="eastAsia" w:ascii="Times New Roman" w:eastAsia="宋体" w:cs="Times New Roman"/>
                      <w:b w:val="0"/>
                      <w:bCs/>
                      <w:color w:val="FF0000"/>
                      <w:sz w:val="20"/>
                      <w:szCs w:val="20"/>
                      <w:lang w:val="en-US" w:eastAsia="zh-CN"/>
                    </w:rPr>
                    <w:t>学校</w:t>
                  </w:r>
                </w:p>
              </w:tc>
              <w:tc>
                <w:tcPr>
                  <w:tcW w:w="86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SE</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140</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bCs/>
                      <w:color w:val="FF0000"/>
                      <w:sz w:val="20"/>
                      <w:szCs w:val="20"/>
                      <w:lang w:val="en-US" w:eastAsia="zh-CN"/>
                    </w:rPr>
                  </w:pPr>
                  <w:r>
                    <w:rPr>
                      <w:rFonts w:hint="eastAsia"/>
                      <w:bCs/>
                      <w:color w:val="FF0000"/>
                      <w:sz w:val="20"/>
                      <w:szCs w:val="20"/>
                      <w:lang w:val="en-US" w:eastAsia="zh-CN"/>
                    </w:rPr>
                    <w:t>九华镇马桥小学</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0"/>
                      <w:szCs w:val="20"/>
                      <w:lang w:val="en-US" w:eastAsia="zh-CN"/>
                    </w:rPr>
                  </w:pPr>
                  <w:r>
                    <w:rPr>
                      <w:rFonts w:hint="default" w:ascii="Times New Roman" w:hAnsi="Times New Roman" w:eastAsia="宋体" w:cs="Times New Roman"/>
                      <w:bCs/>
                      <w:color w:val="FF0000"/>
                      <w:sz w:val="20"/>
                      <w:szCs w:val="20"/>
                      <w:lang w:val="en-US" w:eastAsia="zh-CN"/>
                    </w:rPr>
                    <w:t>120°6</w:t>
                  </w:r>
                  <w:r>
                    <w:rPr>
                      <w:rFonts w:hint="eastAsia" w:ascii="Times New Roman" w:hAnsi="Times New Roman" w:eastAsia="宋体" w:cs="Times New Roman"/>
                      <w:bCs/>
                      <w:color w:val="FF0000"/>
                      <w:sz w:val="20"/>
                      <w:szCs w:val="20"/>
                      <w:lang w:val="en-US" w:eastAsia="zh-CN"/>
                    </w:rPr>
                    <w:t>5</w:t>
                  </w:r>
                  <w:r>
                    <w:rPr>
                      <w:rFonts w:hint="default" w:ascii="Times New Roman" w:hAnsi="Times New Roman" w:eastAsia="宋体" w:cs="Times New Roman"/>
                      <w:bCs/>
                      <w:color w:val="FF0000"/>
                      <w:sz w:val="20"/>
                      <w:szCs w:val="20"/>
                      <w:lang w:val="en-US" w:eastAsia="zh-CN"/>
                    </w:rPr>
                    <w:t>′</w:t>
                  </w:r>
                  <w:r>
                    <w:rPr>
                      <w:rFonts w:hint="eastAsia" w:ascii="Times New Roman" w:hAnsi="Times New Roman" w:eastAsia="宋体" w:cs="Times New Roman"/>
                      <w:bCs/>
                      <w:color w:val="FF0000"/>
                      <w:sz w:val="20"/>
                      <w:szCs w:val="20"/>
                      <w:lang w:val="en-US" w:eastAsia="zh-CN"/>
                    </w:rPr>
                    <w:t>46.77</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Cs/>
                      <w:color w:val="FF0000"/>
                      <w:sz w:val="20"/>
                      <w:szCs w:val="20"/>
                      <w:lang w:val="en-US" w:eastAsia="zh-CN"/>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43.55</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hint="eastAsia" w:ascii="Times New Roman" w:eastAsia="宋体" w:cs="Times New Roman"/>
                      <w:b w:val="0"/>
                      <w:bCs/>
                      <w:color w:val="FF0000"/>
                      <w:sz w:val="20"/>
                      <w:szCs w:val="20"/>
                      <w:lang w:val="en-US" w:eastAsia="zh-CN"/>
                    </w:rPr>
                    <w:t>学校</w:t>
                  </w:r>
                </w:p>
              </w:tc>
              <w:tc>
                <w:tcPr>
                  <w:tcW w:w="86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SE</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145</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eastAsia="宋体"/>
                      <w:bCs/>
                      <w:color w:val="FF0000"/>
                      <w:sz w:val="20"/>
                      <w:szCs w:val="20"/>
                      <w:lang w:val="en-US" w:eastAsia="zh-CN"/>
                    </w:rPr>
                  </w:pPr>
                  <w:r>
                    <w:rPr>
                      <w:rFonts w:hint="eastAsia" w:ascii="Times New Roman" w:hAnsi="Times New Roman" w:eastAsia="宋体" w:cs="Times New Roman"/>
                      <w:bCs/>
                      <w:color w:val="FF0000"/>
                      <w:sz w:val="20"/>
                      <w:szCs w:val="20"/>
                      <w:lang w:val="en-US" w:eastAsia="zh-CN"/>
                    </w:rPr>
                    <w:t>田家埠</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120°64′7</w:t>
                  </w:r>
                  <w:r>
                    <w:rPr>
                      <w:rFonts w:hint="eastAsia" w:ascii="Times New Roman" w:hAnsi="Times New Roman" w:eastAsia="宋体" w:cs="Times New Roman"/>
                      <w:bCs/>
                      <w:color w:val="FF0000"/>
                      <w:sz w:val="20"/>
                      <w:szCs w:val="20"/>
                      <w:lang w:val="en-US" w:eastAsia="zh-CN"/>
                    </w:rPr>
                    <w:t>3.97</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67.91</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居民区</w:t>
                  </w:r>
                </w:p>
              </w:tc>
              <w:tc>
                <w:tcPr>
                  <w:tcW w:w="86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SW</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468</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0"/>
                      <w:szCs w:val="20"/>
                      <w:lang w:val="en-US" w:eastAsia="zh-CN"/>
                    </w:rPr>
                  </w:pPr>
                  <w:r>
                    <w:rPr>
                      <w:rFonts w:hint="eastAsia"/>
                      <w:bCs/>
                      <w:color w:val="FF0000"/>
                      <w:sz w:val="20"/>
                      <w:szCs w:val="20"/>
                      <w:lang w:val="en-US" w:eastAsia="zh-CN"/>
                    </w:rPr>
                    <w:t>管家圩</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88.40</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57.10</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居民区</w:t>
                  </w:r>
                </w:p>
              </w:tc>
              <w:tc>
                <w:tcPr>
                  <w:tcW w:w="86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SW</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380</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0"/>
                      <w:szCs w:val="20"/>
                      <w:lang w:val="en-US" w:eastAsia="zh-CN"/>
                    </w:rPr>
                  </w:pPr>
                  <w:r>
                    <w:rPr>
                      <w:rFonts w:hint="eastAsia"/>
                      <w:bCs/>
                      <w:color w:val="FF0000"/>
                      <w:sz w:val="20"/>
                      <w:szCs w:val="20"/>
                      <w:lang w:val="en-US" w:eastAsia="zh-CN"/>
                    </w:rPr>
                    <w:t>马桥村十三组</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69.95</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09.79</w:t>
                  </w:r>
                  <w:r>
                    <w:rPr>
                      <w:rFonts w:hint="default" w:ascii="Times New Roman" w:hAnsi="Times New Roman" w:eastAsia="宋体" w:cs="Times New Roman"/>
                      <w:bCs/>
                      <w:color w:val="FF0000"/>
                      <w:sz w:val="20"/>
                      <w:szCs w:val="20"/>
                      <w:lang w:val="en-US" w:eastAsia="zh-CN"/>
                    </w:rPr>
                    <w:t>0</w:t>
                  </w:r>
                </w:p>
              </w:tc>
              <w:tc>
                <w:tcPr>
                  <w:tcW w:w="93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居民区</w:t>
                  </w:r>
                </w:p>
              </w:tc>
              <w:tc>
                <w:tcPr>
                  <w:tcW w:w="86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NW</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279</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eastAsia="宋体"/>
                      <w:bCs/>
                      <w:color w:val="FF0000"/>
                      <w:sz w:val="20"/>
                      <w:szCs w:val="20"/>
                      <w:lang w:val="en-US" w:eastAsia="zh-CN"/>
                    </w:rPr>
                  </w:pPr>
                  <w:r>
                    <w:rPr>
                      <w:rFonts w:hint="eastAsia"/>
                      <w:bCs/>
                      <w:color w:val="FF0000"/>
                      <w:sz w:val="20"/>
                      <w:szCs w:val="20"/>
                      <w:lang w:val="en-US" w:eastAsia="zh-CN"/>
                    </w:rPr>
                    <w:t>马桥中心小区</w:t>
                  </w:r>
                </w:p>
              </w:tc>
              <w:tc>
                <w:tcPr>
                  <w:tcW w:w="1259"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14.69</w:t>
                  </w:r>
                </w:p>
              </w:tc>
              <w:tc>
                <w:tcPr>
                  <w:tcW w:w="1350"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eastAsia="宋体" w:cs="Times New Roman"/>
                      <w:b w:val="0"/>
                      <w:bCs/>
                      <w:color w:val="FF0000"/>
                      <w:sz w:val="20"/>
                      <w:szCs w:val="20"/>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37.14</w:t>
                  </w:r>
                  <w:r>
                    <w:rPr>
                      <w:rFonts w:hint="default" w:ascii="Times New Roman" w:hAnsi="Times New Roman" w:eastAsia="宋体" w:cs="Times New Roman"/>
                      <w:bCs/>
                      <w:color w:val="FF0000"/>
                      <w:sz w:val="20"/>
                      <w:szCs w:val="20"/>
                      <w:lang w:val="en-US" w:eastAsia="zh-CN"/>
                    </w:rPr>
                    <w:t>″</w:t>
                  </w:r>
                </w:p>
              </w:tc>
              <w:tc>
                <w:tcPr>
                  <w:tcW w:w="93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居民区</w:t>
                  </w:r>
                </w:p>
              </w:tc>
              <w:tc>
                <w:tcPr>
                  <w:tcW w:w="868" w:type="dxa"/>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eastAsia="宋体" w:cs="Times New Roman"/>
                      <w:b w:val="0"/>
                      <w:bCs/>
                      <w:color w:val="FF0000"/>
                      <w:sz w:val="20"/>
                      <w:szCs w:val="20"/>
                    </w:rPr>
                  </w:pPr>
                  <w:r>
                    <w:rPr>
                      <w:rFonts w:ascii="Times New Roman" w:eastAsia="宋体" w:cs="Times New Roman"/>
                      <w:b w:val="0"/>
                      <w:bCs/>
                      <w:color w:val="FF0000"/>
                      <w:sz w:val="20"/>
                      <w:szCs w:val="20"/>
                    </w:rPr>
                    <w:t>二类区</w:t>
                  </w:r>
                </w:p>
              </w:tc>
              <w:tc>
                <w:tcPr>
                  <w:tcW w:w="8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NE</w:t>
                  </w:r>
                </w:p>
              </w:tc>
              <w:tc>
                <w:tcPr>
                  <w:tcW w:w="108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343</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6" w:type="dxa"/>
                  <w:noWrap w:val="0"/>
                  <w:vAlign w:val="center"/>
                </w:tcPr>
                <w:p>
                  <w:pPr>
                    <w:keepNext w:val="0"/>
                    <w:keepLines w:val="0"/>
                    <w:pageBreakBefore w:val="0"/>
                    <w:kinsoku/>
                    <w:wordWrap/>
                    <w:overflowPunct/>
                    <w:topLinePunct w:val="0"/>
                    <w:bidi w:val="0"/>
                    <w:adjustRightInd w:val="0"/>
                    <w:snapToGrid w:val="0"/>
                    <w:ind w:firstLine="0" w:firstLineChars="0"/>
                    <w:jc w:val="center"/>
                    <w:textAlignment w:val="auto"/>
                    <w:rPr>
                      <w:rFonts w:hint="default"/>
                      <w:bCs/>
                      <w:color w:val="FF0000"/>
                      <w:sz w:val="20"/>
                      <w:szCs w:val="20"/>
                      <w:lang w:val="en-US" w:eastAsia="zh-CN"/>
                    </w:rPr>
                  </w:pPr>
                  <w:r>
                    <w:rPr>
                      <w:rFonts w:hint="eastAsia"/>
                      <w:bCs/>
                      <w:color w:val="FF0000"/>
                      <w:sz w:val="20"/>
                      <w:szCs w:val="20"/>
                      <w:lang w:val="en-US" w:eastAsia="zh-CN"/>
                    </w:rPr>
                    <w:t>马桥小区</w:t>
                  </w:r>
                </w:p>
              </w:tc>
              <w:tc>
                <w:tcPr>
                  <w:tcW w:w="1259" w:type="dxa"/>
                  <w:shd w:val="clear" w:color="auto" w:fill="auto"/>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kern w:val="2"/>
                      <w:sz w:val="20"/>
                      <w:szCs w:val="20"/>
                      <w:lang w:val="en-US" w:eastAsia="zh-CN" w:bidi="ar-SA"/>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15.79</w:t>
                  </w:r>
                </w:p>
              </w:tc>
              <w:tc>
                <w:tcPr>
                  <w:tcW w:w="1350" w:type="dxa"/>
                  <w:shd w:val="clear" w:color="auto" w:fill="auto"/>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kern w:val="2"/>
                      <w:sz w:val="20"/>
                      <w:szCs w:val="20"/>
                      <w:lang w:val="en-US" w:eastAsia="zh-CN" w:bidi="ar-SA"/>
                    </w:rPr>
                  </w:pPr>
                  <w:r>
                    <w:rPr>
                      <w:rFonts w:hint="default" w:ascii="Times New Roman" w:hAnsi="Times New Roman" w:eastAsia="宋体" w:cs="Times New Roman"/>
                      <w:bCs/>
                      <w:color w:val="FF0000"/>
                      <w:sz w:val="20"/>
                      <w:szCs w:val="20"/>
                      <w:lang w:val="en-US" w:eastAsia="zh-CN"/>
                    </w:rPr>
                    <w:t>120°64′</w:t>
                  </w:r>
                  <w:r>
                    <w:rPr>
                      <w:rFonts w:hint="eastAsia" w:ascii="Times New Roman" w:hAnsi="Times New Roman" w:eastAsia="宋体" w:cs="Times New Roman"/>
                      <w:bCs/>
                      <w:color w:val="FF0000"/>
                      <w:sz w:val="20"/>
                      <w:szCs w:val="20"/>
                      <w:lang w:val="en-US" w:eastAsia="zh-CN"/>
                    </w:rPr>
                    <w:t>28.25</w:t>
                  </w:r>
                  <w:r>
                    <w:rPr>
                      <w:rFonts w:hint="default" w:ascii="Times New Roman" w:hAnsi="Times New Roman" w:eastAsia="宋体" w:cs="Times New Roman"/>
                      <w:bCs/>
                      <w:color w:val="FF0000"/>
                      <w:sz w:val="20"/>
                      <w:szCs w:val="20"/>
                      <w:lang w:val="en-US" w:eastAsia="zh-CN"/>
                    </w:rPr>
                    <w:t>″</w:t>
                  </w:r>
                </w:p>
              </w:tc>
              <w:tc>
                <w:tcPr>
                  <w:tcW w:w="938" w:type="dxa"/>
                  <w:shd w:val="clear" w:color="auto" w:fill="auto"/>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hAnsi="Times New Roman" w:eastAsia="宋体" w:cs="Times New Roman"/>
                      <w:b w:val="0"/>
                      <w:bCs/>
                      <w:color w:val="FF0000"/>
                      <w:kern w:val="2"/>
                      <w:sz w:val="20"/>
                      <w:szCs w:val="20"/>
                      <w:lang w:val="en-US" w:eastAsia="zh-CN" w:bidi="ar-SA"/>
                    </w:rPr>
                  </w:pPr>
                  <w:r>
                    <w:rPr>
                      <w:rFonts w:ascii="Times New Roman" w:eastAsia="宋体" w:cs="Times New Roman"/>
                      <w:b w:val="0"/>
                      <w:bCs/>
                      <w:color w:val="FF0000"/>
                      <w:sz w:val="20"/>
                      <w:szCs w:val="20"/>
                    </w:rPr>
                    <w:t>居民区</w:t>
                  </w:r>
                </w:p>
              </w:tc>
              <w:tc>
                <w:tcPr>
                  <w:tcW w:w="868" w:type="dxa"/>
                  <w:shd w:val="clear" w:color="auto" w:fill="auto"/>
                  <w:noWrap w:val="0"/>
                  <w:vAlign w:val="center"/>
                </w:tcPr>
                <w:p>
                  <w:pPr>
                    <w:keepNext w:val="0"/>
                    <w:keepLines w:val="0"/>
                    <w:pageBreakBefore w:val="0"/>
                    <w:kinsoku/>
                    <w:wordWrap/>
                    <w:overflowPunct/>
                    <w:topLinePunct w:val="0"/>
                    <w:bidi w:val="0"/>
                    <w:snapToGrid w:val="0"/>
                    <w:spacing w:after="0" w:line="240" w:lineRule="auto"/>
                    <w:ind w:firstLine="0" w:firstLineChars="0"/>
                    <w:jc w:val="center"/>
                    <w:textAlignment w:val="auto"/>
                    <w:rPr>
                      <w:rFonts w:ascii="Times New Roman" w:hAnsi="Times New Roman" w:eastAsia="宋体" w:cs="Times New Roman"/>
                      <w:b w:val="0"/>
                      <w:bCs/>
                      <w:color w:val="FF0000"/>
                      <w:kern w:val="2"/>
                      <w:sz w:val="20"/>
                      <w:szCs w:val="20"/>
                      <w:lang w:val="en-US" w:eastAsia="zh-CN" w:bidi="ar-SA"/>
                    </w:rPr>
                  </w:pPr>
                  <w:r>
                    <w:rPr>
                      <w:rFonts w:ascii="Times New Roman" w:eastAsia="宋体" w:cs="Times New Roman"/>
                      <w:b w:val="0"/>
                      <w:bCs/>
                      <w:color w:val="FF0000"/>
                      <w:sz w:val="20"/>
                      <w:szCs w:val="20"/>
                    </w:rPr>
                    <w:t>二类区</w:t>
                  </w:r>
                </w:p>
              </w:tc>
              <w:tc>
                <w:tcPr>
                  <w:tcW w:w="885" w:type="dxa"/>
                  <w:shd w:val="clear" w:color="auto" w:fill="auto"/>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kern w:val="2"/>
                      <w:sz w:val="20"/>
                      <w:szCs w:val="20"/>
                      <w:lang w:val="en-US" w:eastAsia="zh-CN" w:bidi="ar-SA"/>
                    </w:rPr>
                  </w:pPr>
                  <w:r>
                    <w:rPr>
                      <w:rFonts w:hint="eastAsia" w:ascii="Times New Roman" w:eastAsia="宋体" w:cs="Times New Roman"/>
                      <w:b w:val="0"/>
                      <w:bCs/>
                      <w:color w:val="FF0000"/>
                      <w:sz w:val="20"/>
                      <w:szCs w:val="20"/>
                      <w:lang w:val="en-US" w:eastAsia="zh-CN"/>
                    </w:rPr>
                    <w:t>NE</w:t>
                  </w:r>
                </w:p>
              </w:tc>
              <w:tc>
                <w:tcPr>
                  <w:tcW w:w="1081" w:type="dxa"/>
                  <w:shd w:val="clear" w:color="auto" w:fill="auto"/>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kern w:val="2"/>
                      <w:sz w:val="20"/>
                      <w:szCs w:val="20"/>
                      <w:lang w:val="en-US" w:eastAsia="zh-CN" w:bidi="ar-SA"/>
                    </w:rPr>
                  </w:pPr>
                  <w:r>
                    <w:rPr>
                      <w:rFonts w:hint="eastAsia" w:ascii="Times New Roman" w:eastAsia="宋体" w:cs="Times New Roman"/>
                      <w:b w:val="0"/>
                      <w:bCs/>
                      <w:color w:val="FF0000"/>
                      <w:sz w:val="20"/>
                      <w:szCs w:val="20"/>
                      <w:lang w:val="en-US" w:eastAsia="zh-CN"/>
                    </w:rPr>
                    <w:t>370</w:t>
                  </w:r>
                </w:p>
              </w:tc>
              <w:tc>
                <w:tcPr>
                  <w:tcW w:w="103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eastAsia="宋体" w:cs="Times New Roman"/>
                      <w:b w:val="0"/>
                      <w:bCs/>
                      <w:color w:val="FF0000"/>
                      <w:sz w:val="20"/>
                      <w:szCs w:val="20"/>
                      <w:lang w:val="en-US" w:eastAsia="zh-CN"/>
                    </w:rPr>
                  </w:pPr>
                  <w:r>
                    <w:rPr>
                      <w:rFonts w:hint="eastAsia" w:ascii="Times New Roman" w:eastAsia="宋体" w:cs="Times New Roman"/>
                      <w:b w:val="0"/>
                      <w:bCs/>
                      <w:color w:val="FF0000"/>
                      <w:sz w:val="20"/>
                      <w:szCs w:val="20"/>
                      <w:lang w:val="en-US" w:eastAsia="zh-CN"/>
                    </w:rPr>
                    <w:t>600</w:t>
                  </w:r>
                </w:p>
              </w:tc>
            </w:tr>
          </w:tbl>
          <w:p>
            <w:pPr>
              <w:spacing w:line="360" w:lineRule="auto"/>
              <w:rPr>
                <w:rFonts w:hint="default" w:ascii="Times New Roman" w:hAnsi="Times New Roman" w:eastAsia="宋体" w:cs="Times New Roman"/>
                <w:b/>
                <w:bCs/>
                <w:color w:val="auto"/>
                <w:sz w:val="18"/>
                <w:szCs w:val="18"/>
                <w:lang w:val="en-US" w:eastAsia="zh-CN"/>
              </w:rPr>
            </w:pPr>
            <w:r>
              <w:rPr>
                <w:rFonts w:hint="eastAsia" w:cs="Times New Roman"/>
                <w:b/>
                <w:bCs/>
                <w:color w:val="FF0000"/>
                <w:sz w:val="18"/>
                <w:szCs w:val="18"/>
                <w:lang w:val="en-US" w:eastAsia="zh-CN"/>
              </w:rPr>
              <w:t>注：[1]</w:t>
            </w:r>
            <w:r>
              <w:rPr>
                <w:rFonts w:hint="eastAsia" w:ascii="Times New Roman" w:hAnsi="Times New Roman" w:eastAsia="宋体" w:cs="Times New Roman"/>
                <w:b/>
                <w:bCs/>
                <w:color w:val="FF0000"/>
                <w:sz w:val="18"/>
                <w:szCs w:val="18"/>
                <w:lang w:val="en-US" w:eastAsia="zh-CN"/>
              </w:rPr>
              <w:t>本报告</w:t>
            </w:r>
            <w:r>
              <w:rPr>
                <w:rFonts w:hint="eastAsia" w:cs="Times New Roman"/>
                <w:b/>
                <w:bCs/>
                <w:color w:val="FF0000"/>
                <w:sz w:val="18"/>
                <w:szCs w:val="18"/>
                <w:lang w:val="en-US" w:eastAsia="zh-CN"/>
              </w:rPr>
              <w:t>以生产车间和锅炉房</w:t>
            </w:r>
            <w:r>
              <w:rPr>
                <w:rFonts w:hint="eastAsia" w:ascii="Times New Roman" w:hAnsi="Times New Roman" w:eastAsia="宋体" w:cs="Times New Roman"/>
                <w:b/>
                <w:bCs/>
                <w:color w:val="FF0000"/>
                <w:sz w:val="18"/>
                <w:szCs w:val="18"/>
                <w:lang w:val="en-US" w:eastAsia="zh-CN"/>
              </w:rPr>
              <w:t>作为本项目厂界，九华镇卫生院距离最近生产车间112m，马桥幼儿园距离最近锅炉房140m</w:t>
            </w:r>
          </w:p>
          <w:p>
            <w:pPr>
              <w:spacing w:line="360" w:lineRule="auto"/>
              <w:ind w:firstLine="480"/>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2、声环境</w:t>
            </w:r>
          </w:p>
          <w:p>
            <w:pPr>
              <w:spacing w:line="360" w:lineRule="auto"/>
              <w:ind w:firstLine="480"/>
              <w:rPr>
                <w:rFonts w:ascii="Times New Roman" w:hAnsi="Times New Roman" w:eastAsia="宋体" w:cs="Times New Roman"/>
                <w:color w:val="auto"/>
                <w:sz w:val="21"/>
                <w:szCs w:val="21"/>
              </w:rPr>
            </w:pPr>
            <w:r>
              <w:rPr>
                <w:rFonts w:hint="eastAsia" w:cs="Times New Roman"/>
                <w:color w:val="auto"/>
                <w:sz w:val="21"/>
                <w:szCs w:val="21"/>
                <w:lang w:val="en-US" w:eastAsia="zh-CN"/>
              </w:rPr>
              <w:t>据前文描述，</w:t>
            </w:r>
            <w:r>
              <w:rPr>
                <w:rFonts w:hint="eastAsia" w:ascii="Times New Roman" w:hAnsi="Times New Roman" w:eastAsia="宋体" w:cs="Times New Roman"/>
                <w:color w:val="auto"/>
                <w:sz w:val="21"/>
                <w:szCs w:val="21"/>
                <w:lang w:val="en-US" w:eastAsia="zh-CN"/>
              </w:rPr>
              <w:t>本报告保守考虑以</w:t>
            </w:r>
            <w:r>
              <w:rPr>
                <w:rFonts w:hint="eastAsia" w:cs="Times New Roman"/>
                <w:color w:val="auto"/>
                <w:sz w:val="21"/>
                <w:szCs w:val="21"/>
                <w:lang w:val="en-US" w:eastAsia="zh-CN"/>
              </w:rPr>
              <w:t>本项目生产车间和锅炉房</w:t>
            </w:r>
            <w:r>
              <w:rPr>
                <w:rFonts w:hint="eastAsia" w:ascii="Times New Roman" w:hAnsi="Times New Roman" w:eastAsia="宋体" w:cs="Times New Roman"/>
                <w:color w:val="auto"/>
                <w:sz w:val="21"/>
                <w:szCs w:val="21"/>
                <w:lang w:val="en-US" w:eastAsia="zh-CN"/>
              </w:rPr>
              <w:t>作为本项目厂界，</w:t>
            </w:r>
            <w:r>
              <w:rPr>
                <w:rFonts w:hint="eastAsia" w:ascii="Times New Roman" w:hAnsi="Times New Roman" w:eastAsia="宋体" w:cs="Times New Roman"/>
                <w:color w:val="auto"/>
                <w:sz w:val="21"/>
                <w:szCs w:val="21"/>
              </w:rPr>
              <w:t>项目厂界外50米范围内</w:t>
            </w:r>
            <w:r>
              <w:rPr>
                <w:rFonts w:hint="eastAsia" w:cs="Times New Roman"/>
                <w:color w:val="auto"/>
                <w:sz w:val="21"/>
                <w:szCs w:val="21"/>
                <w:lang w:val="en-US" w:eastAsia="zh-CN"/>
              </w:rPr>
              <w:t>无</w:t>
            </w:r>
            <w:r>
              <w:rPr>
                <w:rFonts w:hint="eastAsia" w:ascii="Times New Roman" w:hAnsi="Times New Roman" w:eastAsia="宋体" w:cs="Times New Roman"/>
                <w:color w:val="auto"/>
                <w:sz w:val="21"/>
                <w:szCs w:val="21"/>
              </w:rPr>
              <w:t>声环境保护目标。</w:t>
            </w:r>
          </w:p>
          <w:p>
            <w:pPr>
              <w:spacing w:line="360" w:lineRule="auto"/>
              <w:ind w:firstLine="480"/>
              <w:rPr>
                <w:rFonts w:hint="eastAsia" w:ascii="Times New Roman" w:hAnsi="Times New Roman" w:eastAsia="宋体" w:cs="Times New Roman"/>
                <w:color w:val="auto"/>
                <w:sz w:val="21"/>
                <w:szCs w:val="21"/>
              </w:rPr>
            </w:pPr>
            <w:r>
              <w:rPr>
                <w:rFonts w:hint="eastAsia" w:ascii="Times New Roman" w:hAnsi="Times New Roman" w:eastAsia="宋体" w:cs="Times New Roman"/>
                <w:b/>
                <w:bCs/>
                <w:color w:val="auto"/>
                <w:sz w:val="21"/>
                <w:szCs w:val="21"/>
              </w:rPr>
              <w:t>3、地下水环境</w:t>
            </w:r>
          </w:p>
          <w:p>
            <w:pPr>
              <w:spacing w:line="360" w:lineRule="auto"/>
              <w:ind w:firstLine="480"/>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项目厂界外500米范围内无地下水环境保护目标。</w:t>
            </w:r>
          </w:p>
          <w:p>
            <w:pPr>
              <w:spacing w:line="360" w:lineRule="auto"/>
              <w:ind w:firstLine="480"/>
              <w:rPr>
                <w:rFonts w:hint="eastAsia" w:ascii="Times New Roman" w:hAnsi="Times New Roman" w:eastAsia="宋体" w:cs="Times New Roman"/>
                <w:b/>
                <w:bCs/>
                <w:color w:val="auto"/>
                <w:sz w:val="21"/>
                <w:szCs w:val="21"/>
              </w:rPr>
            </w:pPr>
            <w:r>
              <w:rPr>
                <w:rFonts w:hint="eastAsia" w:ascii="Times New Roman" w:hAnsi="Times New Roman" w:eastAsia="宋体" w:cs="Times New Roman"/>
                <w:b/>
                <w:bCs/>
                <w:color w:val="auto"/>
                <w:sz w:val="21"/>
                <w:szCs w:val="21"/>
              </w:rPr>
              <w:t>4、生态环境</w:t>
            </w:r>
          </w:p>
          <w:p>
            <w:pPr>
              <w:spacing w:line="360" w:lineRule="auto"/>
              <w:ind w:firstLine="480"/>
              <w:rPr>
                <w:rFonts w:hint="eastAsia" w:ascii="Times New Roman" w:hAnsi="Times New Roman" w:eastAsia="宋体" w:cs="Times New Roman"/>
                <w:color w:val="auto"/>
                <w:sz w:val="21"/>
                <w:szCs w:val="21"/>
              </w:rPr>
            </w:pPr>
            <w:r>
              <w:rPr>
                <w:rFonts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rPr>
              <w:t>在江苏省南通市</w:t>
            </w:r>
            <w:r>
              <w:rPr>
                <w:rFonts w:hint="eastAsia" w:ascii="Times New Roman" w:hAnsi="Times New Roman" w:eastAsia="宋体" w:cs="Times New Roman"/>
                <w:bCs/>
                <w:color w:val="auto"/>
                <w:szCs w:val="21"/>
                <w:lang w:val="en-US" w:eastAsia="zh-CN"/>
              </w:rPr>
              <w:t>如皋市九华镇马桥村18组现有厂房</w:t>
            </w:r>
            <w:r>
              <w:rPr>
                <w:rFonts w:ascii="Times New Roman" w:hAnsi="Times New Roman" w:eastAsia="宋体" w:cs="Times New Roman"/>
                <w:color w:val="auto"/>
                <w:sz w:val="21"/>
                <w:szCs w:val="21"/>
              </w:rPr>
              <w:t>，无不良生态环境影响</w:t>
            </w:r>
            <w:r>
              <w:rPr>
                <w:rFonts w:hint="eastAsia" w:ascii="Times New Roman" w:hAnsi="Times New Roman" w:eastAsia="宋体" w:cs="Times New Roman"/>
                <w:color w:val="auto"/>
                <w:sz w:val="21"/>
                <w:szCs w:val="21"/>
              </w:rPr>
              <w:t>。</w:t>
            </w:r>
          </w:p>
          <w:p>
            <w:pPr>
              <w:spacing w:line="360" w:lineRule="auto"/>
              <w:ind w:firstLine="480"/>
              <w:rPr>
                <w:bCs/>
                <w:color w:val="auto"/>
                <w:sz w:val="21"/>
                <w:szCs w:val="21"/>
              </w:rPr>
            </w:pPr>
            <w:r>
              <w:rPr>
                <w:color w:val="auto"/>
                <w:sz w:val="21"/>
                <w:szCs w:val="21"/>
              </w:rPr>
              <w:t>根据现场勘查，项目所在区域</w:t>
            </w:r>
            <w:r>
              <w:rPr>
                <w:rFonts w:hint="eastAsia"/>
                <w:color w:val="auto"/>
                <w:sz w:val="21"/>
                <w:szCs w:val="21"/>
              </w:rPr>
              <w:t>其他</w:t>
            </w:r>
            <w:r>
              <w:rPr>
                <w:color w:val="auto"/>
                <w:sz w:val="21"/>
                <w:szCs w:val="21"/>
              </w:rPr>
              <w:t>环境保护目标见表3-</w:t>
            </w:r>
            <w:r>
              <w:rPr>
                <w:rFonts w:hint="eastAsia"/>
                <w:color w:val="auto"/>
                <w:sz w:val="21"/>
                <w:szCs w:val="21"/>
                <w:lang w:val="en-US" w:eastAsia="zh-CN"/>
              </w:rPr>
              <w:t>3</w:t>
            </w:r>
            <w:r>
              <w:rPr>
                <w:color w:val="auto"/>
                <w:sz w:val="21"/>
                <w:szCs w:val="21"/>
              </w:rPr>
              <w:t>。</w:t>
            </w:r>
          </w:p>
          <w:p>
            <w:pPr>
              <w:adjustRightInd w:val="0"/>
              <w:snapToGrid w:val="0"/>
              <w:jc w:val="center"/>
              <w:rPr>
                <w:b/>
                <w:bCs/>
                <w:color w:val="auto"/>
                <w:sz w:val="21"/>
                <w:szCs w:val="21"/>
              </w:rPr>
            </w:pPr>
            <w:r>
              <w:rPr>
                <w:b/>
                <w:bCs/>
                <w:color w:val="auto"/>
                <w:sz w:val="21"/>
                <w:szCs w:val="21"/>
              </w:rPr>
              <w:t>表3-</w:t>
            </w:r>
            <w:r>
              <w:rPr>
                <w:rFonts w:hint="eastAsia"/>
                <w:b/>
                <w:bCs/>
                <w:color w:val="auto"/>
                <w:sz w:val="21"/>
                <w:szCs w:val="21"/>
                <w:lang w:val="en-US" w:eastAsia="zh-CN"/>
              </w:rPr>
              <w:t>3</w:t>
            </w:r>
            <w:r>
              <w:rPr>
                <w:rFonts w:hint="eastAsia"/>
                <w:b/>
                <w:bCs/>
                <w:color w:val="auto"/>
                <w:sz w:val="21"/>
                <w:szCs w:val="21"/>
              </w:rPr>
              <w:t xml:space="preserve"> </w:t>
            </w:r>
            <w:r>
              <w:rPr>
                <w:b/>
                <w:bCs/>
                <w:color w:val="auto"/>
                <w:sz w:val="21"/>
                <w:szCs w:val="21"/>
              </w:rPr>
              <w:t>主要环境保护目标</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05"/>
              <w:gridCol w:w="1304"/>
              <w:gridCol w:w="914"/>
              <w:gridCol w:w="763"/>
              <w:gridCol w:w="1146"/>
              <w:gridCol w:w="1023"/>
              <w:gridCol w:w="2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64" w:hRule="atLeast"/>
                <w:jc w:val="center"/>
              </w:trPr>
              <w:tc>
                <w:tcPr>
                  <w:tcW w:w="785" w:type="dxa"/>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环境要素</w:t>
                  </w:r>
                </w:p>
              </w:tc>
              <w:tc>
                <w:tcPr>
                  <w:tcW w:w="1272" w:type="dxa"/>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环境保护对象</w:t>
                  </w:r>
                </w:p>
              </w:tc>
              <w:tc>
                <w:tcPr>
                  <w:tcW w:w="891" w:type="dxa"/>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坐标</w:t>
                  </w:r>
                </w:p>
              </w:tc>
              <w:tc>
                <w:tcPr>
                  <w:tcW w:w="744" w:type="dxa"/>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方位</w:t>
                  </w:r>
                </w:p>
              </w:tc>
              <w:tc>
                <w:tcPr>
                  <w:tcW w:w="1117" w:type="dxa"/>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距厂界最近距离（m）</w:t>
                  </w:r>
                </w:p>
              </w:tc>
              <w:tc>
                <w:tcPr>
                  <w:tcW w:w="998" w:type="dxa"/>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规模</w:t>
                  </w:r>
                </w:p>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（人数）</w:t>
                  </w:r>
                </w:p>
              </w:tc>
              <w:tc>
                <w:tcPr>
                  <w:tcW w:w="2608" w:type="dxa"/>
                  <w:tcBorders>
                    <w:bottom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bCs w:val="0"/>
                      <w:color w:val="FF0000"/>
                      <w:sz w:val="20"/>
                      <w:szCs w:val="20"/>
                      <w:lang w:val="en-US" w:eastAsia="zh-CN"/>
                    </w:rPr>
                  </w:pPr>
                  <w:r>
                    <w:rPr>
                      <w:rFonts w:hint="eastAsia" w:ascii="Times New Roman" w:hAnsi="Times New Roman" w:eastAsia="宋体" w:cs="Times New Roman"/>
                      <w:b/>
                      <w:bCs w:val="0"/>
                      <w:color w:val="FF0000"/>
                      <w:sz w:val="20"/>
                      <w:szCs w:val="20"/>
                      <w:lang w:val="en-US" w:eastAsia="zh-CN"/>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785" w:type="dxa"/>
                  <w:vMerge w:val="restart"/>
                  <w:tcBorders>
                    <w:top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地表水环境</w:t>
                  </w:r>
                </w:p>
              </w:tc>
              <w:tc>
                <w:tcPr>
                  <w:tcW w:w="1272" w:type="dxa"/>
                  <w:tcBorders>
                    <w:top w:val="single" w:color="auto" w:sz="12" w:space="0"/>
                    <w:bottom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如海运河</w:t>
                  </w:r>
                </w:p>
              </w:tc>
              <w:tc>
                <w:tcPr>
                  <w:tcW w:w="891" w:type="dxa"/>
                  <w:tcBorders>
                    <w:top w:val="single" w:color="auto" w:sz="12" w:space="0"/>
                    <w:bottom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744" w:type="dxa"/>
                  <w:tcBorders>
                    <w:top w:val="single" w:color="auto" w:sz="12" w:space="0"/>
                    <w:bottom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西</w:t>
                  </w:r>
                </w:p>
              </w:tc>
              <w:tc>
                <w:tcPr>
                  <w:tcW w:w="1117" w:type="dxa"/>
                  <w:tcBorders>
                    <w:top w:val="single" w:color="auto" w:sz="12" w:space="0"/>
                    <w:bottom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1400</w:t>
                  </w:r>
                </w:p>
              </w:tc>
              <w:tc>
                <w:tcPr>
                  <w:tcW w:w="998" w:type="dxa"/>
                  <w:tcBorders>
                    <w:top w:val="single" w:color="auto" w:sz="12" w:space="0"/>
                    <w:bottom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中型</w:t>
                  </w:r>
                </w:p>
              </w:tc>
              <w:tc>
                <w:tcPr>
                  <w:tcW w:w="2608" w:type="dxa"/>
                  <w:vMerge w:val="restart"/>
                  <w:tcBorders>
                    <w:top w:val="single" w:color="auto" w:sz="12"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《地表水环境质量标准》（GB3838-2002）III类水体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2" w:hRule="atLeast"/>
                <w:jc w:val="center"/>
              </w:trPr>
              <w:tc>
                <w:tcPr>
                  <w:tcW w:w="785" w:type="dxa"/>
                  <w:vMerge w:val="continue"/>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p>
              </w:tc>
              <w:tc>
                <w:tcPr>
                  <w:tcW w:w="1272" w:type="dxa"/>
                  <w:tcBorders>
                    <w:top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东方红河</w:t>
                  </w:r>
                </w:p>
              </w:tc>
              <w:tc>
                <w:tcPr>
                  <w:tcW w:w="891" w:type="dxa"/>
                  <w:tcBorders>
                    <w:top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744" w:type="dxa"/>
                  <w:tcBorders>
                    <w:top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东</w:t>
                  </w:r>
                </w:p>
              </w:tc>
              <w:tc>
                <w:tcPr>
                  <w:tcW w:w="1117" w:type="dxa"/>
                  <w:tcBorders>
                    <w:top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3200</w:t>
                  </w:r>
                </w:p>
              </w:tc>
              <w:tc>
                <w:tcPr>
                  <w:tcW w:w="998" w:type="dxa"/>
                  <w:tcBorders>
                    <w:top w:val="single" w:color="auto" w:sz="4" w:space="0"/>
                  </w:tcBorders>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小型</w:t>
                  </w:r>
                </w:p>
              </w:tc>
              <w:tc>
                <w:tcPr>
                  <w:tcW w:w="2608" w:type="dxa"/>
                  <w:vMerge w:val="continue"/>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声环境</w:t>
                  </w:r>
                </w:p>
              </w:tc>
              <w:tc>
                <w:tcPr>
                  <w:tcW w:w="1272" w:type="dxa"/>
                  <w:shd w:val="clear" w:color="auto" w:fill="auto"/>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default" w:ascii="Times New Roman" w:hAnsi="Times New Roman" w:eastAsia="宋体" w:cs="Times New Roman"/>
                      <w:b w:val="0"/>
                      <w:bCs/>
                      <w:color w:val="FF0000"/>
                      <w:sz w:val="20"/>
                      <w:szCs w:val="20"/>
                      <w:lang w:val="en-US" w:eastAsia="zh-CN"/>
                    </w:rPr>
                    <w:t>厂界</w:t>
                  </w:r>
                </w:p>
              </w:tc>
              <w:tc>
                <w:tcPr>
                  <w:tcW w:w="891" w:type="dxa"/>
                  <w:shd w:val="clear" w:color="auto" w:fill="auto"/>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default" w:ascii="Times New Roman" w:hAnsi="Times New Roman" w:eastAsia="宋体" w:cs="Times New Roman"/>
                      <w:b w:val="0"/>
                      <w:bCs/>
                      <w:color w:val="FF0000"/>
                      <w:sz w:val="20"/>
                      <w:szCs w:val="20"/>
                      <w:lang w:val="en-US" w:eastAsia="zh-CN"/>
                    </w:rPr>
                    <w:t>厂界外50m</w:t>
                  </w:r>
                </w:p>
              </w:tc>
              <w:tc>
                <w:tcPr>
                  <w:tcW w:w="74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1117"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99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260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default" w:ascii="Times New Roman" w:hAnsi="Times New Roman" w:eastAsia="宋体" w:cs="Times New Roman"/>
                      <w:b w:val="0"/>
                      <w:bCs/>
                      <w:color w:val="FF0000"/>
                      <w:sz w:val="20"/>
                      <w:szCs w:val="20"/>
                      <w:lang w:val="en-US" w:eastAsia="zh-CN"/>
                    </w:rPr>
                    <w:t>《声环境质量标准》（GB3096-2008）</w:t>
                  </w:r>
                  <w:r>
                    <w:rPr>
                      <w:rFonts w:hint="eastAsia" w:ascii="Times New Roman" w:hAnsi="Times New Roman" w:eastAsia="宋体" w:cs="Times New Roman"/>
                      <w:b w:val="0"/>
                      <w:bCs/>
                      <w:color w:val="FF0000"/>
                      <w:sz w:val="20"/>
                      <w:szCs w:val="20"/>
                      <w:lang w:val="en-US" w:eastAsia="zh-CN"/>
                    </w:rPr>
                    <w:t>2</w:t>
                  </w:r>
                  <w:r>
                    <w:rPr>
                      <w:rFonts w:hint="default" w:ascii="Times New Roman" w:hAnsi="Times New Roman" w:eastAsia="宋体" w:cs="Times New Roman"/>
                      <w:b w:val="0"/>
                      <w:bCs/>
                      <w:color w:val="FF0000"/>
                      <w:sz w:val="20"/>
                      <w:szCs w:val="20"/>
                      <w:lang w:val="en-US" w:eastAsia="zh-CN"/>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生态环境</w:t>
                  </w:r>
                </w:p>
              </w:tc>
              <w:tc>
                <w:tcPr>
                  <w:tcW w:w="1272"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如海运河（如皋市）清水通道维护区</w:t>
                  </w:r>
                </w:p>
              </w:tc>
              <w:tc>
                <w:tcPr>
                  <w:tcW w:w="89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74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西</w:t>
                  </w:r>
                </w:p>
              </w:tc>
              <w:tc>
                <w:tcPr>
                  <w:tcW w:w="1117"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400</w:t>
                  </w:r>
                </w:p>
              </w:tc>
              <w:tc>
                <w:tcPr>
                  <w:tcW w:w="99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96.43km2</w:t>
                  </w:r>
                </w:p>
              </w:tc>
              <w:tc>
                <w:tcPr>
                  <w:tcW w:w="260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水源水质保护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土壤</w:t>
                  </w:r>
                </w:p>
              </w:tc>
              <w:tc>
                <w:tcPr>
                  <w:tcW w:w="1272"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周边农田</w:t>
                  </w:r>
                </w:p>
              </w:tc>
              <w:tc>
                <w:tcPr>
                  <w:tcW w:w="891"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744"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1117"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99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default"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w:t>
                  </w:r>
                </w:p>
              </w:tc>
              <w:tc>
                <w:tcPr>
                  <w:tcW w:w="2608"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《土壤环境质量 农用地土壤污染风险管控标准(试行)》(GB15618-2018)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785" w:type="dxa"/>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地下水</w:t>
                  </w:r>
                </w:p>
              </w:tc>
              <w:tc>
                <w:tcPr>
                  <w:tcW w:w="7630" w:type="dxa"/>
                  <w:gridSpan w:val="6"/>
                  <w:noWrap w:val="0"/>
                  <w:vAlign w:val="center"/>
                </w:tcPr>
                <w:p>
                  <w:pPr>
                    <w:pStyle w:val="314"/>
                    <w:keepNext w:val="0"/>
                    <w:keepLines w:val="0"/>
                    <w:pageBreakBefore w:val="0"/>
                    <w:kinsoku/>
                    <w:wordWrap/>
                    <w:overflowPunct/>
                    <w:topLinePunct w:val="0"/>
                    <w:bidi w:val="0"/>
                    <w:snapToGrid w:val="0"/>
                    <w:spacing w:after="0" w:line="240" w:lineRule="auto"/>
                    <w:ind w:firstLine="0" w:firstLineChars="0"/>
                    <w:jc w:val="center"/>
                    <w:textAlignment w:val="auto"/>
                    <w:rPr>
                      <w:rFonts w:hint="eastAsia" w:ascii="Times New Roman" w:hAnsi="Times New Roman" w:eastAsia="宋体" w:cs="Times New Roman"/>
                      <w:b w:val="0"/>
                      <w:bCs/>
                      <w:color w:val="FF0000"/>
                      <w:sz w:val="20"/>
                      <w:szCs w:val="20"/>
                      <w:lang w:val="en-US" w:eastAsia="zh-CN"/>
                    </w:rPr>
                  </w:pPr>
                  <w:r>
                    <w:rPr>
                      <w:rFonts w:hint="eastAsia" w:ascii="Times New Roman" w:hAnsi="Times New Roman" w:eastAsia="宋体" w:cs="Times New Roman"/>
                      <w:b w:val="0"/>
                      <w:bCs/>
                      <w:color w:val="FF0000"/>
                      <w:sz w:val="20"/>
                      <w:szCs w:val="20"/>
                      <w:lang w:val="en-US" w:eastAsia="zh-CN"/>
                    </w:rPr>
                    <w:t>厂界外500m范围内不涉及地下水集中式饮用水水源和热水、矿泉水、温泉等特殊地下水资源</w:t>
                  </w:r>
                </w:p>
              </w:tc>
            </w:tr>
          </w:tbl>
          <w:p>
            <w:pPr>
              <w:adjustRightInd w:val="0"/>
              <w:snapToGrid w:val="0"/>
              <w:spacing w:line="312" w:lineRule="auto"/>
              <w:jc w:val="left"/>
              <w:rPr>
                <w:b/>
                <w:color w:val="auto"/>
                <w:kern w:val="0"/>
                <w:sz w:val="18"/>
                <w:szCs w:val="18"/>
              </w:rPr>
            </w:pPr>
            <w:r>
              <w:rPr>
                <w:rFonts w:hint="eastAsia"/>
                <w:b/>
                <w:color w:val="auto"/>
                <w:sz w:val="18"/>
                <w:szCs w:val="18"/>
              </w:rPr>
              <w:t>注:</w:t>
            </w:r>
            <w:r>
              <w:rPr>
                <w:b/>
                <w:color w:val="auto"/>
                <w:sz w:val="18"/>
                <w:szCs w:val="18"/>
              </w:rPr>
              <w:t>表中坐标以厂界</w:t>
            </w:r>
            <w:r>
              <w:rPr>
                <w:rFonts w:hint="eastAsia"/>
                <w:b/>
                <w:color w:val="auto"/>
                <w:sz w:val="18"/>
                <w:szCs w:val="18"/>
                <w:lang w:val="en-US" w:eastAsia="zh-CN"/>
              </w:rPr>
              <w:t>西南角</w:t>
            </w:r>
            <w:r>
              <w:rPr>
                <w:b/>
                <w:color w:val="auto"/>
                <w:sz w:val="18"/>
                <w:szCs w:val="18"/>
              </w:rPr>
              <w:t>为坐标原点，正东向为X轴正方向，正北向为Y轴正方向</w:t>
            </w:r>
          </w:p>
          <w:p>
            <w:pPr>
              <w:adjustRightInd w:val="0"/>
              <w:snapToGrid w:val="0"/>
              <w:rPr>
                <w:rFonts w:hint="eastAsia" w:ascii="宋体" w:hAnsi="宋体" w:cs="宋体"/>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441" w:type="dxa"/>
            <w:tcBorders>
              <w:tl2br w:val="nil"/>
              <w:tr2bl w:val="nil"/>
            </w:tcBorders>
            <w:noWrap w:val="0"/>
            <w:tcMar>
              <w:left w:w="28" w:type="dxa"/>
              <w:right w:w="28" w:type="dxa"/>
            </w:tcMar>
            <w:vAlign w:val="center"/>
          </w:tcPr>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污染</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物排</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放控</w:t>
            </w:r>
          </w:p>
          <w:p>
            <w:pPr>
              <w:adjustRightInd w:val="0"/>
              <w:snapToGrid w:val="0"/>
              <w:jc w:val="center"/>
              <w:rPr>
                <w:rFonts w:hint="eastAsia" w:ascii="宋体" w:hAnsi="宋体" w:cs="宋体"/>
                <w:b/>
                <w:color w:val="auto"/>
                <w:kern w:val="0"/>
                <w:szCs w:val="21"/>
              </w:rPr>
            </w:pPr>
            <w:r>
              <w:rPr>
                <w:rFonts w:hint="eastAsia" w:ascii="宋体" w:hAnsi="宋体" w:cs="宋体"/>
                <w:b/>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b/>
                <w:color w:val="auto"/>
                <w:kern w:val="0"/>
                <w:szCs w:val="21"/>
              </w:rPr>
              <w:t>准</w:t>
            </w:r>
          </w:p>
        </w:tc>
        <w:tc>
          <w:tcPr>
            <w:tcW w:w="8846" w:type="dxa"/>
            <w:tcBorders>
              <w:tl2br w:val="nil"/>
              <w:tr2bl w:val="nil"/>
            </w:tcBorders>
            <w:noWrap w:val="0"/>
            <w:vAlign w:val="top"/>
          </w:tcPr>
          <w:p>
            <w:pPr>
              <w:spacing w:line="360" w:lineRule="auto"/>
              <w:rPr>
                <w:rFonts w:ascii="Times New Roman Regular" w:hAnsi="Times New Roman Regular" w:cs="Times New Roman Regular"/>
                <w:b/>
                <w:color w:val="auto"/>
                <w:sz w:val="21"/>
                <w:szCs w:val="21"/>
              </w:rPr>
            </w:pPr>
            <w:r>
              <w:rPr>
                <w:rFonts w:ascii="Times New Roman Regular" w:hAnsi="Times New Roman Regular" w:cs="Times New Roman Regular"/>
                <w:b/>
                <w:color w:val="auto"/>
                <w:sz w:val="21"/>
                <w:szCs w:val="21"/>
              </w:rPr>
              <w:t>污染物排放标准为：</w:t>
            </w:r>
          </w:p>
          <w:p>
            <w:pPr>
              <w:spacing w:line="360" w:lineRule="auto"/>
              <w:ind w:firstLine="422" w:firstLineChars="200"/>
              <w:rPr>
                <w:rFonts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rPr>
              <w:t>1、废气</w:t>
            </w:r>
          </w:p>
          <w:p>
            <w:pPr>
              <w:spacing w:line="360" w:lineRule="auto"/>
              <w:ind w:firstLine="420" w:firstLineChars="200"/>
            </w:pPr>
            <w:r>
              <w:rPr>
                <w:rFonts w:hint="eastAsia"/>
              </w:rPr>
              <w:t>（1）施工期扬尘排放标准</w:t>
            </w:r>
          </w:p>
          <w:p>
            <w:pPr>
              <w:widowControl/>
              <w:spacing w:line="360" w:lineRule="auto"/>
              <w:ind w:firstLine="420" w:firstLineChars="200"/>
              <w:rPr>
                <w:color w:val="000000"/>
                <w:kern w:val="0"/>
              </w:rPr>
            </w:pPr>
            <w:r>
              <w:rPr>
                <w:rFonts w:hint="eastAsia"/>
                <w:color w:val="000000"/>
                <w:kern w:val="0"/>
              </w:rPr>
              <w:t>本项目施工场地扬尘排放浓度执行《施工场地扬尘排放标准》（DB32/4437-2022）表1中浓度限值标准，具体见表3-</w:t>
            </w:r>
            <w:r>
              <w:rPr>
                <w:rFonts w:hint="eastAsia"/>
                <w:color w:val="000000"/>
                <w:kern w:val="0"/>
                <w:lang w:val="en-US" w:eastAsia="zh-CN"/>
              </w:rPr>
              <w:t>4</w:t>
            </w:r>
            <w:r>
              <w:rPr>
                <w:rFonts w:hint="eastAsia"/>
                <w:color w:val="000000"/>
                <w:kern w:val="0"/>
              </w:rPr>
              <w:t>。</w:t>
            </w:r>
          </w:p>
          <w:p>
            <w:pPr>
              <w:autoSpaceDE w:val="0"/>
              <w:autoSpaceDN w:val="0"/>
              <w:adjustRightInd w:val="0"/>
              <w:snapToGrid w:val="0"/>
              <w:jc w:val="center"/>
              <w:rPr>
                <w:b/>
                <w:bCs/>
              </w:rPr>
            </w:pPr>
            <w:r>
              <w:rPr>
                <w:rFonts w:hint="eastAsia"/>
                <w:b/>
                <w:bCs/>
              </w:rPr>
              <w:t>表3-</w:t>
            </w:r>
            <w:r>
              <w:rPr>
                <w:rFonts w:hint="eastAsia"/>
                <w:b/>
                <w:bCs/>
                <w:lang w:val="en-US" w:eastAsia="zh-CN"/>
              </w:rPr>
              <w:t>4</w:t>
            </w:r>
            <w:r>
              <w:rPr>
                <w:rFonts w:hint="eastAsia"/>
                <w:b/>
                <w:bCs/>
              </w:rPr>
              <w:t xml:space="preserve">  施工场地扬尘排放浓度限值</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widowControl/>
                    <w:jc w:val="center"/>
                    <w:rPr>
                      <w:b/>
                      <w:bCs/>
                      <w:color w:val="000000"/>
                      <w:kern w:val="0"/>
                      <w:sz w:val="20"/>
                      <w:szCs w:val="20"/>
                    </w:rPr>
                  </w:pPr>
                  <w:r>
                    <w:rPr>
                      <w:b/>
                      <w:bCs/>
                      <w:color w:val="000000"/>
                      <w:kern w:val="0"/>
                      <w:sz w:val="20"/>
                      <w:szCs w:val="20"/>
                    </w:rPr>
                    <w:t>监测项目</w:t>
                  </w:r>
                </w:p>
              </w:tc>
              <w:tc>
                <w:tcPr>
                  <w:tcW w:w="4261" w:type="dxa"/>
                  <w:noWrap w:val="0"/>
                  <w:vAlign w:val="top"/>
                </w:tcPr>
                <w:p>
                  <w:pPr>
                    <w:widowControl/>
                    <w:jc w:val="center"/>
                    <w:rPr>
                      <w:b/>
                      <w:bCs/>
                      <w:color w:val="000000"/>
                      <w:kern w:val="0"/>
                      <w:sz w:val="20"/>
                      <w:szCs w:val="20"/>
                    </w:rPr>
                  </w:pPr>
                  <w:r>
                    <w:rPr>
                      <w:b/>
                      <w:bCs/>
                      <w:color w:val="000000"/>
                      <w:kern w:val="0"/>
                      <w:sz w:val="20"/>
                      <w:szCs w:val="20"/>
                    </w:rPr>
                    <w:t>浓度限值/（μg/m</w:t>
                  </w:r>
                  <w:r>
                    <w:rPr>
                      <w:b/>
                      <w:bCs/>
                      <w:color w:val="000000"/>
                      <w:kern w:val="0"/>
                      <w:sz w:val="20"/>
                      <w:szCs w:val="20"/>
                      <w:vertAlign w:val="superscript"/>
                    </w:rPr>
                    <w:t>3</w:t>
                  </w:r>
                  <w:r>
                    <w:rPr>
                      <w:b/>
                      <w:bCs/>
                      <w:color w:val="000000"/>
                      <w:kern w:val="0"/>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widowControl/>
                    <w:jc w:val="center"/>
                    <w:rPr>
                      <w:color w:val="000000"/>
                      <w:kern w:val="0"/>
                      <w:sz w:val="20"/>
                      <w:szCs w:val="20"/>
                    </w:rPr>
                  </w:pPr>
                  <w:r>
                    <w:rPr>
                      <w:rFonts w:hint="eastAsia"/>
                      <w:color w:val="000000"/>
                      <w:kern w:val="0"/>
                      <w:sz w:val="20"/>
                      <w:szCs w:val="20"/>
                    </w:rPr>
                    <w:t>TSP</w:t>
                  </w:r>
                  <w:r>
                    <w:rPr>
                      <w:rFonts w:hint="eastAsia"/>
                      <w:color w:val="000000"/>
                      <w:kern w:val="0"/>
                      <w:sz w:val="20"/>
                      <w:szCs w:val="20"/>
                      <w:vertAlign w:val="superscript"/>
                    </w:rPr>
                    <w:t>a</w:t>
                  </w:r>
                </w:p>
              </w:tc>
              <w:tc>
                <w:tcPr>
                  <w:tcW w:w="4261" w:type="dxa"/>
                  <w:noWrap w:val="0"/>
                  <w:vAlign w:val="top"/>
                </w:tcPr>
                <w:p>
                  <w:pPr>
                    <w:widowControl/>
                    <w:jc w:val="center"/>
                    <w:rPr>
                      <w:color w:val="000000"/>
                      <w:kern w:val="0"/>
                      <w:sz w:val="20"/>
                      <w:szCs w:val="20"/>
                    </w:rPr>
                  </w:pPr>
                  <w:r>
                    <w:rPr>
                      <w:rFonts w:hint="eastAsia"/>
                      <w:color w:val="000000"/>
                      <w:kern w:val="0"/>
                      <w:sz w:val="20"/>
                      <w:szCs w:val="20"/>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1" w:type="dxa"/>
                  <w:noWrap w:val="0"/>
                  <w:vAlign w:val="top"/>
                </w:tcPr>
                <w:p>
                  <w:pPr>
                    <w:widowControl/>
                    <w:jc w:val="center"/>
                    <w:rPr>
                      <w:color w:val="000000"/>
                      <w:kern w:val="0"/>
                      <w:sz w:val="20"/>
                      <w:szCs w:val="20"/>
                    </w:rPr>
                  </w:pPr>
                  <w:r>
                    <w:rPr>
                      <w:rFonts w:hint="eastAsia"/>
                      <w:color w:val="000000"/>
                      <w:kern w:val="0"/>
                      <w:sz w:val="20"/>
                      <w:szCs w:val="20"/>
                    </w:rPr>
                    <w:t>PM</w:t>
                  </w:r>
                  <w:r>
                    <w:rPr>
                      <w:rFonts w:hint="eastAsia"/>
                      <w:color w:val="000000"/>
                      <w:kern w:val="0"/>
                      <w:sz w:val="20"/>
                      <w:szCs w:val="20"/>
                      <w:vertAlign w:val="subscript"/>
                    </w:rPr>
                    <w:t>10</w:t>
                  </w:r>
                  <w:r>
                    <w:rPr>
                      <w:rFonts w:hint="eastAsia"/>
                      <w:color w:val="000000"/>
                      <w:kern w:val="0"/>
                      <w:sz w:val="20"/>
                      <w:szCs w:val="20"/>
                      <w:vertAlign w:val="superscript"/>
                    </w:rPr>
                    <w:t>b</w:t>
                  </w:r>
                </w:p>
              </w:tc>
              <w:tc>
                <w:tcPr>
                  <w:tcW w:w="4261" w:type="dxa"/>
                  <w:noWrap w:val="0"/>
                  <w:vAlign w:val="top"/>
                </w:tcPr>
                <w:p>
                  <w:pPr>
                    <w:widowControl/>
                    <w:jc w:val="center"/>
                    <w:rPr>
                      <w:color w:val="000000"/>
                      <w:kern w:val="0"/>
                      <w:sz w:val="20"/>
                      <w:szCs w:val="20"/>
                    </w:rPr>
                  </w:pPr>
                  <w:r>
                    <w:rPr>
                      <w:rFonts w:hint="eastAsia"/>
                      <w:color w:val="000000"/>
                      <w:kern w:val="0"/>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8522" w:type="dxa"/>
                  <w:gridSpan w:val="2"/>
                  <w:noWrap w:val="0"/>
                  <w:vAlign w:val="top"/>
                </w:tcPr>
                <w:p>
                  <w:pPr>
                    <w:widowControl/>
                    <w:rPr>
                      <w:color w:val="000000"/>
                      <w:kern w:val="0"/>
                      <w:sz w:val="20"/>
                      <w:szCs w:val="20"/>
                    </w:rPr>
                  </w:pPr>
                  <w:r>
                    <w:rPr>
                      <w:color w:val="000000"/>
                      <w:kern w:val="0"/>
                      <w:sz w:val="20"/>
                      <w:szCs w:val="20"/>
                    </w:rPr>
                    <w:t>a任一监控点（TSP自动监测）自整时起依次顺延15min的总悬浮颗粒物浓度平均值不应超过的限值。根据HJ633判定设区市AQI在200~300之间且首要污染物为PM</w:t>
                  </w:r>
                  <w:r>
                    <w:rPr>
                      <w:color w:val="000000"/>
                      <w:kern w:val="0"/>
                      <w:sz w:val="20"/>
                      <w:szCs w:val="20"/>
                      <w:vertAlign w:val="subscript"/>
                    </w:rPr>
                    <w:t>10</w:t>
                  </w:r>
                  <w:r>
                    <w:rPr>
                      <w:color w:val="000000"/>
                      <w:kern w:val="0"/>
                      <w:sz w:val="20"/>
                      <w:szCs w:val="20"/>
                    </w:rPr>
                    <w:t>或PM</w:t>
                  </w:r>
                  <w:r>
                    <w:rPr>
                      <w:color w:val="000000"/>
                      <w:kern w:val="0"/>
                      <w:sz w:val="20"/>
                      <w:szCs w:val="20"/>
                      <w:vertAlign w:val="subscript"/>
                    </w:rPr>
                    <w:t>2.5</w:t>
                  </w:r>
                  <w:r>
                    <w:rPr>
                      <w:color w:val="000000"/>
                      <w:kern w:val="0"/>
                      <w:sz w:val="20"/>
                      <w:szCs w:val="20"/>
                    </w:rPr>
                    <w:t>时，TSP实测值扣除200μg/m</w:t>
                  </w:r>
                  <w:r>
                    <w:rPr>
                      <w:color w:val="000000"/>
                      <w:kern w:val="0"/>
                      <w:sz w:val="20"/>
                      <w:szCs w:val="20"/>
                      <w:vertAlign w:val="superscript"/>
                    </w:rPr>
                    <w:t>3</w:t>
                  </w:r>
                  <w:r>
                    <w:rPr>
                      <w:color w:val="000000"/>
                      <w:kern w:val="0"/>
                      <w:sz w:val="20"/>
                      <w:szCs w:val="20"/>
                    </w:rPr>
                    <w:t>后再进行评价。</w:t>
                  </w:r>
                </w:p>
                <w:p>
                  <w:pPr>
                    <w:widowControl/>
                    <w:rPr>
                      <w:color w:val="000000"/>
                      <w:kern w:val="0"/>
                      <w:sz w:val="20"/>
                      <w:szCs w:val="20"/>
                    </w:rPr>
                  </w:pPr>
                  <w:r>
                    <w:rPr>
                      <w:color w:val="000000"/>
                      <w:kern w:val="0"/>
                      <w:sz w:val="20"/>
                      <w:szCs w:val="20"/>
                    </w:rPr>
                    <w:t>b任一监控点（PM自动监测）自整时起依次顺延1h的PM</w:t>
                  </w:r>
                  <w:r>
                    <w:rPr>
                      <w:color w:val="000000"/>
                      <w:kern w:val="0"/>
                      <w:sz w:val="20"/>
                      <w:szCs w:val="20"/>
                      <w:vertAlign w:val="subscript"/>
                    </w:rPr>
                    <w:t>10</w:t>
                  </w:r>
                  <w:r>
                    <w:rPr>
                      <w:color w:val="000000"/>
                      <w:kern w:val="0"/>
                      <w:sz w:val="20"/>
                      <w:szCs w:val="20"/>
                    </w:rPr>
                    <w:t>浓度平均值与同时段所属设区市PM</w:t>
                  </w:r>
                  <w:r>
                    <w:rPr>
                      <w:color w:val="000000"/>
                      <w:kern w:val="0"/>
                      <w:sz w:val="20"/>
                      <w:szCs w:val="20"/>
                      <w:vertAlign w:val="subscript"/>
                    </w:rPr>
                    <w:t>10</w:t>
                  </w:r>
                  <w:r>
                    <w:rPr>
                      <w:color w:val="000000"/>
                      <w:kern w:val="0"/>
                      <w:sz w:val="20"/>
                      <w:szCs w:val="20"/>
                    </w:rPr>
                    <w:t>小时平均浓度的差值不应超过的限值。</w:t>
                  </w:r>
                </w:p>
              </w:tc>
            </w:tr>
          </w:tbl>
          <w:p>
            <w:pPr>
              <w:spacing w:line="360" w:lineRule="auto"/>
              <w:ind w:firstLine="420" w:firstLineChars="200"/>
            </w:pPr>
            <w:r>
              <w:rPr>
                <w:rFonts w:hint="eastAsia"/>
              </w:rPr>
              <w:t>（2）运营期废气排放标准</w:t>
            </w:r>
          </w:p>
          <w:p>
            <w:pPr>
              <w:spacing w:line="360" w:lineRule="auto"/>
              <w:ind w:firstLine="420" w:firstLineChars="200"/>
              <w:rPr>
                <w:rFonts w:ascii="宋体" w:hAnsi="宋体" w:cs="宋体"/>
                <w:kern w:val="24"/>
              </w:rPr>
            </w:pPr>
            <w:r>
              <w:rPr>
                <w:rFonts w:hint="eastAsia" w:ascii="宋体" w:hAnsi="宋体" w:cs="宋体"/>
                <w:kern w:val="24"/>
              </w:rPr>
              <w:t>①有组织废气排放标准</w:t>
            </w:r>
          </w:p>
          <w:p>
            <w:pPr>
              <w:spacing w:line="360" w:lineRule="auto"/>
              <w:ind w:firstLine="420" w:firstLineChars="200"/>
              <w:rPr>
                <w:rFonts w:hint="eastAsia"/>
                <w:snapToGrid w:val="0"/>
                <w:kern w:val="0"/>
              </w:rPr>
            </w:pPr>
            <w:r>
              <w:rPr>
                <w:rFonts w:hint="eastAsia" w:ascii="宋体" w:hAnsi="宋体" w:cs="宋体"/>
                <w:kern w:val="24"/>
              </w:rPr>
              <w:t>本项目</w:t>
            </w:r>
            <w:r>
              <w:rPr>
                <w:rFonts w:hint="eastAsia" w:ascii="宋体" w:hAnsi="宋体" w:cs="宋体"/>
                <w:kern w:val="24"/>
                <w:lang w:val="en-US" w:eastAsia="zh-CN"/>
              </w:rPr>
              <w:t>拉毛、定型、刷呢、剪毛、烫光、摇粒、蒸呢</w:t>
            </w:r>
            <w:r>
              <w:rPr>
                <w:rFonts w:hint="eastAsia" w:ascii="宋体" w:hAnsi="宋体" w:cs="宋体"/>
                <w:kern w:val="24"/>
              </w:rPr>
              <w:t>排放的</w:t>
            </w:r>
            <w:r>
              <w:rPr>
                <w:rFonts w:hint="eastAsia" w:ascii="宋体" w:hAnsi="宋体" w:cs="宋体"/>
                <w:kern w:val="24"/>
                <w:lang w:val="en-US" w:eastAsia="zh-CN"/>
              </w:rPr>
              <w:t>有组织颗粒物和</w:t>
            </w:r>
            <w:r>
              <w:rPr>
                <w:rFonts w:hint="eastAsia" w:ascii="宋体" w:hAnsi="宋体" w:cs="宋体"/>
                <w:kern w:val="24"/>
              </w:rPr>
              <w:t>非甲烷总烃执行</w:t>
            </w:r>
            <w:r>
              <w:rPr>
                <w:rFonts w:hint="eastAsia"/>
                <w:kern w:val="24"/>
              </w:rPr>
              <w:t>《大气污染物综合排放标准》（DB32/4041-2021）表1中排放限值，具体见表3-</w:t>
            </w:r>
            <w:r>
              <w:rPr>
                <w:rFonts w:hint="eastAsia"/>
                <w:kern w:val="24"/>
                <w:lang w:val="en-US" w:eastAsia="zh-CN"/>
              </w:rPr>
              <w:t>5</w:t>
            </w:r>
            <w:r>
              <w:rPr>
                <w:rFonts w:hint="eastAsia" w:ascii="宋体" w:hAnsi="宋体" w:cs="宋体"/>
                <w:kern w:val="24"/>
              </w:rPr>
              <w:t>。</w:t>
            </w:r>
          </w:p>
          <w:p>
            <w:pPr>
              <w:jc w:val="center"/>
              <w:rPr>
                <w:b/>
                <w:snapToGrid w:val="0"/>
                <w:kern w:val="0"/>
              </w:rPr>
            </w:pPr>
            <w:r>
              <w:rPr>
                <w:b/>
                <w:snapToGrid w:val="0"/>
                <w:kern w:val="0"/>
              </w:rPr>
              <w:t>表</w:t>
            </w:r>
            <w:r>
              <w:rPr>
                <w:rFonts w:hint="eastAsia"/>
                <w:b/>
                <w:snapToGrid w:val="0"/>
                <w:kern w:val="0"/>
              </w:rPr>
              <w:t>3-</w:t>
            </w:r>
            <w:r>
              <w:rPr>
                <w:rFonts w:hint="eastAsia"/>
                <w:b/>
                <w:snapToGrid w:val="0"/>
                <w:kern w:val="0"/>
                <w:lang w:val="en-US" w:eastAsia="zh-CN"/>
              </w:rPr>
              <w:t>5</w:t>
            </w:r>
            <w:r>
              <w:rPr>
                <w:b/>
                <w:snapToGrid w:val="0"/>
                <w:kern w:val="0"/>
              </w:rPr>
              <w:t xml:space="preserve">  </w:t>
            </w:r>
            <w:r>
              <w:rPr>
                <w:rFonts w:hint="eastAsia"/>
                <w:b/>
                <w:snapToGrid w:val="0"/>
                <w:kern w:val="0"/>
              </w:rPr>
              <w:t>有组织</w:t>
            </w:r>
            <w:r>
              <w:rPr>
                <w:b/>
                <w:snapToGrid w:val="0"/>
                <w:kern w:val="0"/>
              </w:rPr>
              <w:t>大气污染物排放标准</w:t>
            </w:r>
          </w:p>
          <w:tbl>
            <w:tblPr>
              <w:tblStyle w:val="9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108" w:type="dxa"/>
                <w:bottom w:w="0" w:type="dxa"/>
                <w:right w:w="108" w:type="dxa"/>
              </w:tblCellMar>
            </w:tblPr>
            <w:tblGrid>
              <w:gridCol w:w="992"/>
              <w:gridCol w:w="1130"/>
              <w:gridCol w:w="1654"/>
              <w:gridCol w:w="1268"/>
              <w:gridCol w:w="1268"/>
              <w:gridCol w:w="2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575" w:type="pct"/>
                  <w:noWrap w:val="0"/>
                  <w:vAlign w:val="center"/>
                </w:tcPr>
                <w:p>
                  <w:pPr>
                    <w:snapToGrid w:val="0"/>
                    <w:jc w:val="center"/>
                    <w:rPr>
                      <w:b/>
                      <w:sz w:val="20"/>
                      <w:szCs w:val="20"/>
                    </w:rPr>
                  </w:pPr>
                  <w:r>
                    <w:rPr>
                      <w:rFonts w:hint="eastAsia"/>
                      <w:b/>
                      <w:sz w:val="20"/>
                      <w:szCs w:val="20"/>
                    </w:rPr>
                    <w:t>排气筒编号</w:t>
                  </w:r>
                </w:p>
              </w:tc>
              <w:tc>
                <w:tcPr>
                  <w:tcW w:w="655" w:type="pct"/>
                  <w:noWrap w:val="0"/>
                  <w:vAlign w:val="center"/>
                </w:tcPr>
                <w:p>
                  <w:pPr>
                    <w:snapToGrid w:val="0"/>
                    <w:jc w:val="center"/>
                    <w:rPr>
                      <w:rFonts w:hint="eastAsia"/>
                      <w:b/>
                      <w:sz w:val="20"/>
                      <w:szCs w:val="20"/>
                    </w:rPr>
                  </w:pPr>
                  <w:r>
                    <w:rPr>
                      <w:rFonts w:hint="eastAsia"/>
                      <w:b/>
                      <w:sz w:val="20"/>
                      <w:szCs w:val="20"/>
                    </w:rPr>
                    <w:t>污染物</w:t>
                  </w:r>
                </w:p>
              </w:tc>
              <w:tc>
                <w:tcPr>
                  <w:tcW w:w="959" w:type="pct"/>
                  <w:noWrap w:val="0"/>
                  <w:vAlign w:val="center"/>
                </w:tcPr>
                <w:p>
                  <w:pPr>
                    <w:snapToGrid w:val="0"/>
                    <w:jc w:val="center"/>
                    <w:rPr>
                      <w:rFonts w:hint="eastAsia"/>
                      <w:b/>
                      <w:sz w:val="20"/>
                      <w:szCs w:val="20"/>
                    </w:rPr>
                  </w:pPr>
                  <w:r>
                    <w:rPr>
                      <w:rFonts w:hint="eastAsia"/>
                      <w:b/>
                      <w:sz w:val="20"/>
                      <w:szCs w:val="20"/>
                    </w:rPr>
                    <w:t>监控点</w:t>
                  </w:r>
                </w:p>
              </w:tc>
              <w:tc>
                <w:tcPr>
                  <w:tcW w:w="735" w:type="pct"/>
                  <w:noWrap w:val="0"/>
                  <w:vAlign w:val="center"/>
                </w:tcPr>
                <w:p>
                  <w:pPr>
                    <w:snapToGrid w:val="0"/>
                    <w:jc w:val="center"/>
                    <w:rPr>
                      <w:rFonts w:hint="eastAsia"/>
                      <w:b/>
                      <w:sz w:val="20"/>
                      <w:szCs w:val="20"/>
                    </w:rPr>
                  </w:pPr>
                  <w:bookmarkStart w:id="12" w:name="_Hlk74297920"/>
                  <w:r>
                    <w:rPr>
                      <w:rFonts w:hint="eastAsia"/>
                      <w:b/>
                      <w:sz w:val="20"/>
                      <w:szCs w:val="20"/>
                    </w:rPr>
                    <w:t>最高允许排放浓度mg/m</w:t>
                  </w:r>
                  <w:bookmarkEnd w:id="12"/>
                  <w:r>
                    <w:rPr>
                      <w:rFonts w:hint="eastAsia"/>
                      <w:b/>
                      <w:sz w:val="20"/>
                      <w:szCs w:val="20"/>
                      <w:vertAlign w:val="superscript"/>
                    </w:rPr>
                    <w:t>3</w:t>
                  </w:r>
                </w:p>
              </w:tc>
              <w:tc>
                <w:tcPr>
                  <w:tcW w:w="735" w:type="pct"/>
                  <w:noWrap w:val="0"/>
                  <w:vAlign w:val="center"/>
                </w:tcPr>
                <w:p>
                  <w:pPr>
                    <w:snapToGrid w:val="0"/>
                    <w:jc w:val="center"/>
                    <w:rPr>
                      <w:rFonts w:hint="eastAsia"/>
                      <w:b/>
                      <w:sz w:val="20"/>
                      <w:szCs w:val="20"/>
                    </w:rPr>
                  </w:pPr>
                  <w:r>
                    <w:rPr>
                      <w:rFonts w:hint="eastAsia"/>
                      <w:b/>
                      <w:sz w:val="20"/>
                      <w:szCs w:val="20"/>
                    </w:rPr>
                    <w:t>最高允许排放速率kg/h</w:t>
                  </w:r>
                </w:p>
              </w:tc>
              <w:tc>
                <w:tcPr>
                  <w:tcW w:w="1338" w:type="pct"/>
                  <w:noWrap w:val="0"/>
                  <w:vAlign w:val="center"/>
                </w:tcPr>
                <w:p>
                  <w:pPr>
                    <w:snapToGrid w:val="0"/>
                    <w:jc w:val="center"/>
                    <w:rPr>
                      <w:rFonts w:hint="eastAsia"/>
                      <w:b/>
                      <w:sz w:val="20"/>
                      <w:szCs w:val="20"/>
                    </w:rPr>
                  </w:pPr>
                  <w:r>
                    <w:rPr>
                      <w:rFonts w:hint="eastAsia"/>
                      <w:b/>
                      <w:sz w:val="20"/>
                      <w:szCs w:val="2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575" w:type="pct"/>
                  <w:vMerge w:val="restart"/>
                  <w:noWrap w:val="0"/>
                  <w:vAlign w:val="center"/>
                </w:tcPr>
                <w:p>
                  <w:pPr>
                    <w:snapToGrid w:val="0"/>
                    <w:jc w:val="center"/>
                    <w:rPr>
                      <w:rFonts w:hint="default" w:eastAsia="宋体"/>
                      <w:bCs/>
                      <w:sz w:val="20"/>
                      <w:szCs w:val="20"/>
                      <w:lang w:val="en-US" w:eastAsia="zh-CN"/>
                    </w:rPr>
                  </w:pPr>
                  <w:r>
                    <w:rPr>
                      <w:rFonts w:hint="eastAsia"/>
                      <w:bCs/>
                      <w:sz w:val="20"/>
                      <w:szCs w:val="20"/>
                      <w:lang w:val="en-US" w:eastAsia="zh-CN"/>
                    </w:rPr>
                    <w:t>DA001</w:t>
                  </w:r>
                </w:p>
              </w:tc>
              <w:tc>
                <w:tcPr>
                  <w:tcW w:w="655" w:type="pct"/>
                  <w:noWrap w:val="0"/>
                  <w:vAlign w:val="center"/>
                </w:tcPr>
                <w:p>
                  <w:pPr>
                    <w:snapToGrid w:val="0"/>
                    <w:jc w:val="center"/>
                    <w:rPr>
                      <w:rFonts w:hint="eastAsia"/>
                      <w:bCs/>
                      <w:sz w:val="20"/>
                      <w:szCs w:val="20"/>
                    </w:rPr>
                  </w:pPr>
                  <w:r>
                    <w:rPr>
                      <w:rFonts w:hint="eastAsia"/>
                      <w:bCs/>
                      <w:sz w:val="20"/>
                      <w:szCs w:val="20"/>
                    </w:rPr>
                    <w:t>颗粒物</w:t>
                  </w:r>
                </w:p>
              </w:tc>
              <w:tc>
                <w:tcPr>
                  <w:tcW w:w="959" w:type="pct"/>
                  <w:noWrap w:val="0"/>
                  <w:vAlign w:val="center"/>
                </w:tcPr>
                <w:p>
                  <w:pPr>
                    <w:snapToGrid w:val="0"/>
                    <w:jc w:val="center"/>
                    <w:rPr>
                      <w:rFonts w:hint="eastAsia" w:eastAsia="宋体"/>
                      <w:bCs/>
                      <w:sz w:val="20"/>
                      <w:szCs w:val="20"/>
                      <w:lang w:val="en-US" w:eastAsia="zh-CN"/>
                    </w:rPr>
                  </w:pPr>
                  <w:r>
                    <w:rPr>
                      <w:rFonts w:hint="eastAsia"/>
                      <w:bCs/>
                      <w:sz w:val="20"/>
                      <w:szCs w:val="20"/>
                    </w:rPr>
                    <w:t>车间或生产设施排气筒</w:t>
                  </w:r>
                  <w:r>
                    <w:rPr>
                      <w:rFonts w:hint="eastAsia"/>
                      <w:bCs/>
                      <w:sz w:val="20"/>
                      <w:szCs w:val="20"/>
                      <w:lang w:val="en-US" w:eastAsia="zh-CN"/>
                    </w:rPr>
                    <w:t>出口</w:t>
                  </w:r>
                </w:p>
              </w:tc>
              <w:tc>
                <w:tcPr>
                  <w:tcW w:w="735" w:type="pct"/>
                  <w:noWrap w:val="0"/>
                  <w:vAlign w:val="center"/>
                </w:tcPr>
                <w:p>
                  <w:pPr>
                    <w:snapToGrid w:val="0"/>
                    <w:jc w:val="center"/>
                    <w:rPr>
                      <w:rFonts w:hint="default" w:eastAsia="宋体"/>
                      <w:bCs/>
                      <w:sz w:val="20"/>
                      <w:szCs w:val="20"/>
                      <w:lang w:val="en-US" w:eastAsia="zh-CN"/>
                    </w:rPr>
                  </w:pPr>
                  <w:r>
                    <w:rPr>
                      <w:rFonts w:hint="eastAsia"/>
                      <w:bCs/>
                      <w:sz w:val="20"/>
                      <w:szCs w:val="20"/>
                      <w:lang w:val="en-US" w:eastAsia="zh-CN"/>
                    </w:rPr>
                    <w:t>20</w:t>
                  </w:r>
                </w:p>
              </w:tc>
              <w:tc>
                <w:tcPr>
                  <w:tcW w:w="735" w:type="pct"/>
                  <w:noWrap w:val="0"/>
                  <w:vAlign w:val="center"/>
                </w:tcPr>
                <w:p>
                  <w:pPr>
                    <w:snapToGrid w:val="0"/>
                    <w:jc w:val="center"/>
                    <w:rPr>
                      <w:rFonts w:hint="eastAsia" w:eastAsia="宋体"/>
                      <w:bCs/>
                      <w:sz w:val="20"/>
                      <w:szCs w:val="20"/>
                      <w:lang w:eastAsia="zh-CN"/>
                    </w:rPr>
                  </w:pPr>
                  <w:r>
                    <w:rPr>
                      <w:rFonts w:hint="eastAsia"/>
                      <w:bCs/>
                      <w:sz w:val="20"/>
                      <w:szCs w:val="20"/>
                      <w:lang w:val="en-US" w:eastAsia="zh-CN"/>
                    </w:rPr>
                    <w:t>1</w:t>
                  </w:r>
                </w:p>
              </w:tc>
              <w:tc>
                <w:tcPr>
                  <w:tcW w:w="1338" w:type="pct"/>
                  <w:vMerge w:val="restart"/>
                  <w:noWrap w:val="0"/>
                  <w:vAlign w:val="center"/>
                </w:tcPr>
                <w:p>
                  <w:pPr>
                    <w:snapToGrid w:val="0"/>
                    <w:jc w:val="center"/>
                    <w:rPr>
                      <w:rStyle w:val="148"/>
                      <w:rFonts w:hint="eastAsia"/>
                      <w:kern w:val="0"/>
                      <w:sz w:val="20"/>
                      <w:szCs w:val="20"/>
                    </w:rPr>
                  </w:pPr>
                  <w:r>
                    <w:rPr>
                      <w:rFonts w:hint="eastAsia"/>
                      <w:bCs/>
                      <w:sz w:val="20"/>
                      <w:szCs w:val="20"/>
                    </w:rPr>
                    <w:t>《大气污染物综合排放标准》（DB32/4041-2021）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cantSplit/>
                <w:trHeight w:val="340" w:hRule="atLeast"/>
                <w:jc w:val="center"/>
              </w:trPr>
              <w:tc>
                <w:tcPr>
                  <w:tcW w:w="575" w:type="pct"/>
                  <w:vMerge w:val="continue"/>
                  <w:noWrap w:val="0"/>
                  <w:vAlign w:val="center"/>
                </w:tcPr>
                <w:p>
                  <w:pPr>
                    <w:snapToGrid w:val="0"/>
                    <w:jc w:val="center"/>
                    <w:rPr>
                      <w:rFonts w:hint="eastAsia"/>
                      <w:bCs/>
                      <w:sz w:val="20"/>
                      <w:szCs w:val="20"/>
                    </w:rPr>
                  </w:pPr>
                </w:p>
              </w:tc>
              <w:tc>
                <w:tcPr>
                  <w:tcW w:w="655" w:type="pct"/>
                  <w:noWrap w:val="0"/>
                  <w:vAlign w:val="center"/>
                </w:tcPr>
                <w:p>
                  <w:pPr>
                    <w:snapToGrid w:val="0"/>
                    <w:jc w:val="center"/>
                    <w:rPr>
                      <w:rFonts w:hint="eastAsia"/>
                      <w:bCs/>
                      <w:sz w:val="20"/>
                      <w:szCs w:val="20"/>
                    </w:rPr>
                  </w:pPr>
                  <w:r>
                    <w:rPr>
                      <w:rFonts w:hint="eastAsia"/>
                      <w:bCs/>
                      <w:sz w:val="20"/>
                      <w:szCs w:val="20"/>
                    </w:rPr>
                    <w:t>非甲烷总烃</w:t>
                  </w:r>
                </w:p>
              </w:tc>
              <w:tc>
                <w:tcPr>
                  <w:tcW w:w="959" w:type="pct"/>
                  <w:noWrap w:val="0"/>
                  <w:vAlign w:val="center"/>
                </w:tcPr>
                <w:p>
                  <w:pPr>
                    <w:snapToGrid w:val="0"/>
                    <w:jc w:val="center"/>
                    <w:rPr>
                      <w:rFonts w:hint="eastAsia"/>
                      <w:bCs/>
                      <w:sz w:val="20"/>
                      <w:szCs w:val="20"/>
                    </w:rPr>
                  </w:pPr>
                  <w:r>
                    <w:rPr>
                      <w:rFonts w:hint="eastAsia"/>
                      <w:bCs/>
                      <w:sz w:val="20"/>
                      <w:szCs w:val="20"/>
                    </w:rPr>
                    <w:t>车间排气筒出口或生产设施排气筒出口</w:t>
                  </w:r>
                </w:p>
              </w:tc>
              <w:tc>
                <w:tcPr>
                  <w:tcW w:w="735" w:type="pct"/>
                  <w:noWrap w:val="0"/>
                  <w:vAlign w:val="center"/>
                </w:tcPr>
                <w:p>
                  <w:pPr>
                    <w:snapToGrid w:val="0"/>
                    <w:jc w:val="center"/>
                    <w:rPr>
                      <w:rFonts w:hint="eastAsia"/>
                      <w:bCs/>
                      <w:sz w:val="20"/>
                      <w:szCs w:val="20"/>
                    </w:rPr>
                  </w:pPr>
                  <w:r>
                    <w:rPr>
                      <w:rFonts w:hint="eastAsia"/>
                      <w:bCs/>
                      <w:sz w:val="20"/>
                      <w:szCs w:val="20"/>
                    </w:rPr>
                    <w:t>60</w:t>
                  </w:r>
                </w:p>
              </w:tc>
              <w:tc>
                <w:tcPr>
                  <w:tcW w:w="735" w:type="pct"/>
                  <w:noWrap w:val="0"/>
                  <w:vAlign w:val="center"/>
                </w:tcPr>
                <w:p>
                  <w:pPr>
                    <w:snapToGrid w:val="0"/>
                    <w:jc w:val="center"/>
                    <w:rPr>
                      <w:rFonts w:hint="eastAsia"/>
                      <w:bCs/>
                      <w:sz w:val="20"/>
                      <w:szCs w:val="20"/>
                    </w:rPr>
                  </w:pPr>
                  <w:r>
                    <w:rPr>
                      <w:rFonts w:hint="eastAsia"/>
                      <w:bCs/>
                      <w:sz w:val="20"/>
                      <w:szCs w:val="20"/>
                    </w:rPr>
                    <w:t>3</w:t>
                  </w:r>
                </w:p>
              </w:tc>
              <w:tc>
                <w:tcPr>
                  <w:tcW w:w="1338" w:type="pct"/>
                  <w:vMerge w:val="continue"/>
                  <w:noWrap w:val="0"/>
                  <w:vAlign w:val="center"/>
                </w:tcPr>
                <w:p>
                  <w:pPr>
                    <w:snapToGrid w:val="0"/>
                    <w:jc w:val="center"/>
                    <w:rPr>
                      <w:rStyle w:val="148"/>
                      <w:rFonts w:hint="eastAsia"/>
                      <w:kern w:val="0"/>
                      <w:sz w:val="20"/>
                      <w:szCs w:val="20"/>
                    </w:rPr>
                  </w:pPr>
                </w:p>
              </w:tc>
            </w:tr>
          </w:tbl>
          <w:p>
            <w:pPr>
              <w:spacing w:line="360" w:lineRule="auto"/>
              <w:ind w:firstLine="420" w:firstLineChars="200"/>
              <w:rPr>
                <w:rFonts w:hint="eastAsia" w:ascii="Times New Roman Regular" w:hAnsi="Times New Roman Regular" w:cs="Times New Roman Regular"/>
                <w:color w:val="auto"/>
                <w:sz w:val="21"/>
                <w:szCs w:val="21"/>
              </w:rPr>
            </w:pPr>
            <w:r>
              <w:rPr>
                <w:rFonts w:hint="eastAsia" w:ascii="宋体" w:hAnsi="宋体" w:cs="宋体"/>
                <w:kern w:val="24"/>
              </w:rPr>
              <w:t>生物质锅炉</w:t>
            </w:r>
            <w:r>
              <w:rPr>
                <w:rFonts w:hint="eastAsia" w:ascii="宋体" w:hAnsi="宋体" w:cs="宋体"/>
                <w:kern w:val="24"/>
                <w:lang w:val="en-US" w:eastAsia="zh-CN"/>
              </w:rPr>
              <w:t>和导热油炉（生物质燃料）</w:t>
            </w:r>
            <w:r>
              <w:rPr>
                <w:rFonts w:hint="eastAsia" w:ascii="宋体" w:hAnsi="宋体" w:cs="宋体"/>
                <w:kern w:val="24"/>
              </w:rPr>
              <w:t>排放的颗粒物、二氧化硫、氮氧化物</w:t>
            </w:r>
            <w:r>
              <w:rPr>
                <w:rFonts w:hint="eastAsia" w:ascii="宋体" w:hAnsi="宋体" w:cs="宋体"/>
                <w:kern w:val="24"/>
                <w:lang w:eastAsia="zh-CN"/>
              </w:rPr>
              <w:t>、</w:t>
            </w:r>
            <w:r>
              <w:rPr>
                <w:rFonts w:hint="eastAsia" w:ascii="宋体" w:hAnsi="宋体" w:cs="宋体"/>
                <w:kern w:val="24"/>
                <w:lang w:val="en-US" w:eastAsia="zh-CN"/>
              </w:rPr>
              <w:t>汞及其化合物</w:t>
            </w:r>
            <w:r>
              <w:rPr>
                <w:rFonts w:hint="eastAsia" w:ascii="宋体" w:hAnsi="宋体" w:cs="宋体"/>
                <w:kern w:val="24"/>
              </w:rPr>
              <w:t>执行</w:t>
            </w:r>
            <w:r>
              <w:rPr>
                <w:kern w:val="24"/>
              </w:rPr>
              <w:t>《</w:t>
            </w:r>
            <w:r>
              <w:rPr>
                <w:rFonts w:hint="eastAsia"/>
                <w:kern w:val="24"/>
              </w:rPr>
              <w:t>锅炉</w:t>
            </w:r>
            <w:r>
              <w:rPr>
                <w:kern w:val="24"/>
              </w:rPr>
              <w:t>大气污染物排放标准》（DB3</w:t>
            </w:r>
            <w:r>
              <w:rPr>
                <w:rFonts w:hint="eastAsia"/>
                <w:kern w:val="24"/>
              </w:rPr>
              <w:t>2/4385-2022</w:t>
            </w:r>
            <w:r>
              <w:rPr>
                <w:kern w:val="24"/>
              </w:rPr>
              <w:t>）</w:t>
            </w:r>
            <w:r>
              <w:rPr>
                <w:rFonts w:hint="eastAsia"/>
                <w:kern w:val="24"/>
              </w:rPr>
              <w:t>表1中城市建成区燃生物质锅炉排放浓度限值，具体见表3-</w:t>
            </w:r>
            <w:r>
              <w:rPr>
                <w:rFonts w:hint="eastAsia"/>
                <w:kern w:val="24"/>
                <w:lang w:val="en-US" w:eastAsia="zh-CN"/>
              </w:rPr>
              <w:t>6</w:t>
            </w:r>
            <w:r>
              <w:rPr>
                <w:rFonts w:hint="eastAsia"/>
                <w:kern w:val="24"/>
              </w:rPr>
              <w:t>。</w:t>
            </w:r>
          </w:p>
          <w:p>
            <w:pPr>
              <w:jc w:val="center"/>
              <w:rPr>
                <w:b/>
                <w:snapToGrid w:val="0"/>
                <w:kern w:val="0"/>
              </w:rPr>
            </w:pPr>
            <w:r>
              <w:rPr>
                <w:rFonts w:hint="eastAsia"/>
                <w:b/>
                <w:snapToGrid w:val="0"/>
                <w:kern w:val="0"/>
              </w:rPr>
              <w:t>表3-</w:t>
            </w:r>
            <w:r>
              <w:rPr>
                <w:rFonts w:hint="eastAsia"/>
                <w:b/>
                <w:snapToGrid w:val="0"/>
                <w:kern w:val="0"/>
                <w:lang w:val="en-US" w:eastAsia="zh-CN"/>
              </w:rPr>
              <w:t>6</w:t>
            </w:r>
            <w:r>
              <w:rPr>
                <w:rFonts w:hint="eastAsia"/>
                <w:b/>
                <w:snapToGrid w:val="0"/>
                <w:kern w:val="0"/>
              </w:rPr>
              <w:t xml:space="preserve">  燃生物质锅炉废气污染物排放标准</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727"/>
              <w:gridCol w:w="1551"/>
              <w:gridCol w:w="1058"/>
              <w:gridCol w:w="1338"/>
              <w:gridCol w:w="19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noWrap w:val="0"/>
                  <w:vAlign w:val="center"/>
                </w:tcPr>
                <w:p>
                  <w:pPr>
                    <w:adjustRightInd w:val="0"/>
                    <w:snapToGrid w:val="0"/>
                    <w:jc w:val="center"/>
                    <w:rPr>
                      <w:b/>
                      <w:bCs/>
                      <w:sz w:val="20"/>
                      <w:szCs w:val="20"/>
                    </w:rPr>
                  </w:pPr>
                  <w:r>
                    <w:rPr>
                      <w:rFonts w:hint="eastAsia"/>
                      <w:b/>
                      <w:bCs/>
                      <w:sz w:val="20"/>
                      <w:szCs w:val="20"/>
                    </w:rPr>
                    <w:t>污染物</w:t>
                  </w:r>
                </w:p>
              </w:tc>
              <w:tc>
                <w:tcPr>
                  <w:tcW w:w="1727" w:type="dxa"/>
                  <w:noWrap w:val="0"/>
                  <w:vAlign w:val="center"/>
                </w:tcPr>
                <w:p>
                  <w:pPr>
                    <w:adjustRightInd w:val="0"/>
                    <w:snapToGrid w:val="0"/>
                    <w:jc w:val="center"/>
                    <w:rPr>
                      <w:b/>
                      <w:bCs/>
                      <w:sz w:val="20"/>
                      <w:szCs w:val="20"/>
                    </w:rPr>
                  </w:pPr>
                  <w:r>
                    <w:rPr>
                      <w:rFonts w:hint="eastAsia"/>
                      <w:b/>
                      <w:bCs/>
                      <w:sz w:val="20"/>
                      <w:szCs w:val="20"/>
                    </w:rPr>
                    <w:t>最高允许排放浓度(mg/m</w:t>
                  </w:r>
                  <w:r>
                    <w:rPr>
                      <w:rFonts w:hint="eastAsia"/>
                      <w:b/>
                      <w:bCs/>
                      <w:sz w:val="20"/>
                      <w:szCs w:val="20"/>
                      <w:vertAlign w:val="superscript"/>
                    </w:rPr>
                    <w:t>3</w:t>
                  </w:r>
                  <w:r>
                    <w:rPr>
                      <w:rFonts w:hint="eastAsia"/>
                      <w:b/>
                      <w:bCs/>
                      <w:sz w:val="20"/>
                      <w:szCs w:val="20"/>
                    </w:rPr>
                    <w:t>)</w:t>
                  </w:r>
                </w:p>
              </w:tc>
              <w:tc>
                <w:tcPr>
                  <w:tcW w:w="1552" w:type="dxa"/>
                  <w:noWrap w:val="0"/>
                  <w:vAlign w:val="center"/>
                </w:tcPr>
                <w:p>
                  <w:pPr>
                    <w:adjustRightInd w:val="0"/>
                    <w:snapToGrid w:val="0"/>
                    <w:jc w:val="center"/>
                    <w:rPr>
                      <w:b/>
                      <w:bCs/>
                      <w:sz w:val="20"/>
                      <w:szCs w:val="20"/>
                    </w:rPr>
                  </w:pPr>
                  <w:r>
                    <w:rPr>
                      <w:rFonts w:hint="eastAsia"/>
                      <w:b/>
                      <w:bCs/>
                      <w:sz w:val="20"/>
                      <w:szCs w:val="20"/>
                    </w:rPr>
                    <w:t>最高允许排放速率(kg/h)</w:t>
                  </w:r>
                </w:p>
              </w:tc>
              <w:tc>
                <w:tcPr>
                  <w:tcW w:w="1058" w:type="dxa"/>
                  <w:noWrap w:val="0"/>
                  <w:vAlign w:val="center"/>
                </w:tcPr>
                <w:p>
                  <w:pPr>
                    <w:adjustRightInd w:val="0"/>
                    <w:snapToGrid w:val="0"/>
                    <w:jc w:val="center"/>
                    <w:rPr>
                      <w:b/>
                      <w:bCs/>
                      <w:sz w:val="20"/>
                      <w:szCs w:val="20"/>
                    </w:rPr>
                  </w:pPr>
                  <w:r>
                    <w:rPr>
                      <w:rFonts w:hint="eastAsia"/>
                      <w:b/>
                      <w:bCs/>
                      <w:sz w:val="20"/>
                      <w:szCs w:val="20"/>
                    </w:rPr>
                    <w:t>排气筒高度(m)</w:t>
                  </w:r>
                </w:p>
              </w:tc>
              <w:tc>
                <w:tcPr>
                  <w:tcW w:w="775" w:type="pct"/>
                  <w:noWrap w:val="0"/>
                  <w:vAlign w:val="center"/>
                </w:tcPr>
                <w:p>
                  <w:pPr>
                    <w:adjustRightInd w:val="0"/>
                    <w:snapToGrid w:val="0"/>
                    <w:jc w:val="center"/>
                    <w:rPr>
                      <w:rFonts w:hint="eastAsia" w:eastAsia="宋体"/>
                      <w:b/>
                      <w:bCs/>
                      <w:sz w:val="20"/>
                      <w:szCs w:val="20"/>
                      <w:lang w:val="en-US" w:eastAsia="zh-CN"/>
                    </w:rPr>
                  </w:pPr>
                  <w:r>
                    <w:rPr>
                      <w:rFonts w:hint="eastAsia"/>
                      <w:b/>
                      <w:bCs/>
                      <w:sz w:val="20"/>
                      <w:szCs w:val="20"/>
                      <w:lang w:val="en-US" w:eastAsia="zh-CN"/>
                    </w:rPr>
                    <w:t>监控点</w:t>
                  </w:r>
                </w:p>
              </w:tc>
              <w:tc>
                <w:tcPr>
                  <w:tcW w:w="1122" w:type="pct"/>
                  <w:shd w:val="clear" w:color="auto" w:fill="auto"/>
                  <w:noWrap w:val="0"/>
                  <w:vAlign w:val="center"/>
                </w:tcPr>
                <w:p>
                  <w:pPr>
                    <w:adjustRightInd w:val="0"/>
                    <w:snapToGrid w:val="0"/>
                    <w:jc w:val="center"/>
                    <w:rPr>
                      <w:rFonts w:hint="eastAsia" w:ascii="Times New Roman" w:hAnsi="Times New Roman" w:eastAsia="宋体" w:cs="Times New Roman"/>
                      <w:b/>
                      <w:bCs/>
                      <w:kern w:val="2"/>
                      <w:sz w:val="20"/>
                      <w:szCs w:val="20"/>
                      <w:lang w:val="en-US" w:eastAsia="zh-CN" w:bidi="ar-SA"/>
                    </w:rPr>
                  </w:pPr>
                  <w:r>
                    <w:rPr>
                      <w:rFonts w:hint="eastAsia"/>
                      <w:b/>
                      <w:bCs/>
                      <w:sz w:val="20"/>
                      <w:szCs w:val="2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noWrap w:val="0"/>
                  <w:vAlign w:val="center"/>
                </w:tcPr>
                <w:p>
                  <w:pPr>
                    <w:adjustRightInd w:val="0"/>
                    <w:snapToGrid w:val="0"/>
                    <w:jc w:val="center"/>
                    <w:rPr>
                      <w:sz w:val="20"/>
                      <w:szCs w:val="20"/>
                    </w:rPr>
                  </w:pPr>
                  <w:r>
                    <w:rPr>
                      <w:rFonts w:hint="eastAsia"/>
                      <w:sz w:val="20"/>
                      <w:szCs w:val="20"/>
                    </w:rPr>
                    <w:t>颗粒物</w:t>
                  </w:r>
                </w:p>
              </w:tc>
              <w:tc>
                <w:tcPr>
                  <w:tcW w:w="1727" w:type="dxa"/>
                  <w:noWrap w:val="0"/>
                  <w:vAlign w:val="center"/>
                </w:tcPr>
                <w:p>
                  <w:pPr>
                    <w:adjustRightInd w:val="0"/>
                    <w:snapToGrid w:val="0"/>
                    <w:jc w:val="center"/>
                    <w:rPr>
                      <w:sz w:val="20"/>
                      <w:szCs w:val="20"/>
                    </w:rPr>
                  </w:pPr>
                  <w:r>
                    <w:rPr>
                      <w:rFonts w:hint="eastAsia"/>
                      <w:sz w:val="20"/>
                      <w:szCs w:val="20"/>
                    </w:rPr>
                    <w:t>1</w:t>
                  </w:r>
                  <w:r>
                    <w:rPr>
                      <w:sz w:val="20"/>
                      <w:szCs w:val="20"/>
                    </w:rPr>
                    <w:t>0</w:t>
                  </w:r>
                </w:p>
              </w:tc>
              <w:tc>
                <w:tcPr>
                  <w:tcW w:w="1552" w:type="dxa"/>
                  <w:noWrap w:val="0"/>
                  <w:vAlign w:val="center"/>
                </w:tcPr>
                <w:p>
                  <w:pPr>
                    <w:adjustRightInd w:val="0"/>
                    <w:snapToGrid w:val="0"/>
                    <w:jc w:val="center"/>
                    <w:rPr>
                      <w:sz w:val="20"/>
                      <w:szCs w:val="20"/>
                    </w:rPr>
                  </w:pPr>
                  <w:r>
                    <w:rPr>
                      <w:rFonts w:hint="eastAsia"/>
                      <w:sz w:val="20"/>
                      <w:szCs w:val="20"/>
                    </w:rPr>
                    <w:t>/</w:t>
                  </w:r>
                </w:p>
              </w:tc>
              <w:tc>
                <w:tcPr>
                  <w:tcW w:w="1058" w:type="dxa"/>
                  <w:vMerge w:val="restart"/>
                  <w:noWrap w:val="0"/>
                  <w:vAlign w:val="center"/>
                </w:tcPr>
                <w:p>
                  <w:pPr>
                    <w:adjustRightInd w:val="0"/>
                    <w:snapToGrid w:val="0"/>
                    <w:jc w:val="center"/>
                    <w:rPr>
                      <w:sz w:val="20"/>
                      <w:szCs w:val="20"/>
                    </w:rPr>
                  </w:pPr>
                  <w:r>
                    <w:rPr>
                      <w:rFonts w:hint="eastAsia"/>
                      <w:sz w:val="20"/>
                      <w:szCs w:val="20"/>
                      <w:lang w:val="en-US" w:eastAsia="zh-CN"/>
                    </w:rPr>
                    <w:t>35</w:t>
                  </w:r>
                  <w:r>
                    <w:rPr>
                      <w:rFonts w:hint="eastAsia"/>
                      <w:sz w:val="20"/>
                      <w:szCs w:val="20"/>
                    </w:rPr>
                    <w:t>m</w:t>
                  </w:r>
                </w:p>
              </w:tc>
              <w:tc>
                <w:tcPr>
                  <w:tcW w:w="775" w:type="pct"/>
                  <w:vMerge w:val="restart"/>
                  <w:noWrap w:val="0"/>
                  <w:vAlign w:val="center"/>
                </w:tcPr>
                <w:p>
                  <w:pPr>
                    <w:adjustRightInd w:val="0"/>
                    <w:snapToGrid w:val="0"/>
                    <w:jc w:val="center"/>
                    <w:rPr>
                      <w:rFonts w:hint="eastAsia" w:eastAsia="宋体"/>
                      <w:sz w:val="20"/>
                      <w:szCs w:val="20"/>
                      <w:lang w:val="en-US" w:eastAsia="zh-CN"/>
                    </w:rPr>
                  </w:pPr>
                  <w:r>
                    <w:rPr>
                      <w:rFonts w:hint="eastAsia"/>
                      <w:bCs/>
                      <w:sz w:val="20"/>
                      <w:szCs w:val="20"/>
                      <w:lang w:val="en-US" w:eastAsia="zh-CN"/>
                    </w:rPr>
                    <w:t>生产设施</w:t>
                  </w:r>
                  <w:r>
                    <w:rPr>
                      <w:rFonts w:hint="eastAsia"/>
                      <w:bCs/>
                      <w:sz w:val="20"/>
                      <w:szCs w:val="20"/>
                    </w:rPr>
                    <w:t>排气筒</w:t>
                  </w:r>
                  <w:r>
                    <w:rPr>
                      <w:rFonts w:hint="eastAsia"/>
                      <w:bCs/>
                      <w:sz w:val="20"/>
                      <w:szCs w:val="20"/>
                      <w:lang w:val="en-US" w:eastAsia="zh-CN"/>
                    </w:rPr>
                    <w:t>出口</w:t>
                  </w:r>
                </w:p>
              </w:tc>
              <w:tc>
                <w:tcPr>
                  <w:tcW w:w="1122" w:type="pct"/>
                  <w:vMerge w:val="restart"/>
                  <w:shd w:val="clear" w:color="auto" w:fill="auto"/>
                  <w:noWrap w:val="0"/>
                  <w:vAlign w:val="center"/>
                </w:tcPr>
                <w:p>
                  <w:pPr>
                    <w:adjustRightInd w:val="0"/>
                    <w:snapToGrid w:val="0"/>
                    <w:jc w:val="center"/>
                    <w:rPr>
                      <w:rFonts w:hint="eastAsia" w:ascii="Times New Roman" w:hAnsi="Times New Roman" w:eastAsia="宋体" w:cs="Times New Roman"/>
                      <w:kern w:val="2"/>
                      <w:sz w:val="20"/>
                      <w:szCs w:val="20"/>
                      <w:lang w:val="en-US" w:eastAsia="zh-CN" w:bidi="ar-SA"/>
                    </w:rPr>
                  </w:pPr>
                  <w:r>
                    <w:rPr>
                      <w:rFonts w:hint="eastAsia"/>
                      <w:sz w:val="20"/>
                      <w:szCs w:val="20"/>
                    </w:rPr>
                    <w:t>《锅炉大气污染物排放标准》（DB32/4385-2022）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noWrap w:val="0"/>
                  <w:vAlign w:val="center"/>
                </w:tcPr>
                <w:p>
                  <w:pPr>
                    <w:adjustRightInd w:val="0"/>
                    <w:snapToGrid w:val="0"/>
                    <w:jc w:val="center"/>
                    <w:rPr>
                      <w:sz w:val="20"/>
                      <w:szCs w:val="20"/>
                    </w:rPr>
                  </w:pPr>
                  <w:r>
                    <w:rPr>
                      <w:rFonts w:hint="eastAsia"/>
                      <w:sz w:val="20"/>
                      <w:szCs w:val="20"/>
                    </w:rPr>
                    <w:t>SO</w:t>
                  </w:r>
                  <w:r>
                    <w:rPr>
                      <w:rFonts w:hint="eastAsia"/>
                      <w:sz w:val="20"/>
                      <w:szCs w:val="20"/>
                      <w:vertAlign w:val="subscript"/>
                    </w:rPr>
                    <w:t>2</w:t>
                  </w:r>
                </w:p>
              </w:tc>
              <w:tc>
                <w:tcPr>
                  <w:tcW w:w="1727" w:type="dxa"/>
                  <w:noWrap w:val="0"/>
                  <w:vAlign w:val="center"/>
                </w:tcPr>
                <w:p>
                  <w:pPr>
                    <w:adjustRightInd w:val="0"/>
                    <w:snapToGrid w:val="0"/>
                    <w:jc w:val="center"/>
                    <w:rPr>
                      <w:sz w:val="20"/>
                      <w:szCs w:val="20"/>
                    </w:rPr>
                  </w:pPr>
                  <w:r>
                    <w:rPr>
                      <w:rFonts w:hint="eastAsia"/>
                      <w:sz w:val="20"/>
                      <w:szCs w:val="20"/>
                    </w:rPr>
                    <w:t>3</w:t>
                  </w:r>
                  <w:r>
                    <w:rPr>
                      <w:sz w:val="20"/>
                      <w:szCs w:val="20"/>
                    </w:rPr>
                    <w:t>5</w:t>
                  </w:r>
                </w:p>
              </w:tc>
              <w:tc>
                <w:tcPr>
                  <w:tcW w:w="1552" w:type="dxa"/>
                  <w:noWrap w:val="0"/>
                  <w:vAlign w:val="center"/>
                </w:tcPr>
                <w:p>
                  <w:pPr>
                    <w:adjustRightInd w:val="0"/>
                    <w:snapToGrid w:val="0"/>
                    <w:jc w:val="center"/>
                    <w:rPr>
                      <w:sz w:val="20"/>
                      <w:szCs w:val="20"/>
                    </w:rPr>
                  </w:pPr>
                  <w:r>
                    <w:rPr>
                      <w:rFonts w:hint="eastAsia"/>
                      <w:sz w:val="20"/>
                      <w:szCs w:val="20"/>
                    </w:rPr>
                    <w:t>/</w:t>
                  </w:r>
                </w:p>
              </w:tc>
              <w:tc>
                <w:tcPr>
                  <w:tcW w:w="1058" w:type="dxa"/>
                  <w:vMerge w:val="continue"/>
                  <w:noWrap w:val="0"/>
                  <w:vAlign w:val="center"/>
                </w:tcPr>
                <w:p>
                  <w:pPr>
                    <w:adjustRightInd w:val="0"/>
                    <w:snapToGrid w:val="0"/>
                    <w:jc w:val="center"/>
                    <w:rPr>
                      <w:sz w:val="20"/>
                      <w:szCs w:val="20"/>
                    </w:rPr>
                  </w:pPr>
                </w:p>
              </w:tc>
              <w:tc>
                <w:tcPr>
                  <w:tcW w:w="775" w:type="pct"/>
                  <w:vMerge w:val="continue"/>
                  <w:noWrap w:val="0"/>
                  <w:vAlign w:val="center"/>
                </w:tcPr>
                <w:p>
                  <w:pPr>
                    <w:adjustRightInd w:val="0"/>
                    <w:snapToGrid w:val="0"/>
                    <w:jc w:val="center"/>
                    <w:rPr>
                      <w:sz w:val="20"/>
                      <w:szCs w:val="20"/>
                    </w:rPr>
                  </w:pPr>
                </w:p>
              </w:tc>
              <w:tc>
                <w:tcPr>
                  <w:tcW w:w="1122" w:type="pct"/>
                  <w:vMerge w:val="continue"/>
                  <w:noWrap w:val="0"/>
                  <w:vAlign w:val="center"/>
                </w:tcPr>
                <w:p>
                  <w:pPr>
                    <w:adjustRightInd w:val="0"/>
                    <w:snapToGrid w:val="0"/>
                    <w:jc w:val="center"/>
                    <w:rPr>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noWrap w:val="0"/>
                  <w:vAlign w:val="center"/>
                </w:tcPr>
                <w:p>
                  <w:pPr>
                    <w:adjustRightInd w:val="0"/>
                    <w:snapToGrid w:val="0"/>
                    <w:jc w:val="center"/>
                    <w:rPr>
                      <w:sz w:val="20"/>
                      <w:szCs w:val="20"/>
                    </w:rPr>
                  </w:pPr>
                  <w:r>
                    <w:rPr>
                      <w:rFonts w:hint="eastAsia"/>
                      <w:sz w:val="20"/>
                      <w:szCs w:val="20"/>
                    </w:rPr>
                    <w:t>NO</w:t>
                  </w:r>
                  <w:r>
                    <w:rPr>
                      <w:rFonts w:hint="eastAsia"/>
                      <w:sz w:val="20"/>
                      <w:szCs w:val="20"/>
                      <w:vertAlign w:val="subscript"/>
                    </w:rPr>
                    <w:t>X</w:t>
                  </w:r>
                </w:p>
              </w:tc>
              <w:tc>
                <w:tcPr>
                  <w:tcW w:w="1727" w:type="dxa"/>
                  <w:noWrap w:val="0"/>
                  <w:vAlign w:val="center"/>
                </w:tcPr>
                <w:p>
                  <w:pPr>
                    <w:adjustRightInd w:val="0"/>
                    <w:snapToGrid w:val="0"/>
                    <w:jc w:val="center"/>
                    <w:rPr>
                      <w:sz w:val="20"/>
                      <w:szCs w:val="20"/>
                    </w:rPr>
                  </w:pPr>
                  <w:r>
                    <w:rPr>
                      <w:rFonts w:hint="eastAsia"/>
                      <w:sz w:val="20"/>
                      <w:szCs w:val="20"/>
                    </w:rPr>
                    <w:t>5</w:t>
                  </w:r>
                  <w:r>
                    <w:rPr>
                      <w:sz w:val="20"/>
                      <w:szCs w:val="20"/>
                    </w:rPr>
                    <w:t>0</w:t>
                  </w:r>
                </w:p>
              </w:tc>
              <w:tc>
                <w:tcPr>
                  <w:tcW w:w="1552" w:type="dxa"/>
                  <w:noWrap w:val="0"/>
                  <w:vAlign w:val="center"/>
                </w:tcPr>
                <w:p>
                  <w:pPr>
                    <w:adjustRightInd w:val="0"/>
                    <w:snapToGrid w:val="0"/>
                    <w:jc w:val="center"/>
                    <w:rPr>
                      <w:sz w:val="20"/>
                      <w:szCs w:val="20"/>
                    </w:rPr>
                  </w:pPr>
                  <w:r>
                    <w:rPr>
                      <w:rFonts w:hint="eastAsia"/>
                      <w:sz w:val="20"/>
                      <w:szCs w:val="20"/>
                    </w:rPr>
                    <w:t>/</w:t>
                  </w:r>
                </w:p>
              </w:tc>
              <w:tc>
                <w:tcPr>
                  <w:tcW w:w="1058" w:type="dxa"/>
                  <w:vMerge w:val="continue"/>
                  <w:noWrap w:val="0"/>
                  <w:vAlign w:val="center"/>
                </w:tcPr>
                <w:p>
                  <w:pPr>
                    <w:adjustRightInd w:val="0"/>
                    <w:snapToGrid w:val="0"/>
                    <w:jc w:val="center"/>
                    <w:rPr>
                      <w:sz w:val="20"/>
                      <w:szCs w:val="20"/>
                    </w:rPr>
                  </w:pPr>
                </w:p>
              </w:tc>
              <w:tc>
                <w:tcPr>
                  <w:tcW w:w="775" w:type="pct"/>
                  <w:vMerge w:val="continue"/>
                  <w:noWrap w:val="0"/>
                  <w:vAlign w:val="center"/>
                </w:tcPr>
                <w:p>
                  <w:pPr>
                    <w:adjustRightInd w:val="0"/>
                    <w:snapToGrid w:val="0"/>
                    <w:jc w:val="center"/>
                    <w:rPr>
                      <w:sz w:val="20"/>
                      <w:szCs w:val="20"/>
                    </w:rPr>
                  </w:pPr>
                </w:p>
              </w:tc>
              <w:tc>
                <w:tcPr>
                  <w:tcW w:w="1122" w:type="pct"/>
                  <w:vMerge w:val="continue"/>
                  <w:noWrap w:val="0"/>
                  <w:vAlign w:val="center"/>
                </w:tcPr>
                <w:p>
                  <w:pPr>
                    <w:adjustRightInd w:val="0"/>
                    <w:snapToGrid w:val="0"/>
                    <w:jc w:val="center"/>
                    <w:rPr>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noWrap w:val="0"/>
                  <w:vAlign w:val="center"/>
                </w:tcPr>
                <w:p>
                  <w:pPr>
                    <w:adjustRightInd w:val="0"/>
                    <w:snapToGrid w:val="0"/>
                    <w:jc w:val="center"/>
                    <w:rPr>
                      <w:rFonts w:hint="default" w:eastAsia="宋体"/>
                      <w:sz w:val="20"/>
                      <w:szCs w:val="20"/>
                      <w:highlight w:val="yellow"/>
                      <w:lang w:val="en-US" w:eastAsia="zh-CN"/>
                    </w:rPr>
                  </w:pPr>
                  <w:r>
                    <w:rPr>
                      <w:rFonts w:hint="eastAsia"/>
                      <w:sz w:val="20"/>
                      <w:szCs w:val="20"/>
                      <w:highlight w:val="none"/>
                      <w:lang w:val="en-US" w:eastAsia="zh-CN"/>
                    </w:rPr>
                    <w:t>汞及其化合物</w:t>
                  </w:r>
                </w:p>
              </w:tc>
              <w:tc>
                <w:tcPr>
                  <w:tcW w:w="1727" w:type="dxa"/>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0.03</w:t>
                  </w:r>
                </w:p>
              </w:tc>
              <w:tc>
                <w:tcPr>
                  <w:tcW w:w="1552" w:type="dxa"/>
                  <w:noWrap w:val="0"/>
                  <w:vAlign w:val="center"/>
                </w:tcPr>
                <w:p>
                  <w:pPr>
                    <w:adjustRightInd w:val="0"/>
                    <w:snapToGrid w:val="0"/>
                    <w:jc w:val="center"/>
                    <w:rPr>
                      <w:rFonts w:hint="eastAsia" w:eastAsia="宋体"/>
                      <w:sz w:val="20"/>
                      <w:szCs w:val="20"/>
                      <w:lang w:val="en-US" w:eastAsia="zh-CN"/>
                    </w:rPr>
                  </w:pPr>
                  <w:r>
                    <w:rPr>
                      <w:rFonts w:hint="eastAsia"/>
                      <w:sz w:val="20"/>
                      <w:szCs w:val="20"/>
                      <w:lang w:val="en-US" w:eastAsia="zh-CN"/>
                    </w:rPr>
                    <w:t>/</w:t>
                  </w:r>
                </w:p>
              </w:tc>
              <w:tc>
                <w:tcPr>
                  <w:tcW w:w="1058" w:type="dxa"/>
                  <w:vMerge w:val="continue"/>
                  <w:noWrap w:val="0"/>
                  <w:vAlign w:val="center"/>
                </w:tcPr>
                <w:p>
                  <w:pPr>
                    <w:adjustRightInd w:val="0"/>
                    <w:snapToGrid w:val="0"/>
                    <w:jc w:val="center"/>
                    <w:rPr>
                      <w:sz w:val="20"/>
                      <w:szCs w:val="20"/>
                    </w:rPr>
                  </w:pPr>
                </w:p>
              </w:tc>
              <w:tc>
                <w:tcPr>
                  <w:tcW w:w="775" w:type="pct"/>
                  <w:vMerge w:val="continue"/>
                  <w:noWrap w:val="0"/>
                  <w:vAlign w:val="center"/>
                </w:tcPr>
                <w:p>
                  <w:pPr>
                    <w:adjustRightInd w:val="0"/>
                    <w:snapToGrid w:val="0"/>
                    <w:jc w:val="center"/>
                    <w:rPr>
                      <w:sz w:val="20"/>
                      <w:szCs w:val="20"/>
                    </w:rPr>
                  </w:pPr>
                </w:p>
              </w:tc>
              <w:tc>
                <w:tcPr>
                  <w:tcW w:w="1122" w:type="pct"/>
                  <w:vMerge w:val="continue"/>
                  <w:noWrap w:val="0"/>
                  <w:vAlign w:val="center"/>
                </w:tcPr>
                <w:p>
                  <w:pPr>
                    <w:adjustRightInd w:val="0"/>
                    <w:snapToGrid w:val="0"/>
                    <w:jc w:val="center"/>
                    <w:rPr>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noWrap w:val="0"/>
                  <w:vAlign w:val="center"/>
                </w:tcPr>
                <w:p>
                  <w:pPr>
                    <w:adjustRightInd w:val="0"/>
                    <w:snapToGrid w:val="0"/>
                    <w:jc w:val="center"/>
                    <w:rPr>
                      <w:rFonts w:hint="default"/>
                      <w:sz w:val="20"/>
                      <w:szCs w:val="20"/>
                      <w:highlight w:val="yellow"/>
                      <w:lang w:val="en-US" w:eastAsia="zh-CN"/>
                    </w:rPr>
                  </w:pPr>
                  <w:r>
                    <w:rPr>
                      <w:rFonts w:hint="eastAsia"/>
                      <w:sz w:val="20"/>
                      <w:szCs w:val="20"/>
                      <w:highlight w:val="none"/>
                      <w:lang w:val="en-US" w:eastAsia="zh-CN"/>
                    </w:rPr>
                    <w:t>氨</w:t>
                  </w:r>
                </w:p>
              </w:tc>
              <w:tc>
                <w:tcPr>
                  <w:tcW w:w="1727" w:type="dxa"/>
                  <w:noWrap w:val="0"/>
                  <w:vAlign w:val="center"/>
                </w:tcPr>
                <w:p>
                  <w:pPr>
                    <w:adjustRightInd w:val="0"/>
                    <w:snapToGrid w:val="0"/>
                    <w:jc w:val="center"/>
                    <w:rPr>
                      <w:rFonts w:hint="default"/>
                      <w:sz w:val="20"/>
                      <w:szCs w:val="20"/>
                      <w:lang w:val="en-US" w:eastAsia="zh-CN"/>
                    </w:rPr>
                  </w:pPr>
                  <w:r>
                    <w:rPr>
                      <w:rFonts w:hint="eastAsia"/>
                      <w:sz w:val="20"/>
                      <w:szCs w:val="20"/>
                      <w:lang w:val="en-US" w:eastAsia="zh-CN"/>
                    </w:rPr>
                    <w:t>8</w:t>
                  </w:r>
                </w:p>
              </w:tc>
              <w:tc>
                <w:tcPr>
                  <w:tcW w:w="1552" w:type="dxa"/>
                  <w:noWrap w:val="0"/>
                  <w:vAlign w:val="center"/>
                </w:tcPr>
                <w:p>
                  <w:pPr>
                    <w:adjustRightInd w:val="0"/>
                    <w:snapToGrid w:val="0"/>
                    <w:jc w:val="center"/>
                    <w:rPr>
                      <w:rFonts w:hint="default"/>
                      <w:sz w:val="20"/>
                      <w:szCs w:val="20"/>
                      <w:lang w:val="en-US" w:eastAsia="zh-CN"/>
                    </w:rPr>
                  </w:pPr>
                  <w:r>
                    <w:rPr>
                      <w:rFonts w:hint="eastAsia"/>
                      <w:sz w:val="20"/>
                      <w:szCs w:val="20"/>
                      <w:lang w:val="en-US" w:eastAsia="zh-CN"/>
                    </w:rPr>
                    <w:t>/</w:t>
                  </w:r>
                </w:p>
              </w:tc>
              <w:tc>
                <w:tcPr>
                  <w:tcW w:w="1058" w:type="dxa"/>
                  <w:vMerge w:val="continue"/>
                  <w:noWrap w:val="0"/>
                  <w:vAlign w:val="center"/>
                </w:tcPr>
                <w:p>
                  <w:pPr>
                    <w:adjustRightInd w:val="0"/>
                    <w:snapToGrid w:val="0"/>
                    <w:jc w:val="center"/>
                    <w:rPr>
                      <w:sz w:val="20"/>
                      <w:szCs w:val="20"/>
                    </w:rPr>
                  </w:pPr>
                </w:p>
              </w:tc>
              <w:tc>
                <w:tcPr>
                  <w:tcW w:w="775" w:type="pct"/>
                  <w:vMerge w:val="continue"/>
                  <w:noWrap w:val="0"/>
                  <w:vAlign w:val="center"/>
                </w:tcPr>
                <w:p>
                  <w:pPr>
                    <w:adjustRightInd w:val="0"/>
                    <w:snapToGrid w:val="0"/>
                    <w:jc w:val="center"/>
                    <w:rPr>
                      <w:sz w:val="20"/>
                      <w:szCs w:val="20"/>
                    </w:rPr>
                  </w:pPr>
                </w:p>
              </w:tc>
              <w:tc>
                <w:tcPr>
                  <w:tcW w:w="1122" w:type="pct"/>
                  <w:vMerge w:val="continue"/>
                  <w:noWrap w:val="0"/>
                  <w:vAlign w:val="center"/>
                </w:tcPr>
                <w:p>
                  <w:pPr>
                    <w:adjustRightInd w:val="0"/>
                    <w:snapToGrid w:val="0"/>
                    <w:jc w:val="center"/>
                    <w:rPr>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noWrap w:val="0"/>
                  <w:vAlign w:val="center"/>
                </w:tcPr>
                <w:p>
                  <w:pPr>
                    <w:adjustRightInd w:val="0"/>
                    <w:snapToGrid w:val="0"/>
                    <w:jc w:val="center"/>
                    <w:rPr>
                      <w:sz w:val="20"/>
                      <w:szCs w:val="20"/>
                    </w:rPr>
                  </w:pPr>
                  <w:r>
                    <w:rPr>
                      <w:rFonts w:hint="eastAsia"/>
                      <w:sz w:val="20"/>
                      <w:szCs w:val="20"/>
                    </w:rPr>
                    <w:t>林格曼黑度</w:t>
                  </w:r>
                </w:p>
              </w:tc>
              <w:tc>
                <w:tcPr>
                  <w:tcW w:w="3279" w:type="dxa"/>
                  <w:gridSpan w:val="2"/>
                  <w:noWrap w:val="0"/>
                  <w:vAlign w:val="center"/>
                </w:tcPr>
                <w:p>
                  <w:pPr>
                    <w:adjustRightInd w:val="0"/>
                    <w:snapToGrid w:val="0"/>
                    <w:jc w:val="center"/>
                    <w:rPr>
                      <w:sz w:val="20"/>
                      <w:szCs w:val="20"/>
                    </w:rPr>
                  </w:pPr>
                  <w:r>
                    <w:rPr>
                      <w:sz w:val="20"/>
                      <w:szCs w:val="20"/>
                    </w:rPr>
                    <w:t>≤</w:t>
                  </w:r>
                  <w:r>
                    <w:rPr>
                      <w:rFonts w:hint="eastAsia"/>
                      <w:sz w:val="20"/>
                      <w:szCs w:val="20"/>
                    </w:rPr>
                    <w:t>1级</w:t>
                  </w:r>
                </w:p>
              </w:tc>
              <w:tc>
                <w:tcPr>
                  <w:tcW w:w="1058" w:type="dxa"/>
                  <w:vMerge w:val="continue"/>
                  <w:noWrap w:val="0"/>
                  <w:vAlign w:val="center"/>
                </w:tcPr>
                <w:p>
                  <w:pPr>
                    <w:adjustRightInd w:val="0"/>
                    <w:snapToGrid w:val="0"/>
                    <w:jc w:val="center"/>
                    <w:rPr>
                      <w:sz w:val="20"/>
                      <w:szCs w:val="20"/>
                    </w:rPr>
                  </w:pPr>
                </w:p>
              </w:tc>
              <w:tc>
                <w:tcPr>
                  <w:tcW w:w="775" w:type="pct"/>
                  <w:vMerge w:val="continue"/>
                  <w:noWrap w:val="0"/>
                  <w:vAlign w:val="center"/>
                </w:tcPr>
                <w:p>
                  <w:pPr>
                    <w:adjustRightInd w:val="0"/>
                    <w:snapToGrid w:val="0"/>
                    <w:jc w:val="center"/>
                    <w:rPr>
                      <w:sz w:val="20"/>
                      <w:szCs w:val="20"/>
                    </w:rPr>
                  </w:pPr>
                </w:p>
              </w:tc>
              <w:tc>
                <w:tcPr>
                  <w:tcW w:w="1122" w:type="pct"/>
                  <w:vMerge w:val="continue"/>
                  <w:noWrap w:val="0"/>
                  <w:vAlign w:val="center"/>
                </w:tcPr>
                <w:p>
                  <w:pPr>
                    <w:adjustRightInd w:val="0"/>
                    <w:snapToGrid w:val="0"/>
                    <w:jc w:val="center"/>
                    <w:rPr>
                      <w:sz w:val="20"/>
                      <w:szCs w:val="20"/>
                    </w:rPr>
                  </w:pPr>
                </w:p>
              </w:tc>
            </w:tr>
          </w:tbl>
          <w:p>
            <w:pPr>
              <w:keepNext w:val="0"/>
              <w:keepLines w:val="0"/>
              <w:widowControl/>
              <w:suppressLineNumbers w:val="0"/>
              <w:jc w:val="left"/>
              <w:rPr>
                <w:rFonts w:hint="eastAsia" w:ascii="Times New Roman" w:hAnsi="Times New Roman" w:eastAsia="宋体" w:cs="Times New Roman"/>
                <w:color w:val="auto"/>
                <w:kern w:val="0"/>
                <w:szCs w:val="21"/>
                <w:lang w:val="en-US" w:eastAsia="zh-CN"/>
              </w:rPr>
            </w:pPr>
            <w:r>
              <w:rPr>
                <w:rFonts w:hint="eastAsia" w:cs="Times New Roman"/>
                <w:b/>
                <w:bCs/>
                <w:color w:val="auto"/>
                <w:kern w:val="0"/>
                <w:sz w:val="18"/>
                <w:szCs w:val="18"/>
                <w:lang w:val="en-US" w:eastAsia="zh-CN"/>
              </w:rPr>
              <w:t>注：</w:t>
            </w:r>
            <w:r>
              <w:rPr>
                <w:rFonts w:hint="eastAsia"/>
                <w:b/>
                <w:bCs/>
                <w:color w:val="auto"/>
                <w:sz w:val="18"/>
                <w:szCs w:val="18"/>
              </w:rPr>
              <w:t>《大气污染物综合排放标准》（DB32/4041-2021）</w:t>
            </w:r>
            <w:r>
              <w:rPr>
                <w:rFonts w:hint="eastAsia"/>
                <w:b/>
                <w:bCs/>
                <w:color w:val="auto"/>
                <w:sz w:val="18"/>
                <w:szCs w:val="18"/>
                <w:lang w:val="en-US" w:eastAsia="zh-CN"/>
              </w:rPr>
              <w:t>中提到</w:t>
            </w:r>
            <w:r>
              <w:rPr>
                <w:rFonts w:hint="eastAsia" w:ascii="宋体" w:hAnsi="宋体" w:eastAsia="宋体" w:cs="宋体"/>
                <w:b/>
                <w:bCs/>
                <w:color w:val="auto"/>
                <w:kern w:val="0"/>
                <w:sz w:val="18"/>
                <w:szCs w:val="18"/>
                <w:lang w:val="en-US" w:eastAsia="zh-CN" w:bidi="ar"/>
              </w:rPr>
              <w:t>当执行不同排放控制要求的废气合并排气筒排放时，应在废气混合前进行监测，并执行相应的排放控制要求；本项目同一排气筒不同股废气执行同一标准，可在排气筒出口监测。</w:t>
            </w:r>
          </w:p>
          <w:p>
            <w:pPr>
              <w:adjustRightInd w:val="0"/>
              <w:snapToGrid w:val="0"/>
              <w:spacing w:line="360" w:lineRule="auto"/>
              <w:ind w:firstLine="420" w:firstLineChars="200"/>
              <w:rPr>
                <w:rFonts w:hint="eastAsia"/>
                <w:szCs w:val="18"/>
              </w:rPr>
            </w:pPr>
          </w:p>
          <w:p>
            <w:pPr>
              <w:adjustRightInd w:val="0"/>
              <w:snapToGrid w:val="0"/>
              <w:spacing w:line="360" w:lineRule="auto"/>
              <w:ind w:firstLine="420" w:firstLineChars="200"/>
              <w:rPr>
                <w:szCs w:val="18"/>
              </w:rPr>
            </w:pPr>
            <w:r>
              <w:rPr>
                <w:rFonts w:hint="eastAsia"/>
                <w:szCs w:val="18"/>
              </w:rPr>
              <w:t>实测的锅炉排气筒中大气污染物排放浓度，应按以下公式换算为基准氧含量下的排放浓度，并以此浓度作为判定排放是否达标的依据。</w:t>
            </w:r>
          </w:p>
          <w:p>
            <w:pPr>
              <w:autoSpaceDE w:val="0"/>
              <w:autoSpaceDN w:val="0"/>
              <w:adjustRightInd w:val="0"/>
              <w:snapToGrid w:val="0"/>
              <w:spacing w:line="360" w:lineRule="auto"/>
              <w:jc w:val="center"/>
            </w:pPr>
            <w:r>
              <w:drawing>
                <wp:inline distT="0" distB="0" distL="114300" distR="114300">
                  <wp:extent cx="1275080" cy="467995"/>
                  <wp:effectExtent l="0" t="0" r="1270" b="8255"/>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31"/>
                          <a:stretch>
                            <a:fillRect/>
                          </a:stretch>
                        </pic:blipFill>
                        <pic:spPr>
                          <a:xfrm>
                            <a:off x="0" y="0"/>
                            <a:ext cx="1275080" cy="467995"/>
                          </a:xfrm>
                          <a:prstGeom prst="rect">
                            <a:avLst/>
                          </a:prstGeom>
                          <a:noFill/>
                          <a:ln>
                            <a:noFill/>
                          </a:ln>
                        </pic:spPr>
                      </pic:pic>
                    </a:graphicData>
                  </a:graphic>
                </wp:inline>
              </w:drawing>
            </w:r>
          </w:p>
          <w:p>
            <w:pPr>
              <w:adjustRightInd w:val="0"/>
              <w:snapToGrid w:val="0"/>
              <w:spacing w:line="360" w:lineRule="auto"/>
              <w:ind w:firstLine="420" w:firstLineChars="200"/>
            </w:pPr>
            <w:r>
              <w:rPr>
                <w:rFonts w:hint="eastAsia"/>
              </w:rPr>
              <w:t>式中：</w:t>
            </w:r>
            <w:r>
              <w:rPr>
                <w:i/>
                <w:iCs/>
              </w:rPr>
              <w:t>ρ</w:t>
            </w:r>
            <w:r>
              <w:t>—</w:t>
            </w:r>
            <w:r>
              <w:rPr>
                <w:rFonts w:hint="eastAsia"/>
              </w:rPr>
              <w:t>大气污染物基准氧含量排放浓度</w:t>
            </w:r>
            <w:r>
              <w:t>，mg/m</w:t>
            </w:r>
            <w:r>
              <w:rPr>
                <w:vertAlign w:val="superscript"/>
              </w:rPr>
              <w:t>3</w:t>
            </w:r>
            <w:r>
              <w:t>；</w:t>
            </w:r>
          </w:p>
          <w:p>
            <w:pPr>
              <w:adjustRightInd w:val="0"/>
              <w:snapToGrid w:val="0"/>
              <w:spacing w:line="360" w:lineRule="auto"/>
              <w:ind w:firstLine="1050" w:firstLineChars="500"/>
            </w:pPr>
            <w:r>
              <w:rPr>
                <w:i/>
                <w:iCs/>
              </w:rPr>
              <w:t>ρ</w:t>
            </w:r>
            <w:r>
              <w:rPr>
                <w:rFonts w:hint="eastAsia"/>
                <w:i/>
                <w:iCs/>
                <w:vertAlign w:val="subscript"/>
              </w:rPr>
              <w:t>'</w:t>
            </w:r>
            <w:r>
              <w:t>—实测的大气污染物排放浓度，mg/m</w:t>
            </w:r>
            <w:r>
              <w:rPr>
                <w:vertAlign w:val="superscript"/>
              </w:rPr>
              <w:t>3</w:t>
            </w:r>
            <w:r>
              <w:t>；</w:t>
            </w:r>
          </w:p>
          <w:p>
            <w:pPr>
              <w:adjustRightInd w:val="0"/>
              <w:snapToGrid w:val="0"/>
              <w:spacing w:line="360" w:lineRule="auto"/>
              <w:ind w:firstLine="1050" w:firstLineChars="500"/>
            </w:pPr>
            <w:r>
              <w:rPr>
                <w:i/>
                <w:iCs/>
              </w:rPr>
              <w:t>φ</w:t>
            </w:r>
            <w:r>
              <w:rPr>
                <w:rFonts w:hint="eastAsia"/>
              </w:rPr>
              <w:t>（</w:t>
            </w:r>
            <w:r>
              <w:t>O</w:t>
            </w:r>
            <w:r>
              <w:rPr>
                <w:rFonts w:hint="eastAsia"/>
                <w:vertAlign w:val="subscript"/>
              </w:rPr>
              <w:t>2</w:t>
            </w:r>
            <w:r>
              <w:rPr>
                <w:rFonts w:hint="eastAsia"/>
              </w:rPr>
              <w:t>）</w:t>
            </w:r>
            <w:r>
              <w:t>—基准氧含量，%；（本项目</w:t>
            </w:r>
            <w:r>
              <w:rPr>
                <w:rFonts w:hint="eastAsia"/>
              </w:rPr>
              <w:t>导热油炉为单台出力65t/h以下的燃生物质锅炉</w:t>
            </w:r>
            <w:r>
              <w:t>，基准氧含量取</w:t>
            </w:r>
            <w:r>
              <w:rPr>
                <w:rFonts w:hint="eastAsia"/>
              </w:rPr>
              <w:t>9</w:t>
            </w:r>
            <w:r>
              <w:t>%）</w:t>
            </w:r>
          </w:p>
          <w:p>
            <w:pPr>
              <w:adjustRightInd w:val="0"/>
              <w:snapToGrid w:val="0"/>
              <w:spacing w:line="360" w:lineRule="auto"/>
              <w:ind w:firstLine="1050" w:firstLineChars="500"/>
            </w:pPr>
            <w:r>
              <w:rPr>
                <w:i/>
                <w:iCs/>
              </w:rPr>
              <w:t>φ’</w:t>
            </w:r>
            <w:r>
              <w:rPr>
                <w:rFonts w:hint="eastAsia"/>
              </w:rPr>
              <w:t>（</w:t>
            </w:r>
            <w:r>
              <w:t>O</w:t>
            </w:r>
            <w:r>
              <w:rPr>
                <w:rFonts w:hint="eastAsia"/>
                <w:vertAlign w:val="subscript"/>
              </w:rPr>
              <w:t>2</w:t>
            </w:r>
            <w:r>
              <w:rPr>
                <w:rFonts w:hint="eastAsia"/>
              </w:rPr>
              <w:t>）</w:t>
            </w:r>
            <w:r>
              <w:t>—实测的氧含量，%。</w:t>
            </w:r>
          </w:p>
          <w:p>
            <w:pPr>
              <w:spacing w:line="360" w:lineRule="auto"/>
              <w:ind w:firstLine="420" w:firstLineChars="200"/>
              <w:rPr>
                <w:rFonts w:hint="eastAsia" w:ascii="宋体" w:hAnsi="宋体" w:cs="宋体"/>
                <w:kern w:val="24"/>
              </w:rPr>
            </w:pPr>
            <w:r>
              <w:rPr>
                <w:rFonts w:hint="eastAsia" w:ascii="宋体" w:hAnsi="宋体" w:cs="宋体"/>
                <w:kern w:val="24"/>
              </w:rPr>
              <w:t>②无组织废气排放标准</w:t>
            </w:r>
          </w:p>
          <w:p>
            <w:pPr>
              <w:spacing w:line="360" w:lineRule="auto"/>
              <w:ind w:firstLine="420" w:firstLineChars="200"/>
              <w:rPr>
                <w:kern w:val="24"/>
              </w:rPr>
            </w:pPr>
            <w:r>
              <w:rPr>
                <w:kern w:val="24"/>
              </w:rPr>
              <w:t>本项目无组织颗粒物、非甲烷总烃执行《大气污染物综合排放标准》（DB32/4041-2021）表3厂界大气污染物监控点浓度限值；</w:t>
            </w:r>
            <w:r>
              <w:rPr>
                <w:rFonts w:hint="eastAsia"/>
                <w:kern w:val="24"/>
                <w:lang w:val="en-US" w:eastAsia="zh-CN"/>
              </w:rPr>
              <w:t>氨、硫化氢、</w:t>
            </w:r>
            <w:r>
              <w:rPr>
                <w:rFonts w:hint="eastAsia"/>
                <w:kern w:val="24"/>
              </w:rPr>
              <w:t>臭气浓度执行</w:t>
            </w:r>
            <w:r>
              <w:rPr>
                <w:rFonts w:hint="eastAsia"/>
              </w:rPr>
              <w:t>《恶臭污染物排放标准》（GB14554-93）表1中二级新改扩建限值标准；</w:t>
            </w:r>
            <w:r>
              <w:rPr>
                <w:bCs/>
                <w:kern w:val="24"/>
              </w:rPr>
              <w:t>生产车间外非甲烷总烃执行</w:t>
            </w:r>
            <w:r>
              <w:rPr>
                <w:kern w:val="24"/>
              </w:rPr>
              <w:t>《大气污染物综合排放标准》（DB32/4041-2021）</w:t>
            </w:r>
            <w:r>
              <w:rPr>
                <w:bCs/>
                <w:kern w:val="24"/>
              </w:rPr>
              <w:t>表2中排放标准</w:t>
            </w:r>
            <w:r>
              <w:rPr>
                <w:kern w:val="24"/>
              </w:rPr>
              <w:t>。</w:t>
            </w:r>
          </w:p>
          <w:p>
            <w:pPr>
              <w:spacing w:line="360" w:lineRule="auto"/>
              <w:ind w:firstLine="420" w:firstLineChars="200"/>
              <w:rPr>
                <w:snapToGrid w:val="0"/>
                <w:kern w:val="0"/>
              </w:rPr>
            </w:pPr>
            <w:r>
              <w:rPr>
                <w:snapToGrid w:val="0"/>
                <w:kern w:val="0"/>
              </w:rPr>
              <w:t>本项目</w:t>
            </w:r>
            <w:r>
              <w:rPr>
                <w:rFonts w:hint="eastAsia"/>
                <w:snapToGrid w:val="0"/>
                <w:kern w:val="0"/>
              </w:rPr>
              <w:t>无组织废气</w:t>
            </w:r>
            <w:r>
              <w:rPr>
                <w:snapToGrid w:val="0"/>
                <w:kern w:val="0"/>
              </w:rPr>
              <w:t>采用的大气污染物排放标准详见表</w:t>
            </w:r>
            <w:r>
              <w:rPr>
                <w:rFonts w:hint="eastAsia"/>
                <w:snapToGrid w:val="0"/>
                <w:kern w:val="0"/>
              </w:rPr>
              <w:t>3-</w:t>
            </w:r>
            <w:r>
              <w:rPr>
                <w:rFonts w:hint="eastAsia"/>
                <w:snapToGrid w:val="0"/>
                <w:kern w:val="0"/>
                <w:lang w:val="en-US" w:eastAsia="zh-CN"/>
              </w:rPr>
              <w:t>7</w:t>
            </w:r>
            <w:r>
              <w:rPr>
                <w:snapToGrid w:val="0"/>
                <w:kern w:val="0"/>
              </w:rPr>
              <w:t>。</w:t>
            </w:r>
          </w:p>
          <w:p>
            <w:pPr>
              <w:jc w:val="center"/>
              <w:rPr>
                <w:b/>
                <w:bCs/>
                <w:snapToGrid w:val="0"/>
                <w:kern w:val="0"/>
              </w:rPr>
            </w:pPr>
            <w:r>
              <w:rPr>
                <w:rFonts w:hint="eastAsia"/>
                <w:b/>
                <w:bCs/>
                <w:snapToGrid w:val="0"/>
                <w:kern w:val="0"/>
              </w:rPr>
              <w:t>表3-</w:t>
            </w:r>
            <w:r>
              <w:rPr>
                <w:rFonts w:hint="eastAsia"/>
                <w:b/>
                <w:bCs/>
                <w:snapToGrid w:val="0"/>
                <w:kern w:val="0"/>
                <w:lang w:val="en-US" w:eastAsia="zh-CN"/>
              </w:rPr>
              <w:t>7</w:t>
            </w:r>
            <w:r>
              <w:rPr>
                <w:rFonts w:hint="eastAsia"/>
                <w:b/>
                <w:bCs/>
                <w:snapToGrid w:val="0"/>
                <w:kern w:val="0"/>
              </w:rPr>
              <w:t xml:space="preserve">  无组织</w:t>
            </w:r>
            <w:r>
              <w:rPr>
                <w:b/>
                <w:bCs/>
                <w:snapToGrid w:val="0"/>
                <w:kern w:val="0"/>
              </w:rPr>
              <w:t>大气污染物排放标准</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254"/>
              <w:gridCol w:w="964"/>
              <w:gridCol w:w="1635"/>
              <w:gridCol w:w="3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noWrap w:val="0"/>
                  <w:vAlign w:val="center"/>
                </w:tcPr>
                <w:p>
                  <w:pPr>
                    <w:snapToGrid w:val="0"/>
                    <w:jc w:val="center"/>
                    <w:rPr>
                      <w:b/>
                      <w:sz w:val="20"/>
                      <w:szCs w:val="20"/>
                    </w:rPr>
                  </w:pPr>
                  <w:r>
                    <w:rPr>
                      <w:rFonts w:hint="eastAsia"/>
                      <w:b/>
                      <w:sz w:val="20"/>
                      <w:szCs w:val="20"/>
                    </w:rPr>
                    <w:t>排放形式</w:t>
                  </w:r>
                </w:p>
              </w:tc>
              <w:tc>
                <w:tcPr>
                  <w:tcW w:w="1254" w:type="dxa"/>
                  <w:noWrap w:val="0"/>
                  <w:vAlign w:val="center"/>
                </w:tcPr>
                <w:p>
                  <w:pPr>
                    <w:snapToGrid w:val="0"/>
                    <w:jc w:val="center"/>
                    <w:rPr>
                      <w:b/>
                      <w:sz w:val="20"/>
                      <w:szCs w:val="20"/>
                    </w:rPr>
                  </w:pPr>
                  <w:r>
                    <w:rPr>
                      <w:b/>
                      <w:sz w:val="20"/>
                      <w:szCs w:val="20"/>
                    </w:rPr>
                    <w:t>污染物</w:t>
                  </w:r>
                </w:p>
              </w:tc>
              <w:tc>
                <w:tcPr>
                  <w:tcW w:w="964" w:type="dxa"/>
                  <w:noWrap w:val="0"/>
                  <w:vAlign w:val="center"/>
                </w:tcPr>
                <w:p>
                  <w:pPr>
                    <w:snapToGrid w:val="0"/>
                    <w:jc w:val="center"/>
                    <w:rPr>
                      <w:b/>
                      <w:sz w:val="20"/>
                      <w:szCs w:val="20"/>
                    </w:rPr>
                  </w:pPr>
                  <w:r>
                    <w:rPr>
                      <w:b/>
                      <w:sz w:val="20"/>
                      <w:szCs w:val="20"/>
                    </w:rPr>
                    <w:t>监控点</w:t>
                  </w:r>
                </w:p>
              </w:tc>
              <w:tc>
                <w:tcPr>
                  <w:tcW w:w="1635" w:type="dxa"/>
                  <w:noWrap w:val="0"/>
                  <w:vAlign w:val="center"/>
                </w:tcPr>
                <w:p>
                  <w:pPr>
                    <w:snapToGrid w:val="0"/>
                    <w:jc w:val="center"/>
                    <w:rPr>
                      <w:b/>
                      <w:sz w:val="20"/>
                      <w:szCs w:val="20"/>
                    </w:rPr>
                  </w:pPr>
                  <w:r>
                    <w:rPr>
                      <w:b/>
                      <w:sz w:val="20"/>
                      <w:szCs w:val="20"/>
                    </w:rPr>
                    <w:t>监控浓度限值mg/m</w:t>
                  </w:r>
                  <w:r>
                    <w:rPr>
                      <w:b/>
                      <w:sz w:val="20"/>
                      <w:szCs w:val="20"/>
                      <w:vertAlign w:val="superscript"/>
                    </w:rPr>
                    <w:t>3</w:t>
                  </w:r>
                </w:p>
              </w:tc>
              <w:tc>
                <w:tcPr>
                  <w:tcW w:w="3944" w:type="dxa"/>
                  <w:noWrap w:val="0"/>
                  <w:vAlign w:val="center"/>
                </w:tcPr>
                <w:p>
                  <w:pPr>
                    <w:snapToGrid w:val="0"/>
                    <w:jc w:val="center"/>
                    <w:rPr>
                      <w:b/>
                      <w:sz w:val="20"/>
                      <w:szCs w:val="20"/>
                    </w:rPr>
                  </w:pPr>
                  <w:r>
                    <w:rPr>
                      <w:rFonts w:hint="eastAsia"/>
                      <w:b/>
                      <w:sz w:val="20"/>
                      <w:szCs w:val="2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restart"/>
                  <w:noWrap w:val="0"/>
                  <w:vAlign w:val="center"/>
                </w:tcPr>
                <w:p>
                  <w:pPr>
                    <w:snapToGrid w:val="0"/>
                    <w:jc w:val="center"/>
                    <w:rPr>
                      <w:rFonts w:hint="eastAsia"/>
                      <w:bCs/>
                      <w:sz w:val="20"/>
                      <w:szCs w:val="20"/>
                    </w:rPr>
                  </w:pPr>
                  <w:r>
                    <w:rPr>
                      <w:rFonts w:hint="eastAsia"/>
                      <w:bCs/>
                      <w:sz w:val="20"/>
                      <w:szCs w:val="20"/>
                    </w:rPr>
                    <w:t>无组织</w:t>
                  </w:r>
                </w:p>
              </w:tc>
              <w:tc>
                <w:tcPr>
                  <w:tcW w:w="1254" w:type="dxa"/>
                  <w:noWrap w:val="0"/>
                  <w:vAlign w:val="center"/>
                </w:tcPr>
                <w:p>
                  <w:pPr>
                    <w:snapToGrid w:val="0"/>
                    <w:jc w:val="center"/>
                    <w:rPr>
                      <w:rFonts w:hint="eastAsia"/>
                      <w:bCs/>
                      <w:sz w:val="20"/>
                      <w:szCs w:val="20"/>
                    </w:rPr>
                  </w:pPr>
                  <w:r>
                    <w:rPr>
                      <w:rFonts w:hint="eastAsia"/>
                      <w:bCs/>
                      <w:sz w:val="20"/>
                      <w:szCs w:val="20"/>
                    </w:rPr>
                    <w:t>颗粒物</w:t>
                  </w:r>
                </w:p>
              </w:tc>
              <w:tc>
                <w:tcPr>
                  <w:tcW w:w="964" w:type="dxa"/>
                  <w:vMerge w:val="restart"/>
                  <w:noWrap w:val="0"/>
                  <w:vAlign w:val="center"/>
                </w:tcPr>
                <w:p>
                  <w:pPr>
                    <w:snapToGrid w:val="0"/>
                    <w:jc w:val="center"/>
                    <w:rPr>
                      <w:rFonts w:hint="eastAsia"/>
                      <w:bCs/>
                      <w:sz w:val="20"/>
                      <w:szCs w:val="20"/>
                    </w:rPr>
                  </w:pPr>
                  <w:r>
                    <w:rPr>
                      <w:rFonts w:hint="eastAsia"/>
                      <w:bCs/>
                      <w:sz w:val="20"/>
                      <w:szCs w:val="20"/>
                    </w:rPr>
                    <w:t>边界外浓度最高点</w:t>
                  </w:r>
                </w:p>
              </w:tc>
              <w:tc>
                <w:tcPr>
                  <w:tcW w:w="1635" w:type="dxa"/>
                  <w:noWrap w:val="0"/>
                  <w:vAlign w:val="center"/>
                </w:tcPr>
                <w:p>
                  <w:pPr>
                    <w:snapToGrid w:val="0"/>
                    <w:jc w:val="center"/>
                    <w:rPr>
                      <w:rFonts w:hint="eastAsia"/>
                      <w:bCs/>
                      <w:sz w:val="20"/>
                      <w:szCs w:val="20"/>
                    </w:rPr>
                  </w:pPr>
                  <w:r>
                    <w:rPr>
                      <w:rFonts w:hint="eastAsia"/>
                      <w:bCs/>
                      <w:sz w:val="20"/>
                      <w:szCs w:val="20"/>
                    </w:rPr>
                    <w:t>0.5</w:t>
                  </w:r>
                </w:p>
              </w:tc>
              <w:tc>
                <w:tcPr>
                  <w:tcW w:w="3944" w:type="dxa"/>
                  <w:vMerge w:val="restart"/>
                  <w:noWrap w:val="0"/>
                  <w:vAlign w:val="center"/>
                </w:tcPr>
                <w:p>
                  <w:pPr>
                    <w:snapToGrid w:val="0"/>
                    <w:jc w:val="center"/>
                    <w:rPr>
                      <w:rFonts w:hint="eastAsia"/>
                      <w:bCs/>
                      <w:sz w:val="20"/>
                      <w:szCs w:val="20"/>
                    </w:rPr>
                  </w:pPr>
                  <w:r>
                    <w:rPr>
                      <w:rFonts w:hint="eastAsia"/>
                      <w:bCs/>
                      <w:sz w:val="20"/>
                      <w:szCs w:val="20"/>
                    </w:rPr>
                    <w:t>《大气污染物综合排放标准》（DB32/4041</w:t>
                  </w:r>
                  <w:r>
                    <w:rPr>
                      <w:rFonts w:hint="eastAsia"/>
                      <w:bCs/>
                      <w:sz w:val="20"/>
                      <w:szCs w:val="20"/>
                      <w:lang w:val="en-US" w:eastAsia="zh-CN"/>
                    </w:rPr>
                    <w:t>-</w:t>
                  </w:r>
                  <w:r>
                    <w:rPr>
                      <w:rFonts w:hint="eastAsia"/>
                      <w:bCs/>
                      <w:sz w:val="20"/>
                      <w:szCs w:val="20"/>
                    </w:rPr>
                    <w:t>2021）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33" w:type="dxa"/>
                  <w:vMerge w:val="continue"/>
                  <w:noWrap w:val="0"/>
                  <w:vAlign w:val="center"/>
                </w:tcPr>
                <w:p>
                  <w:pPr>
                    <w:jc w:val="center"/>
                    <w:rPr>
                      <w:snapToGrid w:val="0"/>
                      <w:kern w:val="0"/>
                      <w:sz w:val="22"/>
                      <w:szCs w:val="28"/>
                    </w:rPr>
                  </w:pPr>
                </w:p>
              </w:tc>
              <w:tc>
                <w:tcPr>
                  <w:tcW w:w="1254" w:type="dxa"/>
                  <w:noWrap w:val="0"/>
                  <w:vAlign w:val="center"/>
                </w:tcPr>
                <w:p>
                  <w:pPr>
                    <w:snapToGrid w:val="0"/>
                    <w:jc w:val="center"/>
                    <w:rPr>
                      <w:rFonts w:hint="eastAsia"/>
                      <w:bCs/>
                      <w:sz w:val="20"/>
                      <w:szCs w:val="20"/>
                    </w:rPr>
                  </w:pPr>
                  <w:r>
                    <w:rPr>
                      <w:rFonts w:hint="eastAsia"/>
                      <w:bCs/>
                      <w:sz w:val="20"/>
                      <w:szCs w:val="20"/>
                    </w:rPr>
                    <w:t>非甲烷总烃</w:t>
                  </w:r>
                </w:p>
              </w:tc>
              <w:tc>
                <w:tcPr>
                  <w:tcW w:w="964" w:type="dxa"/>
                  <w:vMerge w:val="continue"/>
                  <w:noWrap w:val="0"/>
                  <w:vAlign w:val="center"/>
                </w:tcPr>
                <w:p>
                  <w:pPr>
                    <w:snapToGrid w:val="0"/>
                    <w:jc w:val="center"/>
                    <w:rPr>
                      <w:rFonts w:hint="eastAsia"/>
                      <w:bCs/>
                      <w:sz w:val="20"/>
                      <w:szCs w:val="20"/>
                    </w:rPr>
                  </w:pPr>
                </w:p>
              </w:tc>
              <w:tc>
                <w:tcPr>
                  <w:tcW w:w="1635" w:type="dxa"/>
                  <w:noWrap w:val="0"/>
                  <w:vAlign w:val="center"/>
                </w:tcPr>
                <w:p>
                  <w:pPr>
                    <w:snapToGrid w:val="0"/>
                    <w:jc w:val="center"/>
                    <w:rPr>
                      <w:rFonts w:hint="eastAsia"/>
                      <w:bCs/>
                      <w:sz w:val="20"/>
                      <w:szCs w:val="20"/>
                    </w:rPr>
                  </w:pPr>
                  <w:r>
                    <w:rPr>
                      <w:rFonts w:hint="eastAsia"/>
                      <w:bCs/>
                      <w:sz w:val="20"/>
                      <w:szCs w:val="20"/>
                    </w:rPr>
                    <w:t>4</w:t>
                  </w:r>
                </w:p>
              </w:tc>
              <w:tc>
                <w:tcPr>
                  <w:tcW w:w="3944" w:type="dxa"/>
                  <w:vMerge w:val="continue"/>
                  <w:noWrap w:val="0"/>
                  <w:vAlign w:val="center"/>
                </w:tcPr>
                <w:p>
                  <w:pPr>
                    <w:jc w:val="center"/>
                    <w:rPr>
                      <w:snapToGrid w:val="0"/>
                      <w:kern w:val="0"/>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833" w:type="dxa"/>
                  <w:vMerge w:val="continue"/>
                  <w:noWrap w:val="0"/>
                  <w:vAlign w:val="center"/>
                </w:tcPr>
                <w:p>
                  <w:pPr>
                    <w:jc w:val="center"/>
                    <w:rPr>
                      <w:snapToGrid w:val="0"/>
                      <w:kern w:val="0"/>
                      <w:sz w:val="22"/>
                      <w:szCs w:val="28"/>
                    </w:rPr>
                  </w:pPr>
                </w:p>
              </w:tc>
              <w:tc>
                <w:tcPr>
                  <w:tcW w:w="1254" w:type="dxa"/>
                  <w:shd w:val="clear" w:color="auto" w:fill="auto"/>
                  <w:noWrap w:val="0"/>
                  <w:vAlign w:val="center"/>
                </w:tcPr>
                <w:p>
                  <w:pPr>
                    <w:snapToGrid w:val="0"/>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rPr>
                    <w:t>氨</w:t>
                  </w:r>
                </w:p>
              </w:tc>
              <w:tc>
                <w:tcPr>
                  <w:tcW w:w="964" w:type="dxa"/>
                  <w:vMerge w:val="restart"/>
                  <w:shd w:val="clear" w:color="auto" w:fill="auto"/>
                  <w:noWrap w:val="0"/>
                  <w:vAlign w:val="center"/>
                </w:tcPr>
                <w:p>
                  <w:pPr>
                    <w:snapToGrid w:val="0"/>
                    <w:jc w:val="center"/>
                    <w:rPr>
                      <w:rFonts w:hint="eastAsia" w:ascii="Times New Roman" w:hAnsi="Times New Roman" w:eastAsia="宋体" w:cs="Times New Roman"/>
                      <w:bCs/>
                      <w:sz w:val="20"/>
                      <w:szCs w:val="20"/>
                    </w:rPr>
                  </w:pPr>
                  <w:r>
                    <w:rPr>
                      <w:rFonts w:hint="eastAsia" w:ascii="Times New Roman" w:hAnsi="Times New Roman" w:eastAsia="宋体" w:cs="Times New Roman"/>
                      <w:bCs/>
                      <w:sz w:val="20"/>
                      <w:szCs w:val="20"/>
                    </w:rPr>
                    <w:t>厂界</w:t>
                  </w:r>
                </w:p>
              </w:tc>
              <w:tc>
                <w:tcPr>
                  <w:tcW w:w="1635" w:type="dxa"/>
                  <w:shd w:val="clear" w:color="auto" w:fill="auto"/>
                  <w:noWrap w:val="0"/>
                  <w:vAlign w:val="center"/>
                </w:tcPr>
                <w:p>
                  <w:pPr>
                    <w:snapToGrid w:val="0"/>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rPr>
                    <w:t>1.5</w:t>
                  </w:r>
                </w:p>
              </w:tc>
              <w:tc>
                <w:tcPr>
                  <w:tcW w:w="3944" w:type="dxa"/>
                  <w:vMerge w:val="restart"/>
                  <w:shd w:val="clear" w:color="auto" w:fill="auto"/>
                  <w:noWrap w:val="0"/>
                  <w:vAlign w:val="center"/>
                </w:tcPr>
                <w:p>
                  <w:pPr>
                    <w:snapToGrid w:val="0"/>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rPr>
                    <w:t>《恶臭污染物排放标准》（GB14554-93）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833" w:type="dxa"/>
                  <w:vMerge w:val="continue"/>
                  <w:noWrap w:val="0"/>
                  <w:vAlign w:val="center"/>
                </w:tcPr>
                <w:p>
                  <w:pPr>
                    <w:snapToGrid w:val="0"/>
                    <w:jc w:val="center"/>
                  </w:pPr>
                </w:p>
              </w:tc>
              <w:tc>
                <w:tcPr>
                  <w:tcW w:w="1254" w:type="dxa"/>
                  <w:shd w:val="clear" w:color="auto" w:fill="auto"/>
                  <w:noWrap w:val="0"/>
                  <w:vAlign w:val="center"/>
                </w:tcPr>
                <w:p>
                  <w:pPr>
                    <w:snapToGrid w:val="0"/>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rPr>
                    <w:t>硫化氢</w:t>
                  </w:r>
                </w:p>
              </w:tc>
              <w:tc>
                <w:tcPr>
                  <w:tcW w:w="964" w:type="dxa"/>
                  <w:vMerge w:val="continue"/>
                  <w:noWrap w:val="0"/>
                  <w:vAlign w:val="center"/>
                </w:tcPr>
                <w:p>
                  <w:pPr>
                    <w:snapToGrid w:val="0"/>
                    <w:jc w:val="center"/>
                    <w:rPr>
                      <w:rFonts w:hint="eastAsia" w:ascii="Times New Roman" w:hAnsi="Times New Roman" w:eastAsia="宋体" w:cs="Times New Roman"/>
                      <w:bCs/>
                      <w:sz w:val="20"/>
                      <w:szCs w:val="20"/>
                      <w:lang w:val="en-US" w:eastAsia="zh-CN"/>
                    </w:rPr>
                  </w:pPr>
                </w:p>
              </w:tc>
              <w:tc>
                <w:tcPr>
                  <w:tcW w:w="1635" w:type="dxa"/>
                  <w:shd w:val="clear" w:color="auto" w:fill="auto"/>
                  <w:noWrap w:val="0"/>
                  <w:vAlign w:val="center"/>
                </w:tcPr>
                <w:p>
                  <w:pPr>
                    <w:snapToGrid w:val="0"/>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rPr>
                    <w:t>0.06</w:t>
                  </w:r>
                </w:p>
              </w:tc>
              <w:tc>
                <w:tcPr>
                  <w:tcW w:w="3944" w:type="dxa"/>
                  <w:vMerge w:val="continue"/>
                  <w:shd w:val="clear" w:color="auto" w:fill="auto"/>
                  <w:noWrap w:val="0"/>
                  <w:vAlign w:val="center"/>
                </w:tcPr>
                <w:p>
                  <w:pPr>
                    <w:snapToGrid w:val="0"/>
                    <w:jc w:val="center"/>
                    <w:rPr>
                      <w:rFonts w:hint="eastAsia"/>
                      <w:bCs/>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 w:hRule="atLeast"/>
                <w:jc w:val="center"/>
              </w:trPr>
              <w:tc>
                <w:tcPr>
                  <w:tcW w:w="833" w:type="dxa"/>
                  <w:vMerge w:val="continue"/>
                  <w:noWrap w:val="0"/>
                  <w:vAlign w:val="center"/>
                </w:tcPr>
                <w:p>
                  <w:pPr>
                    <w:snapToGrid w:val="0"/>
                    <w:jc w:val="center"/>
                    <w:rPr>
                      <w:rFonts w:hint="eastAsia"/>
                      <w:bCs/>
                      <w:sz w:val="20"/>
                      <w:szCs w:val="20"/>
                      <w:lang w:val="en-US" w:eastAsia="zh-CN"/>
                    </w:rPr>
                  </w:pPr>
                </w:p>
              </w:tc>
              <w:tc>
                <w:tcPr>
                  <w:tcW w:w="1254" w:type="dxa"/>
                  <w:shd w:val="clear" w:color="auto" w:fill="auto"/>
                  <w:noWrap w:val="0"/>
                  <w:vAlign w:val="center"/>
                </w:tcPr>
                <w:p>
                  <w:pPr>
                    <w:snapToGrid w:val="0"/>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rPr>
                    <w:t>臭气浓度</w:t>
                  </w:r>
                </w:p>
              </w:tc>
              <w:tc>
                <w:tcPr>
                  <w:tcW w:w="964" w:type="dxa"/>
                  <w:vMerge w:val="continue"/>
                  <w:noWrap w:val="0"/>
                  <w:vAlign w:val="center"/>
                </w:tcPr>
                <w:p>
                  <w:pPr>
                    <w:snapToGrid w:val="0"/>
                    <w:jc w:val="center"/>
                    <w:rPr>
                      <w:rFonts w:hint="eastAsia" w:ascii="Times New Roman" w:hAnsi="Times New Roman" w:eastAsia="宋体" w:cs="Times New Roman"/>
                      <w:bCs/>
                      <w:sz w:val="20"/>
                      <w:szCs w:val="20"/>
                      <w:lang w:val="en-US" w:eastAsia="zh-CN"/>
                    </w:rPr>
                  </w:pPr>
                </w:p>
              </w:tc>
              <w:tc>
                <w:tcPr>
                  <w:tcW w:w="1635" w:type="dxa"/>
                  <w:shd w:val="clear" w:color="auto" w:fill="auto"/>
                  <w:noWrap w:val="0"/>
                  <w:vAlign w:val="center"/>
                </w:tcPr>
                <w:p>
                  <w:pPr>
                    <w:snapToGrid w:val="0"/>
                    <w:jc w:val="center"/>
                    <w:rPr>
                      <w:rFonts w:hint="eastAsia" w:ascii="Times New Roman" w:hAnsi="Times New Roman" w:eastAsia="宋体" w:cs="Times New Roman"/>
                      <w:bCs/>
                      <w:sz w:val="20"/>
                      <w:szCs w:val="20"/>
                      <w:lang w:val="en-US" w:eastAsia="zh-CN"/>
                    </w:rPr>
                  </w:pPr>
                  <w:r>
                    <w:rPr>
                      <w:rFonts w:hint="eastAsia" w:ascii="Times New Roman" w:hAnsi="Times New Roman" w:eastAsia="宋体" w:cs="Times New Roman"/>
                      <w:bCs/>
                      <w:sz w:val="20"/>
                      <w:szCs w:val="20"/>
                    </w:rPr>
                    <w:t>20（无量纲）</w:t>
                  </w:r>
                </w:p>
              </w:tc>
              <w:tc>
                <w:tcPr>
                  <w:tcW w:w="3944" w:type="dxa"/>
                  <w:vMerge w:val="continue"/>
                  <w:shd w:val="clear" w:color="auto" w:fill="auto"/>
                  <w:noWrap w:val="0"/>
                  <w:vAlign w:val="center"/>
                </w:tcPr>
                <w:p>
                  <w:pPr>
                    <w:snapToGrid w:val="0"/>
                    <w:jc w:val="center"/>
                    <w:rPr>
                      <w:rFonts w:hint="eastAsia"/>
                      <w:bCs/>
                      <w:sz w:val="20"/>
                      <w:szCs w:val="20"/>
                      <w:lang w:val="en-US"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b/>
                <w:bCs/>
                <w:snapToGrid w:val="0"/>
                <w:kern w:val="0"/>
              </w:rPr>
            </w:pPr>
            <w:r>
              <w:rPr>
                <w:rFonts w:hint="eastAsia"/>
                <w:b/>
                <w:bCs/>
                <w:snapToGrid w:val="0"/>
                <w:kern w:val="0"/>
                <w:lang w:val="en-US" w:eastAsia="zh-CN"/>
              </w:rPr>
              <w:t xml:space="preserve">表3-8  </w:t>
            </w:r>
            <w:r>
              <w:rPr>
                <w:rFonts w:hint="eastAsia"/>
                <w:b/>
                <w:bCs/>
                <w:snapToGrid w:val="0"/>
                <w:kern w:val="0"/>
              </w:rPr>
              <w:t>生产车间外非甲烷总烃</w:t>
            </w:r>
            <w:r>
              <w:rPr>
                <w:b/>
                <w:bCs/>
                <w:snapToGrid w:val="0"/>
                <w:kern w:val="0"/>
              </w:rPr>
              <w:t>无组织排放限值</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340"/>
              <w:gridCol w:w="2389"/>
              <w:gridCol w:w="1439"/>
              <w:gridCol w:w="24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04" w:type="dxa"/>
                  <w:noWrap w:val="0"/>
                  <w:vAlign w:val="center"/>
                </w:tcPr>
                <w:p>
                  <w:pPr>
                    <w:snapToGrid w:val="0"/>
                    <w:jc w:val="center"/>
                    <w:rPr>
                      <w:b/>
                      <w:sz w:val="20"/>
                      <w:szCs w:val="20"/>
                    </w:rPr>
                  </w:pPr>
                  <w:r>
                    <w:rPr>
                      <w:b/>
                      <w:sz w:val="20"/>
                      <w:szCs w:val="20"/>
                    </w:rPr>
                    <w:t>污染物</w:t>
                  </w:r>
                </w:p>
                <w:p>
                  <w:pPr>
                    <w:snapToGrid w:val="0"/>
                    <w:jc w:val="center"/>
                    <w:rPr>
                      <w:b/>
                      <w:sz w:val="20"/>
                      <w:szCs w:val="20"/>
                    </w:rPr>
                  </w:pPr>
                  <w:r>
                    <w:rPr>
                      <w:b/>
                      <w:sz w:val="20"/>
                      <w:szCs w:val="20"/>
                    </w:rPr>
                    <w:t>项目</w:t>
                  </w:r>
                </w:p>
              </w:tc>
              <w:tc>
                <w:tcPr>
                  <w:tcW w:w="1238" w:type="dxa"/>
                  <w:noWrap w:val="0"/>
                  <w:vAlign w:val="center"/>
                </w:tcPr>
                <w:p>
                  <w:pPr>
                    <w:snapToGrid w:val="0"/>
                    <w:jc w:val="center"/>
                    <w:rPr>
                      <w:b/>
                      <w:sz w:val="20"/>
                      <w:szCs w:val="20"/>
                    </w:rPr>
                  </w:pPr>
                  <w:r>
                    <w:rPr>
                      <w:b/>
                      <w:sz w:val="20"/>
                      <w:szCs w:val="20"/>
                    </w:rPr>
                    <w:t>排放限值（mg/m</w:t>
                  </w:r>
                  <w:r>
                    <w:rPr>
                      <w:b/>
                      <w:sz w:val="20"/>
                      <w:szCs w:val="20"/>
                      <w:vertAlign w:val="superscript"/>
                    </w:rPr>
                    <w:t>3</w:t>
                  </w:r>
                  <w:r>
                    <w:rPr>
                      <w:b/>
                      <w:sz w:val="20"/>
                      <w:szCs w:val="20"/>
                    </w:rPr>
                    <w:t>）</w:t>
                  </w:r>
                </w:p>
              </w:tc>
              <w:tc>
                <w:tcPr>
                  <w:tcW w:w="2207" w:type="dxa"/>
                  <w:noWrap w:val="0"/>
                  <w:vAlign w:val="center"/>
                </w:tcPr>
                <w:p>
                  <w:pPr>
                    <w:snapToGrid w:val="0"/>
                    <w:jc w:val="center"/>
                    <w:rPr>
                      <w:b/>
                      <w:sz w:val="20"/>
                      <w:szCs w:val="20"/>
                    </w:rPr>
                  </w:pPr>
                  <w:r>
                    <w:rPr>
                      <w:b/>
                      <w:sz w:val="20"/>
                      <w:szCs w:val="20"/>
                    </w:rPr>
                    <w:t>限值含义</w:t>
                  </w:r>
                </w:p>
              </w:tc>
              <w:tc>
                <w:tcPr>
                  <w:tcW w:w="1330" w:type="dxa"/>
                  <w:noWrap w:val="0"/>
                  <w:vAlign w:val="center"/>
                </w:tcPr>
                <w:p>
                  <w:pPr>
                    <w:snapToGrid w:val="0"/>
                    <w:jc w:val="center"/>
                    <w:rPr>
                      <w:b/>
                      <w:sz w:val="20"/>
                      <w:szCs w:val="20"/>
                    </w:rPr>
                  </w:pPr>
                  <w:r>
                    <w:rPr>
                      <w:b/>
                      <w:sz w:val="20"/>
                      <w:szCs w:val="20"/>
                    </w:rPr>
                    <w:t>无组织排放监控位置</w:t>
                  </w:r>
                </w:p>
              </w:tc>
              <w:tc>
                <w:tcPr>
                  <w:tcW w:w="2295" w:type="dxa"/>
                  <w:noWrap w:val="0"/>
                  <w:vAlign w:val="center"/>
                </w:tcPr>
                <w:p>
                  <w:pPr>
                    <w:snapToGrid w:val="0"/>
                    <w:jc w:val="center"/>
                    <w:rPr>
                      <w:b/>
                      <w:sz w:val="20"/>
                      <w:szCs w:val="20"/>
                    </w:rPr>
                  </w:pPr>
                  <w:r>
                    <w:rPr>
                      <w:b/>
                      <w:sz w:val="20"/>
                      <w:szCs w:val="20"/>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04" w:type="dxa"/>
                  <w:vMerge w:val="restart"/>
                  <w:noWrap w:val="0"/>
                  <w:vAlign w:val="center"/>
                </w:tcPr>
                <w:p>
                  <w:pPr>
                    <w:snapToGrid w:val="0"/>
                    <w:jc w:val="center"/>
                    <w:rPr>
                      <w:bCs/>
                      <w:sz w:val="20"/>
                      <w:szCs w:val="20"/>
                    </w:rPr>
                  </w:pPr>
                  <w:r>
                    <w:rPr>
                      <w:bCs/>
                      <w:sz w:val="20"/>
                      <w:szCs w:val="20"/>
                    </w:rPr>
                    <w:t>非甲烷总烃</w:t>
                  </w:r>
                </w:p>
              </w:tc>
              <w:tc>
                <w:tcPr>
                  <w:tcW w:w="1238" w:type="dxa"/>
                  <w:noWrap w:val="0"/>
                  <w:vAlign w:val="center"/>
                </w:tcPr>
                <w:p>
                  <w:pPr>
                    <w:snapToGrid w:val="0"/>
                    <w:jc w:val="center"/>
                    <w:rPr>
                      <w:bCs/>
                      <w:sz w:val="20"/>
                      <w:szCs w:val="20"/>
                    </w:rPr>
                  </w:pPr>
                  <w:r>
                    <w:rPr>
                      <w:bCs/>
                      <w:sz w:val="20"/>
                      <w:szCs w:val="20"/>
                    </w:rPr>
                    <w:t>6</w:t>
                  </w:r>
                </w:p>
              </w:tc>
              <w:tc>
                <w:tcPr>
                  <w:tcW w:w="2207" w:type="dxa"/>
                  <w:noWrap w:val="0"/>
                  <w:vAlign w:val="center"/>
                </w:tcPr>
                <w:p>
                  <w:pPr>
                    <w:snapToGrid w:val="0"/>
                    <w:jc w:val="center"/>
                    <w:rPr>
                      <w:bCs/>
                      <w:sz w:val="20"/>
                      <w:szCs w:val="20"/>
                    </w:rPr>
                  </w:pPr>
                  <w:r>
                    <w:rPr>
                      <w:bCs/>
                      <w:sz w:val="20"/>
                      <w:szCs w:val="20"/>
                    </w:rPr>
                    <w:t>监控点处1h平均浓度值</w:t>
                  </w:r>
                </w:p>
              </w:tc>
              <w:tc>
                <w:tcPr>
                  <w:tcW w:w="1330" w:type="dxa"/>
                  <w:vMerge w:val="restart"/>
                  <w:noWrap w:val="0"/>
                  <w:vAlign w:val="center"/>
                </w:tcPr>
                <w:p>
                  <w:pPr>
                    <w:snapToGrid w:val="0"/>
                    <w:jc w:val="center"/>
                    <w:rPr>
                      <w:bCs/>
                      <w:sz w:val="20"/>
                      <w:szCs w:val="20"/>
                    </w:rPr>
                  </w:pPr>
                  <w:r>
                    <w:rPr>
                      <w:bCs/>
                      <w:sz w:val="20"/>
                      <w:szCs w:val="20"/>
                    </w:rPr>
                    <w:t>在厂房外设置监控点</w:t>
                  </w:r>
                </w:p>
              </w:tc>
              <w:tc>
                <w:tcPr>
                  <w:tcW w:w="2295" w:type="dxa"/>
                  <w:vMerge w:val="restart"/>
                  <w:noWrap w:val="0"/>
                  <w:vAlign w:val="center"/>
                </w:tcPr>
                <w:p>
                  <w:pPr>
                    <w:snapToGrid w:val="0"/>
                    <w:jc w:val="center"/>
                    <w:rPr>
                      <w:bCs/>
                      <w:sz w:val="20"/>
                      <w:szCs w:val="20"/>
                    </w:rPr>
                  </w:pPr>
                  <w:r>
                    <w:rPr>
                      <w:bCs/>
                      <w:sz w:val="20"/>
                      <w:szCs w:val="20"/>
                    </w:rPr>
                    <w:t>《大气污染物综合排放标</w:t>
                  </w:r>
                  <w:r>
                    <w:rPr>
                      <w:rFonts w:hint="eastAsia"/>
                      <w:bCs/>
                      <w:sz w:val="20"/>
                      <w:szCs w:val="20"/>
                    </w:rPr>
                    <w:t>准》</w:t>
                  </w:r>
                  <w:r>
                    <w:rPr>
                      <w:bCs/>
                      <w:sz w:val="20"/>
                      <w:szCs w:val="20"/>
                    </w:rPr>
                    <w:t>（DB32/4041—2021）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904" w:type="dxa"/>
                  <w:vMerge w:val="continue"/>
                  <w:noWrap w:val="0"/>
                  <w:vAlign w:val="center"/>
                </w:tcPr>
                <w:p>
                  <w:pPr>
                    <w:jc w:val="center"/>
                    <w:rPr>
                      <w:snapToGrid w:val="0"/>
                      <w:sz w:val="22"/>
                      <w:szCs w:val="28"/>
                    </w:rPr>
                  </w:pPr>
                </w:p>
              </w:tc>
              <w:tc>
                <w:tcPr>
                  <w:tcW w:w="1238" w:type="dxa"/>
                  <w:noWrap w:val="0"/>
                  <w:vAlign w:val="center"/>
                </w:tcPr>
                <w:p>
                  <w:pPr>
                    <w:snapToGrid w:val="0"/>
                    <w:jc w:val="center"/>
                    <w:rPr>
                      <w:bCs/>
                      <w:sz w:val="20"/>
                      <w:szCs w:val="20"/>
                    </w:rPr>
                  </w:pPr>
                  <w:r>
                    <w:rPr>
                      <w:bCs/>
                      <w:sz w:val="20"/>
                      <w:szCs w:val="20"/>
                    </w:rPr>
                    <w:t>20</w:t>
                  </w:r>
                </w:p>
              </w:tc>
              <w:tc>
                <w:tcPr>
                  <w:tcW w:w="2207" w:type="dxa"/>
                  <w:noWrap w:val="0"/>
                  <w:vAlign w:val="center"/>
                </w:tcPr>
                <w:p>
                  <w:pPr>
                    <w:snapToGrid w:val="0"/>
                    <w:jc w:val="center"/>
                    <w:rPr>
                      <w:bCs/>
                      <w:sz w:val="20"/>
                      <w:szCs w:val="20"/>
                    </w:rPr>
                  </w:pPr>
                  <w:r>
                    <w:rPr>
                      <w:bCs/>
                      <w:sz w:val="20"/>
                      <w:szCs w:val="20"/>
                    </w:rPr>
                    <w:t>监控点处任意一次浓度值</w:t>
                  </w:r>
                </w:p>
              </w:tc>
              <w:tc>
                <w:tcPr>
                  <w:tcW w:w="1330" w:type="dxa"/>
                  <w:vMerge w:val="continue"/>
                  <w:noWrap w:val="0"/>
                  <w:vAlign w:val="center"/>
                </w:tcPr>
                <w:p>
                  <w:pPr>
                    <w:ind w:firstLine="420"/>
                    <w:jc w:val="center"/>
                    <w:rPr>
                      <w:sz w:val="22"/>
                      <w:szCs w:val="28"/>
                    </w:rPr>
                  </w:pPr>
                </w:p>
              </w:tc>
              <w:tc>
                <w:tcPr>
                  <w:tcW w:w="2295" w:type="dxa"/>
                  <w:vMerge w:val="continue"/>
                  <w:noWrap w:val="0"/>
                  <w:vAlign w:val="center"/>
                </w:tcPr>
                <w:p>
                  <w:pPr>
                    <w:jc w:val="center"/>
                    <w:rPr>
                      <w:sz w:val="22"/>
                      <w:szCs w:val="28"/>
                    </w:rPr>
                  </w:pPr>
                </w:p>
              </w:tc>
            </w:tr>
          </w:tbl>
          <w:p>
            <w:pPr>
              <w:spacing w:line="360" w:lineRule="auto"/>
              <w:ind w:firstLine="422" w:firstLineChars="200"/>
              <w:rPr>
                <w:rFonts w:hint="eastAsia" w:ascii="Times New Roman Regular" w:hAnsi="Times New Roman Regular" w:cs="Times New Roman Regular"/>
                <w:color w:val="auto"/>
                <w:sz w:val="21"/>
                <w:szCs w:val="21"/>
              </w:rPr>
            </w:pPr>
            <w:r>
              <w:rPr>
                <w:rFonts w:hint="eastAsia" w:ascii="Times New Roman Regular" w:hAnsi="Times New Roman Regular" w:cs="Times New Roman Regular"/>
                <w:b/>
                <w:color w:val="auto"/>
                <w:sz w:val="21"/>
                <w:szCs w:val="21"/>
              </w:rPr>
              <w:t>2、</w:t>
            </w:r>
            <w:r>
              <w:rPr>
                <w:rFonts w:hint="eastAsia" w:ascii="Times New Roman Regular" w:hAnsi="Times New Roman Regular" w:cs="Times New Roman Regular"/>
                <w:b/>
                <w:color w:val="auto"/>
                <w:sz w:val="21"/>
                <w:szCs w:val="21"/>
                <w:lang w:eastAsia="zh-Hans"/>
              </w:rPr>
              <w:t>废水</w:t>
            </w:r>
          </w:p>
          <w:p>
            <w:pPr>
              <w:spacing w:line="360" w:lineRule="auto"/>
              <w:ind w:firstLine="420" w:firstLineChars="200"/>
              <w:rPr>
                <w:rFonts w:hint="eastAsia" w:ascii="Times New Roman" w:hAnsi="Times New Roman" w:eastAsia="宋体" w:cs="Times New Roman"/>
                <w:lang w:val="en-US"/>
              </w:rPr>
            </w:pPr>
            <w:r>
              <w:rPr>
                <w:rFonts w:hint="eastAsia" w:ascii="Times New Roman" w:hAnsi="Times New Roman" w:eastAsia="宋体" w:cs="Times New Roman"/>
              </w:rPr>
              <w:t>项目实行“雨污分流”。</w:t>
            </w:r>
            <w:r>
              <w:rPr>
                <w:rFonts w:hint="eastAsia" w:ascii="Times New Roman" w:hAnsi="Times New Roman" w:eastAsia="宋体" w:cs="Times New Roman"/>
                <w:lang w:val="en-US"/>
              </w:rPr>
              <w:t>项目原辅材料装卸区均在厂房内，无露天装卸，本项目不考虑初期雨水。</w:t>
            </w:r>
          </w:p>
          <w:p>
            <w:pPr>
              <w:spacing w:line="360" w:lineRule="auto"/>
              <w:ind w:firstLine="420" w:firstLineChars="200"/>
              <w:rPr>
                <w:rFonts w:hint="default"/>
                <w:lang w:val="en-US"/>
              </w:rPr>
            </w:pPr>
            <w:bookmarkStart w:id="13" w:name="OLE_LINK117"/>
            <w:r>
              <w:rPr>
                <w:rFonts w:hint="eastAsia"/>
              </w:rPr>
              <w:t>蒸汽冷凝水回用于</w:t>
            </w:r>
            <w:r>
              <w:rPr>
                <w:rFonts w:hint="eastAsia"/>
                <w:lang w:val="en-US" w:eastAsia="zh-CN"/>
              </w:rPr>
              <w:t>锅炉</w:t>
            </w:r>
            <w:r>
              <w:rPr>
                <w:rFonts w:hint="eastAsia"/>
              </w:rPr>
              <w:t>；生活污水</w:t>
            </w:r>
            <w:r>
              <w:rPr>
                <w:rFonts w:hint="eastAsia"/>
                <w:lang w:val="en-US" w:eastAsia="zh-CN"/>
              </w:rPr>
              <w:t>依托华胜</w:t>
            </w:r>
            <w:r>
              <w:rPr>
                <w:rFonts w:hint="eastAsia"/>
              </w:rPr>
              <w:t>化粪池处理</w:t>
            </w:r>
            <w:r>
              <w:rPr>
                <w:rFonts w:hint="eastAsia"/>
                <w:lang w:val="en-US" w:eastAsia="zh-CN"/>
              </w:rPr>
              <w:t>与喷淋废水依托华胜污水处理站处理</w:t>
            </w:r>
            <w:r>
              <w:rPr>
                <w:rFonts w:hint="eastAsia"/>
              </w:rPr>
              <w:t>达标后</w:t>
            </w:r>
            <w:r>
              <w:rPr>
                <w:rFonts w:hint="eastAsia"/>
                <w:lang w:val="en-US" w:eastAsia="zh-CN"/>
              </w:rPr>
              <w:t>和纯水制备废水一并</w:t>
            </w:r>
            <w:r>
              <w:rPr>
                <w:rFonts w:hint="eastAsia"/>
              </w:rPr>
              <w:t>接管至</w:t>
            </w:r>
            <w:r>
              <w:rPr>
                <w:rFonts w:hint="eastAsia"/>
                <w:lang w:val="en-US" w:eastAsia="zh-CN"/>
              </w:rPr>
              <w:t>如皋市九</w:t>
            </w:r>
            <w:r>
              <w:rPr>
                <w:rFonts w:hint="eastAsia" w:ascii="Times New Roman" w:hAnsi="Times New Roman" w:eastAsia="宋体" w:cs="Times New Roman"/>
                <w:lang w:val="en-US" w:eastAsia="zh-CN"/>
              </w:rPr>
              <w:t>华镇污水处理厂，污水处理厂接管要求执行《污水综合排放标准》（GB8978-1996）表4中三级标准，</w:t>
            </w:r>
            <w:bookmarkEnd w:id="13"/>
            <w:r>
              <w:rPr>
                <w:rFonts w:hint="eastAsia"/>
                <w:lang w:val="en-US" w:eastAsia="zh-CN"/>
              </w:rPr>
              <w:t>如皋市九</w:t>
            </w:r>
            <w:r>
              <w:rPr>
                <w:rFonts w:hint="eastAsia" w:ascii="Times New Roman" w:hAnsi="Times New Roman" w:eastAsia="宋体" w:cs="Times New Roman"/>
                <w:lang w:val="en-US" w:eastAsia="zh-CN"/>
              </w:rPr>
              <w:t>华镇污水处理厂尾水水质处理达《城镇污水处理厂污染物排放标准》(DB32/4440-2022)表1中</w:t>
            </w:r>
            <w:r>
              <w:rPr>
                <w:rFonts w:hint="eastAsia" w:cs="Times New Roman"/>
                <w:lang w:val="en-US" w:eastAsia="zh-CN"/>
              </w:rPr>
              <w:t>C</w:t>
            </w:r>
            <w:r>
              <w:rPr>
                <w:rFonts w:hint="eastAsia" w:ascii="Times New Roman" w:hAnsi="Times New Roman" w:eastAsia="宋体" w:cs="Times New Roman"/>
                <w:lang w:val="en-US" w:eastAsia="zh-CN"/>
              </w:rPr>
              <w:t>标准后排放，具体标准见表3</w:t>
            </w:r>
            <w:r>
              <w:rPr>
                <w:rFonts w:hint="eastAsia" w:cs="Times New Roman"/>
                <w:lang w:val="en-US" w:eastAsia="zh-CN"/>
              </w:rPr>
              <w:t>-9</w:t>
            </w:r>
            <w:r>
              <w:rPr>
                <w:rFonts w:hint="eastAsia" w:ascii="Times New Roman" w:hAnsi="Times New Roman" w:eastAsia="宋体" w:cs="Times New Roman"/>
                <w:lang w:val="en-US" w:eastAsia="zh-CN"/>
              </w:rPr>
              <w:t>。</w:t>
            </w:r>
          </w:p>
          <w:p>
            <w:pPr>
              <w:adjustRightInd w:val="0"/>
              <w:snapToGrid w:val="0"/>
              <w:ind w:firstLine="482"/>
              <w:jc w:val="center"/>
              <w:rPr>
                <w:color w:val="auto"/>
                <w:kern w:val="0"/>
                <w:sz w:val="21"/>
                <w:szCs w:val="21"/>
              </w:rPr>
            </w:pPr>
            <w:r>
              <w:rPr>
                <w:b/>
                <w:bCs/>
                <w:color w:val="auto"/>
                <w:kern w:val="0"/>
                <w:sz w:val="21"/>
                <w:szCs w:val="21"/>
              </w:rPr>
              <w:t>表3-</w:t>
            </w:r>
            <w:r>
              <w:rPr>
                <w:rFonts w:hint="eastAsia"/>
                <w:b/>
                <w:bCs/>
                <w:color w:val="auto"/>
                <w:kern w:val="0"/>
                <w:sz w:val="21"/>
                <w:szCs w:val="21"/>
                <w:lang w:val="en-US" w:eastAsia="zh-CN"/>
              </w:rPr>
              <w:t>9</w:t>
            </w:r>
            <w:r>
              <w:rPr>
                <w:rFonts w:hint="eastAsia"/>
                <w:b/>
                <w:bCs/>
                <w:color w:val="auto"/>
                <w:kern w:val="0"/>
                <w:sz w:val="21"/>
                <w:szCs w:val="21"/>
              </w:rPr>
              <w:t xml:space="preserve">  </w:t>
            </w:r>
            <w:r>
              <w:rPr>
                <w:b/>
                <w:bCs/>
                <w:color w:val="auto"/>
                <w:kern w:val="0"/>
                <w:sz w:val="21"/>
                <w:szCs w:val="21"/>
              </w:rPr>
              <w:t xml:space="preserve">废水排放标准 </w:t>
            </w:r>
            <w:r>
              <w:rPr>
                <w:rFonts w:hint="eastAsia"/>
                <w:b/>
                <w:bCs/>
                <w:color w:val="auto"/>
                <w:kern w:val="0"/>
                <w:sz w:val="21"/>
                <w:szCs w:val="21"/>
              </w:rPr>
              <w:t xml:space="preserve">  </w:t>
            </w:r>
            <w:r>
              <w:rPr>
                <w:rFonts w:hint="eastAsia"/>
                <w:color w:val="auto"/>
                <w:kern w:val="0"/>
                <w:sz w:val="21"/>
                <w:szCs w:val="21"/>
              </w:rPr>
              <w:t xml:space="preserve"> </w:t>
            </w:r>
            <w:r>
              <w:rPr>
                <w:color w:val="auto"/>
                <w:kern w:val="0"/>
                <w:sz w:val="21"/>
                <w:szCs w:val="21"/>
              </w:rPr>
              <w:t>单位：mg/L、pH无量纲</w:t>
            </w:r>
          </w:p>
          <w:tbl>
            <w:tblPr>
              <w:tblStyle w:val="90"/>
              <w:tblW w:w="5000" w:type="pct"/>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734"/>
              <w:gridCol w:w="1716"/>
              <w:gridCol w:w="2528"/>
              <w:gridCol w:w="2652"/>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vMerge w:val="restart"/>
                  <w:noWrap w:val="0"/>
                  <w:vAlign w:val="center"/>
                </w:tcPr>
                <w:p>
                  <w:pPr>
                    <w:adjustRightInd w:val="0"/>
                    <w:snapToGrid w:val="0"/>
                    <w:jc w:val="center"/>
                    <w:rPr>
                      <w:b/>
                      <w:bCs/>
                      <w:sz w:val="20"/>
                      <w:szCs w:val="20"/>
                    </w:rPr>
                  </w:pPr>
                  <w:r>
                    <w:rPr>
                      <w:b/>
                      <w:bCs/>
                      <w:sz w:val="20"/>
                      <w:szCs w:val="20"/>
                    </w:rPr>
                    <w:t>污染物名称</w:t>
                  </w:r>
                </w:p>
              </w:tc>
              <w:tc>
                <w:tcPr>
                  <w:tcW w:w="994" w:type="pct"/>
                  <w:vMerge w:val="restart"/>
                  <w:noWrap w:val="0"/>
                  <w:vAlign w:val="center"/>
                </w:tcPr>
                <w:p>
                  <w:pPr>
                    <w:adjustRightInd w:val="0"/>
                    <w:snapToGrid w:val="0"/>
                    <w:jc w:val="center"/>
                    <w:rPr>
                      <w:b/>
                      <w:bCs/>
                      <w:sz w:val="20"/>
                      <w:szCs w:val="20"/>
                    </w:rPr>
                  </w:pPr>
                  <w:r>
                    <w:rPr>
                      <w:b/>
                      <w:bCs/>
                      <w:sz w:val="20"/>
                      <w:szCs w:val="20"/>
                    </w:rPr>
                    <w:t>单位</w:t>
                  </w:r>
                </w:p>
              </w:tc>
              <w:tc>
                <w:tcPr>
                  <w:tcW w:w="1464" w:type="pct"/>
                  <w:noWrap w:val="0"/>
                  <w:vAlign w:val="center"/>
                </w:tcPr>
                <w:p>
                  <w:pPr>
                    <w:adjustRightInd w:val="0"/>
                    <w:snapToGrid w:val="0"/>
                    <w:jc w:val="center"/>
                    <w:rPr>
                      <w:b/>
                      <w:bCs/>
                      <w:sz w:val="20"/>
                      <w:szCs w:val="20"/>
                    </w:rPr>
                  </w:pPr>
                  <w:r>
                    <w:rPr>
                      <w:b/>
                      <w:bCs/>
                      <w:sz w:val="20"/>
                      <w:szCs w:val="20"/>
                    </w:rPr>
                    <w:t>接管要求</w:t>
                  </w:r>
                </w:p>
              </w:tc>
              <w:tc>
                <w:tcPr>
                  <w:tcW w:w="1536" w:type="pct"/>
                  <w:noWrap w:val="0"/>
                  <w:vAlign w:val="center"/>
                </w:tcPr>
                <w:p>
                  <w:pPr>
                    <w:adjustRightInd w:val="0"/>
                    <w:snapToGrid w:val="0"/>
                    <w:jc w:val="center"/>
                    <w:rPr>
                      <w:rFonts w:ascii="Times New Roman" w:hAnsi="Times New Roman" w:eastAsia="宋体" w:cs="Times New Roman"/>
                      <w:b/>
                      <w:bCs/>
                      <w:sz w:val="20"/>
                      <w:szCs w:val="20"/>
                    </w:rPr>
                  </w:pPr>
                  <w:r>
                    <w:rPr>
                      <w:rFonts w:ascii="Times New Roman" w:hAnsi="Times New Roman" w:eastAsia="宋体" w:cs="Times New Roman"/>
                      <w:b/>
                      <w:bCs/>
                      <w:sz w:val="20"/>
                      <w:szCs w:val="20"/>
                    </w:rPr>
                    <w:t>污水处理厂排放标准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vMerge w:val="continue"/>
                  <w:tcBorders>
                    <w:bottom w:val="single" w:color="000000" w:sz="12" w:space="0"/>
                  </w:tcBorders>
                  <w:noWrap w:val="0"/>
                  <w:vAlign w:val="center"/>
                </w:tcPr>
                <w:p>
                  <w:pPr>
                    <w:adjustRightInd w:val="0"/>
                    <w:snapToGrid w:val="0"/>
                    <w:jc w:val="center"/>
                    <w:rPr>
                      <w:b/>
                      <w:bCs/>
                      <w:sz w:val="20"/>
                      <w:szCs w:val="20"/>
                    </w:rPr>
                  </w:pPr>
                </w:p>
              </w:tc>
              <w:tc>
                <w:tcPr>
                  <w:tcW w:w="994" w:type="pct"/>
                  <w:vMerge w:val="continue"/>
                  <w:tcBorders>
                    <w:bottom w:val="single" w:color="000000" w:sz="12" w:space="0"/>
                  </w:tcBorders>
                  <w:noWrap w:val="0"/>
                  <w:vAlign w:val="center"/>
                </w:tcPr>
                <w:p>
                  <w:pPr>
                    <w:adjustRightInd w:val="0"/>
                    <w:snapToGrid w:val="0"/>
                    <w:jc w:val="center"/>
                    <w:rPr>
                      <w:b/>
                      <w:bCs/>
                      <w:sz w:val="20"/>
                      <w:szCs w:val="20"/>
                    </w:rPr>
                  </w:pPr>
                </w:p>
              </w:tc>
              <w:tc>
                <w:tcPr>
                  <w:tcW w:w="1464" w:type="pct"/>
                  <w:tcBorders>
                    <w:bottom w:val="single" w:color="000000" w:sz="12" w:space="0"/>
                  </w:tcBorders>
                  <w:noWrap w:val="0"/>
                  <w:vAlign w:val="center"/>
                </w:tcPr>
                <w:p>
                  <w:pPr>
                    <w:adjustRightInd w:val="0"/>
                    <w:snapToGrid w:val="0"/>
                    <w:jc w:val="center"/>
                    <w:rPr>
                      <w:b/>
                      <w:bCs/>
                      <w:sz w:val="20"/>
                      <w:szCs w:val="20"/>
                    </w:rPr>
                  </w:pPr>
                  <w:r>
                    <w:rPr>
                      <w:b/>
                      <w:bCs/>
                      <w:sz w:val="20"/>
                      <w:szCs w:val="20"/>
                    </w:rPr>
                    <w:t>GB8978-1996表4三级标准</w:t>
                  </w:r>
                </w:p>
              </w:tc>
              <w:tc>
                <w:tcPr>
                  <w:tcW w:w="1536" w:type="pct"/>
                  <w:tcBorders>
                    <w:bottom w:val="single" w:color="000000" w:sz="12" w:space="0"/>
                  </w:tcBorders>
                  <w:noWrap w:val="0"/>
                  <w:vAlign w:val="center"/>
                </w:tcPr>
                <w:p>
                  <w:pPr>
                    <w:adjustRightInd w:val="0"/>
                    <w:snapToGrid w:val="0"/>
                    <w:jc w:val="center"/>
                    <w:rPr>
                      <w:rFonts w:ascii="Times New Roman" w:hAnsi="Times New Roman" w:eastAsia="宋体" w:cs="Times New Roman"/>
                      <w:b/>
                      <w:bCs/>
                      <w:sz w:val="20"/>
                      <w:szCs w:val="20"/>
                    </w:rPr>
                  </w:pPr>
                  <w:r>
                    <w:rPr>
                      <w:rFonts w:hint="eastAsia" w:ascii="Times New Roman" w:hAnsi="Times New Roman" w:eastAsia="宋体" w:cs="Times New Roman"/>
                      <w:b/>
                      <w:bCs/>
                      <w:sz w:val="20"/>
                      <w:szCs w:val="20"/>
                    </w:rPr>
                    <w:t>《城镇污水处理厂污染物排放标准》(DB32/4440-2022)</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tcBorders>
                    <w:top w:val="single" w:color="000000" w:sz="12" w:space="0"/>
                  </w:tcBorders>
                  <w:noWrap w:val="0"/>
                  <w:vAlign w:val="center"/>
                </w:tcPr>
                <w:p>
                  <w:pPr>
                    <w:adjustRightInd w:val="0"/>
                    <w:snapToGrid w:val="0"/>
                    <w:jc w:val="center"/>
                    <w:rPr>
                      <w:sz w:val="20"/>
                      <w:szCs w:val="20"/>
                    </w:rPr>
                  </w:pPr>
                  <w:r>
                    <w:rPr>
                      <w:sz w:val="20"/>
                      <w:szCs w:val="20"/>
                    </w:rPr>
                    <w:t>pH</w:t>
                  </w:r>
                </w:p>
              </w:tc>
              <w:tc>
                <w:tcPr>
                  <w:tcW w:w="994" w:type="pct"/>
                  <w:tcBorders>
                    <w:top w:val="single" w:color="000000" w:sz="12" w:space="0"/>
                  </w:tcBorders>
                  <w:noWrap w:val="0"/>
                  <w:vAlign w:val="center"/>
                </w:tcPr>
                <w:p>
                  <w:pPr>
                    <w:adjustRightInd w:val="0"/>
                    <w:snapToGrid w:val="0"/>
                    <w:jc w:val="center"/>
                    <w:rPr>
                      <w:rFonts w:hint="eastAsia"/>
                      <w:sz w:val="20"/>
                      <w:szCs w:val="20"/>
                    </w:rPr>
                  </w:pPr>
                  <w:r>
                    <w:rPr>
                      <w:rFonts w:hint="eastAsia"/>
                      <w:sz w:val="20"/>
                      <w:szCs w:val="20"/>
                    </w:rPr>
                    <w:t>-</w:t>
                  </w:r>
                </w:p>
              </w:tc>
              <w:tc>
                <w:tcPr>
                  <w:tcW w:w="1464" w:type="pct"/>
                  <w:tcBorders>
                    <w:top w:val="single" w:color="000000" w:sz="12" w:space="0"/>
                  </w:tcBorders>
                  <w:noWrap w:val="0"/>
                  <w:vAlign w:val="center"/>
                </w:tcPr>
                <w:p>
                  <w:pPr>
                    <w:adjustRightInd w:val="0"/>
                    <w:snapToGrid w:val="0"/>
                    <w:jc w:val="center"/>
                    <w:rPr>
                      <w:sz w:val="20"/>
                      <w:szCs w:val="20"/>
                    </w:rPr>
                  </w:pPr>
                  <w:r>
                    <w:rPr>
                      <w:sz w:val="20"/>
                      <w:szCs w:val="20"/>
                    </w:rPr>
                    <w:t>6~9</w:t>
                  </w:r>
                </w:p>
              </w:tc>
              <w:tc>
                <w:tcPr>
                  <w:tcW w:w="1536" w:type="pct"/>
                  <w:tcBorders>
                    <w:top w:val="single" w:color="000000" w:sz="12" w:space="0"/>
                  </w:tcBorders>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6~9</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noWrap w:val="0"/>
                  <w:vAlign w:val="center"/>
                </w:tcPr>
                <w:p>
                  <w:pPr>
                    <w:adjustRightInd w:val="0"/>
                    <w:snapToGrid w:val="0"/>
                    <w:jc w:val="center"/>
                    <w:rPr>
                      <w:sz w:val="20"/>
                      <w:szCs w:val="20"/>
                    </w:rPr>
                  </w:pPr>
                  <w:r>
                    <w:rPr>
                      <w:sz w:val="20"/>
                      <w:szCs w:val="20"/>
                    </w:rPr>
                    <w:t>COD</w:t>
                  </w:r>
                </w:p>
              </w:tc>
              <w:tc>
                <w:tcPr>
                  <w:tcW w:w="994" w:type="pct"/>
                  <w:noWrap w:val="0"/>
                  <w:vAlign w:val="center"/>
                </w:tcPr>
                <w:p>
                  <w:pPr>
                    <w:adjustRightInd w:val="0"/>
                    <w:snapToGrid w:val="0"/>
                    <w:jc w:val="center"/>
                    <w:rPr>
                      <w:sz w:val="20"/>
                      <w:szCs w:val="20"/>
                    </w:rPr>
                  </w:pPr>
                  <w:r>
                    <w:rPr>
                      <w:sz w:val="20"/>
                      <w:szCs w:val="20"/>
                    </w:rPr>
                    <w:t>mg/L</w:t>
                  </w:r>
                </w:p>
              </w:tc>
              <w:tc>
                <w:tcPr>
                  <w:tcW w:w="1464" w:type="pct"/>
                  <w:noWrap w:val="0"/>
                  <w:vAlign w:val="center"/>
                </w:tcPr>
                <w:p>
                  <w:pPr>
                    <w:adjustRightInd w:val="0"/>
                    <w:snapToGrid w:val="0"/>
                    <w:jc w:val="center"/>
                    <w:rPr>
                      <w:sz w:val="20"/>
                      <w:szCs w:val="20"/>
                    </w:rPr>
                  </w:pPr>
                  <w:r>
                    <w:rPr>
                      <w:sz w:val="20"/>
                      <w:szCs w:val="20"/>
                    </w:rPr>
                    <w:t>500</w:t>
                  </w:r>
                </w:p>
              </w:tc>
              <w:tc>
                <w:tcPr>
                  <w:tcW w:w="1536" w:type="pct"/>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50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shd w:val="clear" w:color="auto" w:fill="auto"/>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BOD</w:t>
                  </w:r>
                  <w:r>
                    <w:rPr>
                      <w:rFonts w:hint="eastAsia"/>
                      <w:sz w:val="20"/>
                      <w:szCs w:val="20"/>
                      <w:vertAlign w:val="subscript"/>
                      <w:lang w:val="en-US" w:eastAsia="zh-CN"/>
                    </w:rPr>
                    <w:t>5</w:t>
                  </w:r>
                </w:p>
              </w:tc>
              <w:tc>
                <w:tcPr>
                  <w:tcW w:w="994" w:type="pct"/>
                  <w:shd w:val="clear" w:color="auto" w:fill="auto"/>
                  <w:noWrap w:val="0"/>
                  <w:vAlign w:val="center"/>
                </w:tcPr>
                <w:p>
                  <w:pPr>
                    <w:adjustRightInd w:val="0"/>
                    <w:snapToGrid w:val="0"/>
                    <w:jc w:val="center"/>
                    <w:rPr>
                      <w:sz w:val="20"/>
                      <w:szCs w:val="20"/>
                    </w:rPr>
                  </w:pPr>
                  <w:r>
                    <w:rPr>
                      <w:sz w:val="20"/>
                      <w:szCs w:val="20"/>
                    </w:rPr>
                    <w:t>mg/L</w:t>
                  </w:r>
                </w:p>
              </w:tc>
              <w:tc>
                <w:tcPr>
                  <w:tcW w:w="1464" w:type="pct"/>
                  <w:shd w:val="clear" w:color="auto" w:fill="auto"/>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300</w:t>
                  </w:r>
                </w:p>
              </w:tc>
              <w:tc>
                <w:tcPr>
                  <w:tcW w:w="1536" w:type="pct"/>
                  <w:shd w:val="clear" w:color="auto" w:fill="auto"/>
                  <w:noWrap w:val="0"/>
                  <w:vAlign w:val="center"/>
                </w:tcPr>
                <w:p>
                  <w:pPr>
                    <w:adjustRightInd w:val="0"/>
                    <w:snapToGrid w:val="0"/>
                    <w:jc w:val="center"/>
                    <w:rPr>
                      <w:rFonts w:hint="default"/>
                      <w:sz w:val="20"/>
                      <w:szCs w:val="20"/>
                      <w:lang w:val="en-US" w:eastAsia="zh-CN"/>
                    </w:rPr>
                  </w:pPr>
                  <w:r>
                    <w:rPr>
                      <w:rFonts w:hint="eastAsia"/>
                      <w:sz w:val="20"/>
                      <w:szCs w:val="20"/>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SS</w:t>
                  </w:r>
                </w:p>
              </w:tc>
              <w:tc>
                <w:tcPr>
                  <w:tcW w:w="99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mg/L</w:t>
                  </w:r>
                </w:p>
              </w:tc>
              <w:tc>
                <w:tcPr>
                  <w:tcW w:w="146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400</w:t>
                  </w:r>
                </w:p>
              </w:tc>
              <w:tc>
                <w:tcPr>
                  <w:tcW w:w="1536" w:type="pct"/>
                  <w:shd w:val="clear" w:color="auto" w:fill="auto"/>
                  <w:noWrap w:val="0"/>
                  <w:vAlign w:val="center"/>
                </w:tcPr>
                <w:p>
                  <w:pPr>
                    <w:adjustRightInd w:val="0"/>
                    <w:snapToGrid w:val="0"/>
                    <w:jc w:val="center"/>
                    <w:rPr>
                      <w:rFonts w:hint="default" w:ascii="Times New Roman" w:hAnsi="Times New Roman" w:eastAsia="宋体" w:cs="Times New Roman"/>
                      <w:kern w:val="2"/>
                      <w:sz w:val="20"/>
                      <w:szCs w:val="20"/>
                      <w:lang w:val="en-US" w:eastAsia="zh-CN" w:bidi="ar-SA"/>
                    </w:rPr>
                  </w:pPr>
                  <w:r>
                    <w:rPr>
                      <w:rFonts w:hint="eastAsia"/>
                      <w:sz w:val="20"/>
                      <w:szCs w:val="20"/>
                      <w:lang w:val="en-US" w:eastAsia="zh-CN"/>
                    </w:rPr>
                    <w:t>10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NH</w:t>
                  </w:r>
                  <w:r>
                    <w:rPr>
                      <w:sz w:val="20"/>
                      <w:szCs w:val="20"/>
                      <w:vertAlign w:val="subscript"/>
                    </w:rPr>
                    <w:t>3</w:t>
                  </w:r>
                  <w:r>
                    <w:rPr>
                      <w:sz w:val="20"/>
                      <w:szCs w:val="20"/>
                    </w:rPr>
                    <w:t>-N</w:t>
                  </w:r>
                </w:p>
              </w:tc>
              <w:tc>
                <w:tcPr>
                  <w:tcW w:w="99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mg/L</w:t>
                  </w:r>
                </w:p>
              </w:tc>
              <w:tc>
                <w:tcPr>
                  <w:tcW w:w="146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45①</w:t>
                  </w:r>
                </w:p>
              </w:tc>
              <w:tc>
                <w:tcPr>
                  <w:tcW w:w="1536" w:type="pct"/>
                  <w:shd w:val="clear" w:color="auto" w:fill="auto"/>
                  <w:noWrap w:val="0"/>
                  <w:vAlign w:val="center"/>
                </w:tcPr>
                <w:p>
                  <w:pPr>
                    <w:adjustRightInd w:val="0"/>
                    <w:snapToGrid w:val="0"/>
                    <w:jc w:val="center"/>
                    <w:rPr>
                      <w:rFonts w:hint="default" w:ascii="Times New Roman" w:hAnsi="Times New Roman" w:eastAsia="宋体" w:cs="Times New Roman"/>
                      <w:kern w:val="2"/>
                      <w:sz w:val="20"/>
                      <w:szCs w:val="20"/>
                      <w:lang w:val="en-US" w:eastAsia="zh-CN" w:bidi="ar-SA"/>
                    </w:rPr>
                  </w:pPr>
                  <w:r>
                    <w:rPr>
                      <w:rFonts w:hint="eastAsia"/>
                      <w:sz w:val="20"/>
                      <w:szCs w:val="20"/>
                      <w:lang w:val="en-US" w:eastAsia="zh-CN"/>
                    </w:rPr>
                    <w:t>4（6）</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TP</w:t>
                  </w:r>
                </w:p>
              </w:tc>
              <w:tc>
                <w:tcPr>
                  <w:tcW w:w="99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mg/L</w:t>
                  </w:r>
                </w:p>
              </w:tc>
              <w:tc>
                <w:tcPr>
                  <w:tcW w:w="146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8①</w:t>
                  </w:r>
                </w:p>
              </w:tc>
              <w:tc>
                <w:tcPr>
                  <w:tcW w:w="1536" w:type="pct"/>
                  <w:shd w:val="clear" w:color="auto" w:fill="auto"/>
                  <w:noWrap w:val="0"/>
                  <w:vAlign w:val="center"/>
                </w:tcPr>
                <w:p>
                  <w:pPr>
                    <w:adjustRightInd w:val="0"/>
                    <w:snapToGrid w:val="0"/>
                    <w:jc w:val="center"/>
                    <w:rPr>
                      <w:rFonts w:hint="default" w:ascii="Times New Roman" w:hAnsi="Times New Roman" w:eastAsia="宋体" w:cs="Times New Roman"/>
                      <w:kern w:val="2"/>
                      <w:sz w:val="20"/>
                      <w:szCs w:val="20"/>
                      <w:lang w:val="en-US" w:eastAsia="zh-CN" w:bidi="ar-SA"/>
                    </w:rPr>
                  </w:pPr>
                  <w:r>
                    <w:rPr>
                      <w:rFonts w:hint="eastAsia"/>
                      <w:sz w:val="20"/>
                      <w:szCs w:val="20"/>
                      <w:lang w:val="en-US" w:eastAsia="zh-CN"/>
                    </w:rPr>
                    <w:t>0.5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340" w:hRule="atLeast"/>
                <w:jc w:val="center"/>
              </w:trPr>
              <w:tc>
                <w:tcPr>
                  <w:tcW w:w="100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rFonts w:hint="eastAsia"/>
                      <w:sz w:val="20"/>
                      <w:szCs w:val="20"/>
                    </w:rPr>
                    <w:t>TN</w:t>
                  </w:r>
                </w:p>
              </w:tc>
              <w:tc>
                <w:tcPr>
                  <w:tcW w:w="99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sz w:val="20"/>
                      <w:szCs w:val="20"/>
                    </w:rPr>
                    <w:t>mg/L</w:t>
                  </w:r>
                </w:p>
              </w:tc>
              <w:tc>
                <w:tcPr>
                  <w:tcW w:w="1464" w:type="pct"/>
                  <w:shd w:val="clear" w:color="auto" w:fill="auto"/>
                  <w:noWrap w:val="0"/>
                  <w:vAlign w:val="center"/>
                </w:tcPr>
                <w:p>
                  <w:pPr>
                    <w:adjustRightInd w:val="0"/>
                    <w:snapToGrid w:val="0"/>
                    <w:jc w:val="center"/>
                    <w:rPr>
                      <w:rFonts w:ascii="Times New Roman" w:hAnsi="Times New Roman" w:eastAsia="宋体" w:cs="Times New Roman"/>
                      <w:kern w:val="2"/>
                      <w:sz w:val="20"/>
                      <w:szCs w:val="20"/>
                      <w:lang w:val="en-US" w:eastAsia="zh-CN" w:bidi="ar-SA"/>
                    </w:rPr>
                  </w:pPr>
                  <w:r>
                    <w:rPr>
                      <w:rFonts w:hint="eastAsia"/>
                      <w:sz w:val="20"/>
                      <w:szCs w:val="20"/>
                    </w:rPr>
                    <w:t>70</w:t>
                  </w:r>
                </w:p>
              </w:tc>
              <w:tc>
                <w:tcPr>
                  <w:tcW w:w="1536" w:type="pct"/>
                  <w:shd w:val="clear" w:color="auto" w:fill="auto"/>
                  <w:noWrap w:val="0"/>
                  <w:vAlign w:val="center"/>
                </w:tcPr>
                <w:p>
                  <w:pPr>
                    <w:adjustRightInd w:val="0"/>
                    <w:snapToGrid w:val="0"/>
                    <w:jc w:val="center"/>
                    <w:rPr>
                      <w:rFonts w:hint="default" w:ascii="Times New Roman" w:hAnsi="Times New Roman" w:eastAsia="宋体" w:cs="Times New Roman"/>
                      <w:kern w:val="2"/>
                      <w:sz w:val="20"/>
                      <w:szCs w:val="20"/>
                      <w:lang w:val="en-US" w:eastAsia="zh-CN" w:bidi="ar-SA"/>
                    </w:rPr>
                  </w:pPr>
                  <w:r>
                    <w:rPr>
                      <w:rFonts w:hint="eastAsia"/>
                      <w:sz w:val="20"/>
                      <w:szCs w:val="20"/>
                      <w:lang w:val="en-US" w:eastAsia="zh-CN"/>
                    </w:rPr>
                    <w:t>12（15）</w:t>
                  </w:r>
                </w:p>
              </w:tc>
            </w:tr>
          </w:tbl>
          <w:p>
            <w:pPr>
              <w:keepNext w:val="0"/>
              <w:keepLines w:val="0"/>
              <w:pageBreakBefore w:val="0"/>
              <w:widowControl w:val="0"/>
              <w:tabs>
                <w:tab w:val="left" w:pos="5142"/>
              </w:tabs>
              <w:kinsoku/>
              <w:wordWrap/>
              <w:overflowPunct/>
              <w:topLinePunct w:val="0"/>
              <w:autoSpaceDE/>
              <w:autoSpaceDN/>
              <w:bidi w:val="0"/>
              <w:adjustRightInd w:val="0"/>
              <w:snapToGrid w:val="0"/>
              <w:spacing w:after="157" w:afterLines="50"/>
              <w:textAlignment w:val="auto"/>
              <w:rPr>
                <w:rFonts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注：</w:t>
            </w:r>
            <w:r>
              <w:rPr>
                <w:rFonts w:hint="eastAsia" w:ascii="Times New Roman" w:hAnsi="Times New Roman" w:eastAsia="宋体" w:cs="Times New Roman"/>
                <w:sz w:val="18"/>
                <w:szCs w:val="18"/>
              </w:rPr>
              <w:t>①NH3-N、TP、TN参照执行《污水排入城镇下水道水质标准》（GB/T31962-2015）表1中B等级标准</w:t>
            </w:r>
            <w:r>
              <w:rPr>
                <w:rFonts w:hint="eastAsia" w:ascii="Times New Roman" w:hAnsi="Times New Roman" w:eastAsia="宋体" w:cs="Times New Roman"/>
                <w:sz w:val="18"/>
                <w:szCs w:val="18"/>
                <w:lang w:eastAsia="zh-CN"/>
              </w:rPr>
              <w:t>；</w:t>
            </w:r>
            <w:r>
              <w:rPr>
                <w:rFonts w:hint="eastAsia" w:ascii="Times New Roman" w:hAnsi="Times New Roman" w:eastAsia="宋体" w:cs="Times New Roman"/>
                <w:sz w:val="18"/>
                <w:szCs w:val="18"/>
              </w:rPr>
              <w:t>②</w:t>
            </w:r>
            <w:r>
              <w:rPr>
                <w:rFonts w:ascii="Times New Roman" w:hAnsi="Times New Roman" w:eastAsia="宋体" w:cs="Times New Roman"/>
                <w:sz w:val="18"/>
                <w:szCs w:val="18"/>
              </w:rPr>
              <w:t>尾水排放标准中括号外数值为</w:t>
            </w:r>
            <w:r>
              <w:rPr>
                <w:rFonts w:hint="eastAsia" w:ascii="Times New Roman" w:hAnsi="Times New Roman" w:eastAsia="宋体" w:cs="Times New Roman"/>
                <w:sz w:val="18"/>
                <w:szCs w:val="18"/>
              </w:rPr>
              <w:t>每年11月1日至次年3月31日执行括号内排放限值。</w:t>
            </w:r>
          </w:p>
          <w:p>
            <w:pPr>
              <w:spacing w:line="360" w:lineRule="auto"/>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本</w:t>
            </w:r>
            <w:r>
              <w:rPr>
                <w:rFonts w:hint="eastAsia" w:ascii="Times New Roman" w:hAnsi="Times New Roman" w:eastAsia="宋体" w:cs="Times New Roman"/>
                <w:color w:val="auto"/>
                <w:sz w:val="21"/>
                <w:szCs w:val="21"/>
                <w:lang w:val="en-US"/>
              </w:rPr>
              <w:t>项目厂区雨水收集后经市政雨水管网就近排入</w:t>
            </w:r>
            <w:r>
              <w:rPr>
                <w:rFonts w:hint="eastAsia" w:cs="Times New Roman"/>
                <w:color w:val="auto"/>
                <w:sz w:val="21"/>
                <w:szCs w:val="21"/>
                <w:lang w:val="en-US" w:eastAsia="zh-CN"/>
              </w:rPr>
              <w:t>西侧小河</w:t>
            </w:r>
            <w:r>
              <w:rPr>
                <w:rFonts w:hint="eastAsia" w:ascii="Times New Roman" w:hAnsi="Times New Roman" w:eastAsia="宋体" w:cs="Times New Roman"/>
                <w:color w:val="auto"/>
                <w:sz w:val="21"/>
                <w:szCs w:val="21"/>
                <w:lang w:val="en-US"/>
              </w:rPr>
              <w:t>，雨水参照《关于印发&lt;江苏省重点行业工业企业雨水排放环境管理办法（试行）&gt;的通知》(苏污防攻坚指办〔2023〕71号)执行《地表水环境质量标准》（GB3838-200</w:t>
            </w:r>
            <w:r>
              <w:rPr>
                <w:rFonts w:hint="default" w:ascii="Times New Roman" w:hAnsi="Times New Roman" w:eastAsia="宋体" w:cs="Times New Roman"/>
                <w:color w:val="auto"/>
                <w:sz w:val="21"/>
                <w:szCs w:val="21"/>
                <w:lang w:val="en-US"/>
              </w:rPr>
              <w:t>2）Ⅲ类水质标准</w:t>
            </w:r>
            <w:r>
              <w:rPr>
                <w:rFonts w:hint="eastAsia" w:ascii="Times New Roman" w:hAnsi="Times New Roman" w:eastAsia="宋体" w:cs="Times New Roman"/>
                <w:color w:val="auto"/>
                <w:sz w:val="21"/>
                <w:szCs w:val="21"/>
                <w:lang w:val="en-US"/>
              </w:rPr>
              <w:t>要求管控（pH值范围6-9（无量纲）、化学需</w:t>
            </w:r>
            <w:r>
              <w:rPr>
                <w:rFonts w:hint="default" w:ascii="Times New Roman" w:hAnsi="Times New Roman" w:eastAsia="宋体" w:cs="Times New Roman"/>
                <w:color w:val="auto"/>
                <w:sz w:val="21"/>
                <w:szCs w:val="21"/>
                <w:lang w:val="en-US"/>
              </w:rPr>
              <w:t>氧量≤20mg/L、石油类≤0.05mg/L）。</w:t>
            </w:r>
          </w:p>
          <w:p>
            <w:pPr>
              <w:spacing w:line="360" w:lineRule="auto"/>
              <w:ind w:firstLine="420" w:firstLineChars="200"/>
              <w:rPr>
                <w:rFonts w:hint="eastAsia" w:ascii="Times New Roman" w:hAnsi="Times New Roman" w:eastAsia="宋体" w:cs="Times New Roman"/>
                <w:color w:val="FF0000"/>
                <w:sz w:val="21"/>
                <w:szCs w:val="21"/>
                <w:lang w:val="en-US"/>
              </w:rPr>
            </w:pPr>
            <w:r>
              <w:rPr>
                <w:rFonts w:hint="eastAsia" w:ascii="Times New Roman" w:hAnsi="Times New Roman" w:eastAsia="宋体" w:cs="Times New Roman"/>
                <w:color w:val="FF0000"/>
                <w:sz w:val="21"/>
                <w:szCs w:val="21"/>
                <w:lang w:val="en-US" w:eastAsia="zh-CN"/>
              </w:rPr>
              <w:t>本项目</w:t>
            </w:r>
            <w:r>
              <w:rPr>
                <w:rFonts w:hint="eastAsia" w:ascii="Times New Roman" w:hAnsi="Times New Roman" w:eastAsia="宋体" w:cs="Times New Roman"/>
                <w:color w:val="FF0000"/>
                <w:sz w:val="21"/>
                <w:szCs w:val="21"/>
                <w:lang w:val="en-US"/>
              </w:rPr>
              <w:t>蒸汽冷凝水回用于</w:t>
            </w:r>
            <w:r>
              <w:rPr>
                <w:rFonts w:hint="eastAsia" w:ascii="Times New Roman" w:hAnsi="Times New Roman" w:eastAsia="宋体" w:cs="Times New Roman"/>
                <w:color w:val="FF0000"/>
                <w:sz w:val="21"/>
                <w:szCs w:val="21"/>
                <w:lang w:val="en-US" w:eastAsia="zh-CN"/>
              </w:rPr>
              <w:t>锅炉用水，回用水标准执行</w:t>
            </w:r>
            <w:r>
              <w:rPr>
                <w:rFonts w:hint="eastAsia" w:ascii="Times New Roman" w:hAnsi="Times New Roman" w:eastAsia="宋体" w:cs="Times New Roman"/>
                <w:color w:val="FF0000"/>
                <w:sz w:val="21"/>
                <w:szCs w:val="21"/>
                <w:lang w:val="en-US"/>
              </w:rPr>
              <w:t>《城市污水再生利用 工业用水水质》(GB/T19923-2024)标准中表1</w:t>
            </w:r>
            <w:r>
              <w:rPr>
                <w:rFonts w:hint="eastAsia" w:ascii="Times New Roman" w:hAnsi="Times New Roman" w:eastAsia="宋体" w:cs="Times New Roman"/>
                <w:color w:val="FF0000"/>
                <w:sz w:val="21"/>
                <w:szCs w:val="21"/>
                <w:lang w:val="en-US" w:eastAsia="zh-CN"/>
              </w:rPr>
              <w:t>锅炉补给</w:t>
            </w:r>
            <w:r>
              <w:rPr>
                <w:rFonts w:hint="eastAsia" w:ascii="Times New Roman" w:hAnsi="Times New Roman" w:eastAsia="宋体" w:cs="Times New Roman"/>
                <w:color w:val="FF0000"/>
                <w:sz w:val="21"/>
                <w:szCs w:val="21"/>
                <w:lang w:val="en-US"/>
              </w:rPr>
              <w:t>水标准</w:t>
            </w:r>
            <w:r>
              <w:rPr>
                <w:rFonts w:hint="eastAsia" w:ascii="Times New Roman" w:hAnsi="Times New Roman" w:eastAsia="宋体" w:cs="Times New Roman"/>
                <w:color w:val="FF0000"/>
                <w:sz w:val="21"/>
                <w:szCs w:val="21"/>
                <w:lang w:val="en-US" w:eastAsia="zh-CN"/>
              </w:rPr>
              <w:t>，</w:t>
            </w:r>
            <w:r>
              <w:rPr>
                <w:rFonts w:hint="eastAsia" w:ascii="Times New Roman" w:hAnsi="Times New Roman" w:eastAsia="宋体" w:cs="Times New Roman"/>
                <w:color w:val="FF0000"/>
                <w:sz w:val="21"/>
                <w:szCs w:val="21"/>
                <w:lang w:val="en-US"/>
              </w:rPr>
              <w:t>详见表3-</w:t>
            </w:r>
            <w:r>
              <w:rPr>
                <w:rFonts w:hint="eastAsia" w:ascii="Times New Roman" w:hAnsi="Times New Roman" w:eastAsia="宋体" w:cs="Times New Roman"/>
                <w:color w:val="FF0000"/>
                <w:sz w:val="21"/>
                <w:szCs w:val="21"/>
                <w:lang w:val="en-US" w:eastAsia="zh-CN"/>
              </w:rPr>
              <w:t>10</w:t>
            </w:r>
            <w:r>
              <w:rPr>
                <w:rFonts w:hint="eastAsia" w:ascii="Times New Roman" w:hAnsi="Times New Roman" w:eastAsia="宋体" w:cs="Times New Roman"/>
                <w:color w:val="FF0000"/>
                <w:sz w:val="21"/>
                <w:szCs w:val="21"/>
                <w:lang w:val="en-US"/>
              </w:rPr>
              <w:t>。</w:t>
            </w:r>
          </w:p>
          <w:p>
            <w:pPr>
              <w:adjustRightInd w:val="0"/>
              <w:snapToGrid w:val="0"/>
              <w:spacing w:line="360" w:lineRule="auto"/>
              <w:ind w:firstLine="482"/>
              <w:jc w:val="center"/>
              <w:rPr>
                <w:color w:val="FF0000"/>
                <w:sz w:val="21"/>
                <w:szCs w:val="21"/>
              </w:rPr>
            </w:pPr>
            <w:r>
              <w:rPr>
                <w:b/>
                <w:bCs/>
                <w:color w:val="FF0000"/>
                <w:kern w:val="0"/>
                <w:sz w:val="21"/>
                <w:szCs w:val="21"/>
              </w:rPr>
              <w:t>表3-</w:t>
            </w:r>
            <w:r>
              <w:rPr>
                <w:rFonts w:hint="eastAsia"/>
                <w:b/>
                <w:bCs/>
                <w:color w:val="FF0000"/>
                <w:kern w:val="0"/>
                <w:sz w:val="21"/>
                <w:szCs w:val="21"/>
                <w:lang w:val="en-US" w:eastAsia="zh-CN"/>
              </w:rPr>
              <w:t>10</w:t>
            </w:r>
            <w:r>
              <w:rPr>
                <w:rFonts w:hint="eastAsia"/>
                <w:b/>
                <w:bCs/>
                <w:color w:val="FF0000"/>
                <w:kern w:val="0"/>
                <w:sz w:val="21"/>
                <w:szCs w:val="21"/>
              </w:rPr>
              <w:t xml:space="preserve">  回用水</w:t>
            </w:r>
            <w:r>
              <w:rPr>
                <w:b/>
                <w:bCs/>
                <w:color w:val="FF0000"/>
                <w:kern w:val="0"/>
                <w:sz w:val="21"/>
                <w:szCs w:val="21"/>
              </w:rPr>
              <w:t xml:space="preserve">标准 </w:t>
            </w:r>
            <w:r>
              <w:rPr>
                <w:rFonts w:hint="eastAsia"/>
                <w:b/>
                <w:bCs/>
                <w:color w:val="FF0000"/>
                <w:kern w:val="0"/>
                <w:sz w:val="21"/>
                <w:szCs w:val="21"/>
              </w:rPr>
              <w:t xml:space="preserve">  </w:t>
            </w:r>
            <w:r>
              <w:rPr>
                <w:rFonts w:hint="eastAsia"/>
                <w:color w:val="FF0000"/>
                <w:kern w:val="0"/>
                <w:sz w:val="21"/>
                <w:szCs w:val="21"/>
              </w:rPr>
              <w:t xml:space="preserve"> </w:t>
            </w:r>
            <w:r>
              <w:rPr>
                <w:color w:val="FF0000"/>
                <w:kern w:val="0"/>
                <w:sz w:val="21"/>
                <w:szCs w:val="21"/>
              </w:rPr>
              <w:t>单位：mg/L、pH无量纲</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6"/>
              <w:gridCol w:w="5074"/>
              <w:gridCol w:w="25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
                      <w:color w:val="FF0000"/>
                      <w:kern w:val="0"/>
                      <w:sz w:val="20"/>
                      <w:szCs w:val="20"/>
                    </w:rPr>
                  </w:pPr>
                  <w:bookmarkStart w:id="14" w:name="OLE_LINK81"/>
                  <w:r>
                    <w:rPr>
                      <w:rFonts w:hint="eastAsia"/>
                      <w:b/>
                      <w:color w:val="FF0000"/>
                      <w:kern w:val="0"/>
                      <w:sz w:val="20"/>
                      <w:szCs w:val="20"/>
                    </w:rPr>
                    <w:t>序号</w:t>
                  </w:r>
                </w:p>
              </w:tc>
              <w:tc>
                <w:tcPr>
                  <w:tcW w:w="2939" w:type="pct"/>
                  <w:noWrap w:val="0"/>
                  <w:vAlign w:val="center"/>
                </w:tcPr>
                <w:p>
                  <w:pPr>
                    <w:autoSpaceDE w:val="0"/>
                    <w:autoSpaceDN w:val="0"/>
                    <w:adjustRightInd w:val="0"/>
                    <w:snapToGrid w:val="0"/>
                    <w:jc w:val="center"/>
                    <w:rPr>
                      <w:rFonts w:hint="eastAsia"/>
                      <w:b/>
                      <w:color w:val="FF0000"/>
                      <w:kern w:val="0"/>
                      <w:sz w:val="20"/>
                      <w:szCs w:val="20"/>
                    </w:rPr>
                  </w:pPr>
                  <w:r>
                    <w:rPr>
                      <w:rFonts w:hint="eastAsia"/>
                      <w:b/>
                      <w:color w:val="FF0000"/>
                      <w:kern w:val="0"/>
                      <w:sz w:val="20"/>
                      <w:szCs w:val="20"/>
                    </w:rPr>
                    <w:t>项目</w:t>
                  </w:r>
                </w:p>
              </w:tc>
              <w:tc>
                <w:tcPr>
                  <w:tcW w:w="1482" w:type="pct"/>
                  <w:noWrap w:val="0"/>
                  <w:vAlign w:val="center"/>
                </w:tcPr>
                <w:p>
                  <w:pPr>
                    <w:autoSpaceDE w:val="0"/>
                    <w:autoSpaceDN w:val="0"/>
                    <w:adjustRightInd w:val="0"/>
                    <w:snapToGrid w:val="0"/>
                    <w:jc w:val="center"/>
                    <w:rPr>
                      <w:rFonts w:hint="eastAsia"/>
                      <w:b/>
                      <w:color w:val="FF0000"/>
                      <w:kern w:val="0"/>
                      <w:sz w:val="20"/>
                      <w:szCs w:val="20"/>
                    </w:rPr>
                  </w:pPr>
                  <w:r>
                    <w:rPr>
                      <w:rFonts w:hint="eastAsia"/>
                      <w:b/>
                      <w:color w:val="FF0000"/>
                      <w:kern w:val="0"/>
                      <w:sz w:val="20"/>
                      <w:szCs w:val="20"/>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1</w:t>
                  </w:r>
                </w:p>
              </w:tc>
              <w:tc>
                <w:tcPr>
                  <w:tcW w:w="2939" w:type="pct"/>
                  <w:noWrap w:val="0"/>
                  <w:vAlign w:val="center"/>
                </w:tcPr>
                <w:p>
                  <w:pPr>
                    <w:autoSpaceDE w:val="0"/>
                    <w:autoSpaceDN w:val="0"/>
                    <w:adjustRightInd w:val="0"/>
                    <w:snapToGrid w:val="0"/>
                    <w:jc w:val="center"/>
                    <w:rPr>
                      <w:rFonts w:hint="eastAsia"/>
                      <w:bCs/>
                      <w:color w:val="FF0000"/>
                      <w:kern w:val="0"/>
                      <w:sz w:val="20"/>
                      <w:szCs w:val="20"/>
                    </w:rPr>
                  </w:pPr>
                  <w:r>
                    <w:rPr>
                      <w:rFonts w:hint="eastAsia"/>
                      <w:color w:val="FF0000"/>
                      <w:sz w:val="20"/>
                      <w:szCs w:val="20"/>
                    </w:rPr>
                    <w:t>pH值</w:t>
                  </w:r>
                </w:p>
              </w:tc>
              <w:tc>
                <w:tcPr>
                  <w:tcW w:w="1482" w:type="pct"/>
                  <w:noWrap w:val="0"/>
                  <w:vAlign w:val="center"/>
                </w:tcPr>
                <w:p>
                  <w:pPr>
                    <w:autoSpaceDE w:val="0"/>
                    <w:autoSpaceDN w:val="0"/>
                    <w:adjustRightInd w:val="0"/>
                    <w:snapToGrid w:val="0"/>
                    <w:jc w:val="center"/>
                    <w:rPr>
                      <w:rFonts w:hint="default" w:eastAsia="宋体"/>
                      <w:bCs/>
                      <w:color w:val="FF0000"/>
                      <w:kern w:val="0"/>
                      <w:sz w:val="20"/>
                      <w:szCs w:val="20"/>
                      <w:lang w:val="en-US" w:eastAsia="zh-CN"/>
                    </w:rPr>
                  </w:pPr>
                  <w:r>
                    <w:rPr>
                      <w:rFonts w:hint="eastAsia"/>
                      <w:bCs/>
                      <w:color w:val="FF0000"/>
                      <w:kern w:val="0"/>
                      <w:sz w:val="20"/>
                      <w:szCs w:val="20"/>
                      <w:lang w:val="en-US" w:eastAsia="zh-CN"/>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2</w:t>
                  </w:r>
                </w:p>
              </w:tc>
              <w:tc>
                <w:tcPr>
                  <w:tcW w:w="2939" w:type="pct"/>
                  <w:noWrap w:val="0"/>
                  <w:vAlign w:val="center"/>
                </w:tcPr>
                <w:p>
                  <w:pPr>
                    <w:autoSpaceDE w:val="0"/>
                    <w:autoSpaceDN w:val="0"/>
                    <w:adjustRightInd w:val="0"/>
                    <w:snapToGrid w:val="0"/>
                    <w:jc w:val="center"/>
                    <w:rPr>
                      <w:rFonts w:hint="default" w:ascii="Times New Roman" w:hAnsi="Times New Roman" w:cs="Times New Roman"/>
                      <w:bCs/>
                      <w:color w:val="FF0000"/>
                      <w:kern w:val="0"/>
                      <w:sz w:val="20"/>
                      <w:szCs w:val="20"/>
                    </w:rPr>
                  </w:pPr>
                  <w:r>
                    <w:rPr>
                      <w:rFonts w:hint="default" w:ascii="Times New Roman" w:hAnsi="Times New Roman" w:cs="Times New Roman"/>
                      <w:color w:val="FF0000"/>
                      <w:sz w:val="20"/>
                      <w:szCs w:val="20"/>
                    </w:rPr>
                    <w:t>化学需氧量COD（mg/L）≤</w:t>
                  </w:r>
                </w:p>
              </w:tc>
              <w:tc>
                <w:tcPr>
                  <w:tcW w:w="1482"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3</w:t>
                  </w:r>
                </w:p>
              </w:tc>
              <w:tc>
                <w:tcPr>
                  <w:tcW w:w="2939"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default" w:ascii="Times New Roman" w:hAnsi="Times New Roman" w:cs="Times New Roman"/>
                      <w:color w:val="FF0000"/>
                      <w:sz w:val="20"/>
                      <w:szCs w:val="20"/>
                    </w:rPr>
                    <w:t>色度（稀释倍数）≤</w:t>
                  </w:r>
                </w:p>
              </w:tc>
              <w:tc>
                <w:tcPr>
                  <w:tcW w:w="1482" w:type="pct"/>
                  <w:shd w:val="clear" w:color="auto" w:fill="auto"/>
                  <w:noWrap w:val="0"/>
                  <w:vAlign w:val="center"/>
                </w:tcPr>
                <w:p>
                  <w:pPr>
                    <w:autoSpaceDE w:val="0"/>
                    <w:autoSpaceDN w:val="0"/>
                    <w:adjustRightInd w:val="0"/>
                    <w:snapToGrid w:val="0"/>
                    <w:jc w:val="center"/>
                    <w:rPr>
                      <w:rFonts w:hint="eastAsia" w:ascii="Times New Roman" w:hAnsi="Times New Roman" w:eastAsia="宋体" w:cs="Times New Roman"/>
                      <w:bCs/>
                      <w:color w:val="FF0000"/>
                      <w:kern w:val="0"/>
                      <w:sz w:val="20"/>
                      <w:szCs w:val="20"/>
                      <w:lang w:val="en-US" w:eastAsia="zh-CN" w:bidi="ar-SA"/>
                    </w:rPr>
                  </w:pPr>
                  <w:r>
                    <w:rPr>
                      <w:rFonts w:hint="eastAsia"/>
                      <w:bCs/>
                      <w:color w:val="FF0000"/>
                      <w:kern w:val="0"/>
                      <w:sz w:val="20"/>
                      <w:szCs w:val="20"/>
                    </w:rPr>
                    <w:t>2</w:t>
                  </w:r>
                  <w:r>
                    <w:rPr>
                      <w:rFonts w:hint="eastAsia"/>
                      <w:bCs/>
                      <w:color w:val="FF0000"/>
                      <w:kern w:val="0"/>
                      <w:sz w:val="20"/>
                      <w:szCs w:val="2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4</w:t>
                  </w:r>
                </w:p>
              </w:tc>
              <w:tc>
                <w:tcPr>
                  <w:tcW w:w="2939"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default" w:ascii="Times New Roman" w:hAnsi="Times New Roman" w:cs="Times New Roman"/>
                      <w:color w:val="FF0000"/>
                      <w:sz w:val="20"/>
                      <w:szCs w:val="20"/>
                    </w:rPr>
                    <w:t>铁（mg/L）≤</w:t>
                  </w:r>
                </w:p>
              </w:tc>
              <w:tc>
                <w:tcPr>
                  <w:tcW w:w="1482" w:type="pct"/>
                  <w:shd w:val="clear" w:color="auto" w:fill="auto"/>
                  <w:noWrap w:val="0"/>
                  <w:vAlign w:val="center"/>
                </w:tcPr>
                <w:p>
                  <w:pPr>
                    <w:autoSpaceDE w:val="0"/>
                    <w:autoSpaceDN w:val="0"/>
                    <w:adjustRightInd w:val="0"/>
                    <w:snapToGrid w:val="0"/>
                    <w:jc w:val="center"/>
                    <w:rPr>
                      <w:rFonts w:hint="eastAsia" w:ascii="Times New Roman" w:hAnsi="Times New Roman" w:eastAsia="宋体" w:cs="Times New Roman"/>
                      <w:bCs/>
                      <w:color w:val="FF0000"/>
                      <w:kern w:val="0"/>
                      <w:sz w:val="20"/>
                      <w:szCs w:val="20"/>
                      <w:lang w:val="en-US" w:eastAsia="zh-CN" w:bidi="ar-SA"/>
                    </w:rPr>
                  </w:pPr>
                  <w:r>
                    <w:rPr>
                      <w:rFonts w:hint="eastAsia"/>
                      <w:bCs/>
                      <w:color w:val="FF0000"/>
                      <w:kern w:val="0"/>
                      <w:sz w:val="20"/>
                      <w:szCs w:val="20"/>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5</w:t>
                  </w:r>
                </w:p>
              </w:tc>
              <w:tc>
                <w:tcPr>
                  <w:tcW w:w="2939"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default" w:ascii="Times New Roman" w:hAnsi="Times New Roman" w:cs="Times New Roman"/>
                      <w:color w:val="FF0000"/>
                      <w:sz w:val="20"/>
                      <w:szCs w:val="20"/>
                    </w:rPr>
                    <w:t>锰（mg/L）≤</w:t>
                  </w:r>
                </w:p>
              </w:tc>
              <w:tc>
                <w:tcPr>
                  <w:tcW w:w="1482" w:type="pct"/>
                  <w:shd w:val="clear" w:color="auto" w:fill="auto"/>
                  <w:noWrap w:val="0"/>
                  <w:vAlign w:val="center"/>
                </w:tcPr>
                <w:p>
                  <w:pPr>
                    <w:autoSpaceDE w:val="0"/>
                    <w:autoSpaceDN w:val="0"/>
                    <w:adjustRightInd w:val="0"/>
                    <w:snapToGrid w:val="0"/>
                    <w:jc w:val="center"/>
                    <w:rPr>
                      <w:rFonts w:hint="eastAsia" w:ascii="Times New Roman" w:hAnsi="Times New Roman" w:eastAsia="宋体" w:cs="Times New Roman"/>
                      <w:bCs/>
                      <w:color w:val="FF0000"/>
                      <w:kern w:val="0"/>
                      <w:sz w:val="20"/>
                      <w:szCs w:val="20"/>
                      <w:lang w:val="en-US" w:eastAsia="zh-CN" w:bidi="ar-SA"/>
                    </w:rPr>
                  </w:pPr>
                  <w:r>
                    <w:rPr>
                      <w:rFonts w:hint="eastAsia"/>
                      <w:bCs/>
                      <w:color w:val="FF0000"/>
                      <w:kern w:val="0"/>
                      <w:sz w:val="20"/>
                      <w:szCs w:val="20"/>
                    </w:rPr>
                    <w:t>0.</w:t>
                  </w:r>
                  <w:r>
                    <w:rPr>
                      <w:rFonts w:hint="eastAsia"/>
                      <w:bCs/>
                      <w:color w:val="FF0000"/>
                      <w:kern w:val="0"/>
                      <w:sz w:val="20"/>
                      <w:szCs w:val="20"/>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6</w:t>
                  </w:r>
                </w:p>
              </w:tc>
              <w:tc>
                <w:tcPr>
                  <w:tcW w:w="2939"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default" w:ascii="Times New Roman" w:hAnsi="Times New Roman" w:cs="Times New Roman"/>
                      <w:color w:val="FF0000"/>
                      <w:sz w:val="20"/>
                      <w:szCs w:val="20"/>
                    </w:rPr>
                    <w:t>总硬度（以CaCO</w:t>
                  </w:r>
                  <w:r>
                    <w:rPr>
                      <w:rFonts w:hint="default" w:ascii="Times New Roman" w:hAnsi="Times New Roman" w:cs="Times New Roman"/>
                      <w:color w:val="FF0000"/>
                      <w:sz w:val="20"/>
                      <w:szCs w:val="20"/>
                      <w:vertAlign w:val="subscript"/>
                    </w:rPr>
                    <w:t>3</w:t>
                  </w:r>
                  <w:r>
                    <w:rPr>
                      <w:rFonts w:hint="default" w:ascii="Times New Roman" w:hAnsi="Times New Roman" w:cs="Times New Roman"/>
                      <w:color w:val="FF0000"/>
                      <w:sz w:val="20"/>
                      <w:szCs w:val="20"/>
                    </w:rPr>
                    <w:t>计）（mg/L）≤</w:t>
                  </w:r>
                </w:p>
              </w:tc>
              <w:tc>
                <w:tcPr>
                  <w:tcW w:w="1482" w:type="pct"/>
                  <w:shd w:val="clear" w:color="auto" w:fill="auto"/>
                  <w:noWrap w:val="0"/>
                  <w:vAlign w:val="center"/>
                </w:tcPr>
                <w:p>
                  <w:pPr>
                    <w:autoSpaceDE w:val="0"/>
                    <w:autoSpaceDN w:val="0"/>
                    <w:adjustRightInd w:val="0"/>
                    <w:snapToGrid w:val="0"/>
                    <w:jc w:val="center"/>
                    <w:rPr>
                      <w:rFonts w:hint="eastAsia" w:ascii="Times New Roman" w:hAnsi="Times New Roman" w:eastAsia="宋体" w:cs="Times New Roman"/>
                      <w:bCs/>
                      <w:color w:val="FF0000"/>
                      <w:kern w:val="0"/>
                      <w:sz w:val="20"/>
                      <w:szCs w:val="20"/>
                      <w:lang w:val="en-US" w:eastAsia="zh-CN" w:bidi="ar-SA"/>
                    </w:rPr>
                  </w:pPr>
                  <w:r>
                    <w:rPr>
                      <w:rFonts w:hint="eastAsia"/>
                      <w:bCs/>
                      <w:color w:val="FF0000"/>
                      <w:kern w:val="0"/>
                      <w:sz w:val="20"/>
                      <w:szCs w:val="20"/>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7</w:t>
                  </w:r>
                </w:p>
              </w:tc>
              <w:tc>
                <w:tcPr>
                  <w:tcW w:w="2939"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default" w:ascii="Times New Roman" w:hAnsi="Times New Roman" w:cs="Times New Roman"/>
                      <w:color w:val="FF0000"/>
                      <w:sz w:val="20"/>
                      <w:szCs w:val="20"/>
                      <w:lang w:val="en-US" w:eastAsia="zh-CN"/>
                    </w:rPr>
                    <w:t>氨氮（以N计）</w:t>
                  </w:r>
                  <w:r>
                    <w:rPr>
                      <w:rFonts w:hint="default" w:ascii="Times New Roman" w:hAnsi="Times New Roman" w:cs="Times New Roman"/>
                      <w:color w:val="FF0000"/>
                      <w:sz w:val="20"/>
                      <w:szCs w:val="20"/>
                    </w:rPr>
                    <w:t>（mg/L）≤</w:t>
                  </w:r>
                </w:p>
              </w:tc>
              <w:tc>
                <w:tcPr>
                  <w:tcW w:w="1482" w:type="pct"/>
                  <w:shd w:val="clear" w:color="auto" w:fill="auto"/>
                  <w:noWrap w:val="0"/>
                  <w:vAlign w:val="center"/>
                </w:tcPr>
                <w:p>
                  <w:pPr>
                    <w:autoSpaceDE w:val="0"/>
                    <w:autoSpaceDN w:val="0"/>
                    <w:adjustRightInd w:val="0"/>
                    <w:snapToGrid w:val="0"/>
                    <w:jc w:val="center"/>
                    <w:rPr>
                      <w:rFonts w:hint="eastAsia" w:ascii="Times New Roman" w:hAnsi="Times New Roman" w:eastAsia="宋体" w:cs="Times New Roman"/>
                      <w:bCs/>
                      <w:color w:val="FF0000"/>
                      <w:kern w:val="0"/>
                      <w:sz w:val="20"/>
                      <w:szCs w:val="20"/>
                      <w:lang w:val="en-US" w:eastAsia="zh-CN" w:bidi="ar-SA"/>
                    </w:rPr>
                  </w:pPr>
                  <w:r>
                    <w:rPr>
                      <w:rFonts w:hint="eastAsia"/>
                      <w:bCs/>
                      <w:color w:val="FF0000"/>
                      <w:kern w:val="0"/>
                      <w:sz w:val="20"/>
                      <w:szCs w:val="20"/>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8</w:t>
                  </w:r>
                </w:p>
              </w:tc>
              <w:tc>
                <w:tcPr>
                  <w:tcW w:w="2939"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default" w:ascii="Times New Roman" w:hAnsi="Times New Roman" w:cs="Times New Roman"/>
                      <w:color w:val="FF0000"/>
                      <w:sz w:val="20"/>
                      <w:szCs w:val="20"/>
                      <w:lang w:val="en-US" w:eastAsia="zh-CN"/>
                    </w:rPr>
                    <w:t>总氮</w:t>
                  </w:r>
                  <w:r>
                    <w:rPr>
                      <w:rFonts w:hint="default" w:ascii="Times New Roman" w:hAnsi="Times New Roman" w:cs="Times New Roman"/>
                      <w:color w:val="FF0000"/>
                      <w:sz w:val="20"/>
                      <w:szCs w:val="20"/>
                    </w:rPr>
                    <w:t>（mg/L）≤</w:t>
                  </w:r>
                </w:p>
              </w:tc>
              <w:tc>
                <w:tcPr>
                  <w:tcW w:w="1482"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eastAsia"/>
                      <w:bCs/>
                      <w:color w:val="FF0000"/>
                      <w:kern w:val="0"/>
                      <w:sz w:val="20"/>
                      <w:szCs w:val="20"/>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7" w:type="pct"/>
                  <w:noWrap w:val="0"/>
                  <w:vAlign w:val="center"/>
                </w:tcPr>
                <w:p>
                  <w:pPr>
                    <w:autoSpaceDE w:val="0"/>
                    <w:autoSpaceDN w:val="0"/>
                    <w:adjustRightInd w:val="0"/>
                    <w:snapToGrid w:val="0"/>
                    <w:jc w:val="center"/>
                    <w:rPr>
                      <w:rFonts w:hint="eastAsia"/>
                      <w:bCs/>
                      <w:color w:val="FF0000"/>
                      <w:kern w:val="0"/>
                      <w:sz w:val="20"/>
                      <w:szCs w:val="20"/>
                    </w:rPr>
                  </w:pPr>
                  <w:r>
                    <w:rPr>
                      <w:rFonts w:hint="eastAsia"/>
                      <w:bCs/>
                      <w:color w:val="FF0000"/>
                      <w:kern w:val="0"/>
                      <w:sz w:val="20"/>
                      <w:szCs w:val="20"/>
                    </w:rPr>
                    <w:t>9</w:t>
                  </w:r>
                </w:p>
              </w:tc>
              <w:tc>
                <w:tcPr>
                  <w:tcW w:w="2939"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default" w:ascii="Times New Roman" w:hAnsi="Times New Roman" w:cs="Times New Roman"/>
                      <w:color w:val="FF0000"/>
                      <w:sz w:val="20"/>
                      <w:szCs w:val="20"/>
                      <w:lang w:val="en-US" w:eastAsia="zh-CN"/>
                    </w:rPr>
                    <w:t>总磷</w:t>
                  </w:r>
                  <w:r>
                    <w:rPr>
                      <w:rFonts w:hint="default" w:ascii="Times New Roman" w:hAnsi="Times New Roman" w:cs="Times New Roman"/>
                      <w:color w:val="FF0000"/>
                      <w:sz w:val="20"/>
                      <w:szCs w:val="20"/>
                    </w:rPr>
                    <w:t>（mg/L）≤</w:t>
                  </w:r>
                </w:p>
              </w:tc>
              <w:tc>
                <w:tcPr>
                  <w:tcW w:w="1482" w:type="pct"/>
                  <w:shd w:val="clear" w:color="auto" w:fill="auto"/>
                  <w:noWrap w:val="0"/>
                  <w:vAlign w:val="center"/>
                </w:tcPr>
                <w:p>
                  <w:pPr>
                    <w:autoSpaceDE w:val="0"/>
                    <w:autoSpaceDN w:val="0"/>
                    <w:adjustRightInd w:val="0"/>
                    <w:snapToGrid w:val="0"/>
                    <w:jc w:val="center"/>
                    <w:rPr>
                      <w:rFonts w:hint="default" w:ascii="Times New Roman" w:hAnsi="Times New Roman" w:eastAsia="宋体" w:cs="Times New Roman"/>
                      <w:bCs/>
                      <w:color w:val="FF0000"/>
                      <w:kern w:val="0"/>
                      <w:sz w:val="20"/>
                      <w:szCs w:val="20"/>
                      <w:lang w:val="en-US" w:eastAsia="zh-CN" w:bidi="ar-SA"/>
                    </w:rPr>
                  </w:pPr>
                  <w:r>
                    <w:rPr>
                      <w:rFonts w:hint="eastAsia"/>
                      <w:bCs/>
                      <w:color w:val="FF0000"/>
                      <w:kern w:val="0"/>
                      <w:sz w:val="20"/>
                      <w:szCs w:val="20"/>
                      <w:lang w:val="en-US" w:eastAsia="zh-CN"/>
                    </w:rPr>
                    <w:t>0.5</w:t>
                  </w:r>
                </w:p>
              </w:tc>
            </w:tr>
            <w:bookmarkEnd w:id="14"/>
          </w:tbl>
          <w:p>
            <w:pPr>
              <w:spacing w:line="360" w:lineRule="auto"/>
              <w:ind w:firstLine="422" w:firstLineChars="200"/>
              <w:rPr>
                <w:rFonts w:hint="eastAsia" w:ascii="Times New Roman Regular" w:hAnsi="Times New Roman Regular" w:cs="Times New Roman Regular"/>
                <w:b/>
                <w:color w:val="auto"/>
                <w:sz w:val="21"/>
                <w:szCs w:val="21"/>
                <w:lang w:eastAsia="zh-Hans"/>
              </w:rPr>
            </w:pPr>
            <w:r>
              <w:rPr>
                <w:rFonts w:hint="eastAsia" w:ascii="Times New Roman Regular" w:hAnsi="Times New Roman Regular" w:cs="Times New Roman Regular"/>
                <w:b/>
                <w:color w:val="auto"/>
                <w:sz w:val="21"/>
                <w:szCs w:val="21"/>
              </w:rPr>
              <w:t>3、</w:t>
            </w:r>
            <w:r>
              <w:rPr>
                <w:rFonts w:hint="eastAsia" w:ascii="Times New Roman Regular" w:hAnsi="Times New Roman Regular" w:cs="Times New Roman Regular"/>
                <w:b/>
                <w:color w:val="auto"/>
                <w:sz w:val="21"/>
                <w:szCs w:val="21"/>
                <w:lang w:eastAsia="zh-Hans"/>
              </w:rPr>
              <w:t>噪声</w:t>
            </w:r>
          </w:p>
          <w:p>
            <w:pPr>
              <w:adjustRightInd w:val="0"/>
              <w:snapToGrid w:val="0"/>
              <w:spacing w:line="360" w:lineRule="auto"/>
              <w:ind w:firstLine="420" w:firstLineChars="200"/>
              <w:rPr>
                <w:rFonts w:hint="eastAsia"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施工期场界噪声执行</w:t>
            </w:r>
            <w:r>
              <w:rPr>
                <w:rFonts w:hint="eastAsia" w:ascii="Times New Roman" w:hAnsi="Times New Roman" w:eastAsia="宋体" w:cs="Times New Roman"/>
                <w:bCs/>
                <w:color w:val="auto"/>
                <w:sz w:val="21"/>
                <w:szCs w:val="21"/>
              </w:rPr>
              <w:t>《建筑施工噪声排放标准》（GB 12523-2025）；</w:t>
            </w:r>
          </w:p>
          <w:p>
            <w:pPr>
              <w:adjustRightInd w:val="0"/>
              <w:snapToGrid w:val="0"/>
              <w:spacing w:line="360" w:lineRule="auto"/>
              <w:ind w:firstLine="420" w:firstLineChars="200"/>
              <w:rPr>
                <w:rFonts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rPr>
              <w:t>运营期</w:t>
            </w:r>
            <w:r>
              <w:rPr>
                <w:rFonts w:hint="eastAsia" w:cs="Times New Roman"/>
                <w:bCs/>
                <w:color w:val="auto"/>
                <w:sz w:val="21"/>
                <w:szCs w:val="21"/>
                <w:lang w:val="en-US" w:eastAsia="zh-CN"/>
              </w:rPr>
              <w:t>四侧</w:t>
            </w:r>
            <w:r>
              <w:rPr>
                <w:rFonts w:hint="eastAsia" w:ascii="Times New Roman" w:hAnsi="Times New Roman" w:eastAsia="宋体" w:cs="Times New Roman"/>
                <w:bCs/>
                <w:color w:val="auto"/>
                <w:sz w:val="21"/>
                <w:szCs w:val="21"/>
              </w:rPr>
              <w:t>厂界环境噪声排放执行《工业企业厂界环境噪声排放标准》（GB12348-2008）中</w:t>
            </w:r>
            <w:r>
              <w:rPr>
                <w:rFonts w:hint="eastAsia" w:ascii="Times New Roman" w:hAnsi="Times New Roman" w:eastAsia="宋体" w:cs="Times New Roman"/>
                <w:bCs/>
                <w:color w:val="auto"/>
                <w:sz w:val="21"/>
                <w:szCs w:val="21"/>
                <w:lang w:val="en-US" w:eastAsia="zh-CN"/>
              </w:rPr>
              <w:t>2</w:t>
            </w:r>
            <w:r>
              <w:rPr>
                <w:rFonts w:hint="eastAsia" w:ascii="Times New Roman" w:hAnsi="Times New Roman" w:eastAsia="宋体" w:cs="Times New Roman"/>
                <w:bCs/>
                <w:color w:val="auto"/>
                <w:sz w:val="21"/>
                <w:szCs w:val="21"/>
              </w:rPr>
              <w:t>类标准</w:t>
            </w:r>
            <w:r>
              <w:rPr>
                <w:rFonts w:hint="eastAsia" w:ascii="Times New Roman" w:hAnsi="Times New Roman" w:eastAsia="宋体" w:cs="Times New Roman"/>
                <w:bCs/>
                <w:color w:val="auto"/>
                <w:sz w:val="21"/>
                <w:szCs w:val="21"/>
                <w:lang w:eastAsia="zh-CN"/>
              </w:rPr>
              <w:t>，</w:t>
            </w:r>
            <w:r>
              <w:rPr>
                <w:rFonts w:hint="eastAsia" w:ascii="Times New Roman" w:hAnsi="Times New Roman" w:eastAsia="宋体" w:cs="Times New Roman"/>
                <w:bCs/>
                <w:color w:val="auto"/>
                <w:sz w:val="21"/>
                <w:szCs w:val="21"/>
                <w:lang w:val="en-US" w:eastAsia="zh-CN"/>
              </w:rPr>
              <w:t>南侧居民</w:t>
            </w:r>
            <w:r>
              <w:rPr>
                <w:rFonts w:hint="eastAsia" w:cs="Times New Roman"/>
                <w:bCs/>
                <w:color w:val="auto"/>
                <w:sz w:val="21"/>
                <w:szCs w:val="21"/>
                <w:lang w:val="en-US" w:eastAsia="zh-CN"/>
              </w:rPr>
              <w:t>（</w:t>
            </w:r>
            <w:r>
              <w:rPr>
                <w:rFonts w:hint="eastAsia"/>
                <w:bCs/>
                <w:color w:val="FF0000"/>
                <w:sz w:val="20"/>
                <w:szCs w:val="20"/>
                <w:lang w:val="en-US" w:eastAsia="zh-CN"/>
              </w:rPr>
              <w:t>马桥村十九组</w:t>
            </w:r>
            <w:r>
              <w:rPr>
                <w:rFonts w:hint="eastAsia" w:cs="Times New Roman"/>
                <w:bCs/>
                <w:color w:val="auto"/>
                <w:sz w:val="21"/>
                <w:szCs w:val="21"/>
                <w:lang w:val="en-US" w:eastAsia="zh-CN"/>
              </w:rPr>
              <w:t>）</w:t>
            </w:r>
            <w:r>
              <w:rPr>
                <w:rFonts w:hint="eastAsia" w:ascii="Times New Roman" w:hAnsi="Times New Roman" w:eastAsia="宋体" w:cs="Times New Roman"/>
                <w:bCs/>
                <w:color w:val="auto"/>
                <w:sz w:val="21"/>
                <w:szCs w:val="21"/>
                <w:lang w:val="en-US" w:eastAsia="zh-CN"/>
              </w:rPr>
              <w:t>执行4a类标准；西侧九华镇卫生院敏感点执行1类标准</w:t>
            </w:r>
            <w:r>
              <w:rPr>
                <w:rFonts w:hint="eastAsia" w:cs="Times New Roman"/>
                <w:bCs/>
                <w:color w:val="auto"/>
                <w:sz w:val="21"/>
                <w:szCs w:val="21"/>
                <w:lang w:val="en-US" w:eastAsia="zh-CN"/>
              </w:rPr>
              <w:t>。</w:t>
            </w:r>
          </w:p>
          <w:p>
            <w:pPr>
              <w:adjustRightInd w:val="0"/>
              <w:snapToGrid w:val="0"/>
              <w:jc w:val="center"/>
              <w:rPr>
                <w:b/>
                <w:bCs/>
                <w:sz w:val="21"/>
                <w:szCs w:val="21"/>
              </w:rPr>
            </w:pPr>
            <w:r>
              <w:rPr>
                <w:b/>
                <w:bCs/>
                <w:sz w:val="21"/>
                <w:szCs w:val="21"/>
              </w:rPr>
              <w:t>表</w:t>
            </w:r>
            <w:r>
              <w:rPr>
                <w:rFonts w:hint="eastAsia"/>
                <w:b/>
                <w:bCs/>
                <w:sz w:val="21"/>
                <w:szCs w:val="21"/>
              </w:rPr>
              <w:t>3-</w:t>
            </w:r>
            <w:r>
              <w:rPr>
                <w:rFonts w:hint="eastAsia"/>
                <w:b/>
                <w:bCs/>
                <w:sz w:val="21"/>
                <w:szCs w:val="21"/>
                <w:lang w:val="en-US" w:eastAsia="zh-CN"/>
              </w:rPr>
              <w:t>11</w:t>
            </w:r>
            <w:r>
              <w:rPr>
                <w:b/>
                <w:bCs/>
                <w:sz w:val="21"/>
                <w:szCs w:val="21"/>
              </w:rPr>
              <w:t xml:space="preserve">  </w:t>
            </w:r>
            <w:r>
              <w:rPr>
                <w:rFonts w:hint="eastAsia"/>
                <w:b/>
                <w:bCs/>
                <w:sz w:val="21"/>
                <w:szCs w:val="21"/>
              </w:rPr>
              <w:t>厂</w:t>
            </w:r>
            <w:r>
              <w:rPr>
                <w:b/>
                <w:bCs/>
                <w:sz w:val="21"/>
                <w:szCs w:val="21"/>
              </w:rPr>
              <w:t xml:space="preserve">界环境噪声排放限值  </w:t>
            </w:r>
            <w:r>
              <w:rPr>
                <w:sz w:val="21"/>
                <w:szCs w:val="21"/>
              </w:rPr>
              <w:t>（单位：dB（A））</w:t>
            </w:r>
          </w:p>
          <w:tbl>
            <w:tblPr>
              <w:tblStyle w:val="9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3"/>
              <w:gridCol w:w="1221"/>
              <w:gridCol w:w="750"/>
              <w:gridCol w:w="737"/>
              <w:gridCol w:w="56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pct"/>
                  <w:gridSpan w:val="2"/>
                  <w:tcBorders>
                    <w:bottom w:val="single" w:color="auto" w:sz="12" w:space="0"/>
                  </w:tcBorders>
                  <w:noWrap w:val="0"/>
                  <w:vAlign w:val="center"/>
                </w:tcPr>
                <w:p>
                  <w:pPr>
                    <w:adjustRightInd w:val="0"/>
                    <w:snapToGrid w:val="0"/>
                    <w:jc w:val="center"/>
                    <w:rPr>
                      <w:b/>
                      <w:bCs/>
                      <w:sz w:val="20"/>
                      <w:szCs w:val="20"/>
                    </w:rPr>
                  </w:pPr>
                  <w:r>
                    <w:rPr>
                      <w:b/>
                      <w:bCs/>
                      <w:sz w:val="20"/>
                      <w:szCs w:val="20"/>
                    </w:rPr>
                    <w:t>时期</w:t>
                  </w:r>
                </w:p>
              </w:tc>
              <w:tc>
                <w:tcPr>
                  <w:tcW w:w="434" w:type="pct"/>
                  <w:tcBorders>
                    <w:bottom w:val="single" w:color="auto" w:sz="12" w:space="0"/>
                  </w:tcBorders>
                  <w:noWrap w:val="0"/>
                  <w:vAlign w:val="center"/>
                </w:tcPr>
                <w:p>
                  <w:pPr>
                    <w:adjustRightInd w:val="0"/>
                    <w:snapToGrid w:val="0"/>
                    <w:jc w:val="center"/>
                    <w:rPr>
                      <w:b/>
                      <w:bCs/>
                      <w:sz w:val="20"/>
                      <w:szCs w:val="20"/>
                    </w:rPr>
                  </w:pPr>
                  <w:r>
                    <w:rPr>
                      <w:b/>
                      <w:bCs/>
                      <w:sz w:val="20"/>
                      <w:szCs w:val="20"/>
                    </w:rPr>
                    <w:t>昼间</w:t>
                  </w:r>
                </w:p>
              </w:tc>
              <w:tc>
                <w:tcPr>
                  <w:tcW w:w="427" w:type="pct"/>
                  <w:tcBorders>
                    <w:bottom w:val="single" w:color="auto" w:sz="12" w:space="0"/>
                  </w:tcBorders>
                  <w:noWrap w:val="0"/>
                  <w:vAlign w:val="center"/>
                </w:tcPr>
                <w:p>
                  <w:pPr>
                    <w:adjustRightInd w:val="0"/>
                    <w:snapToGrid w:val="0"/>
                    <w:jc w:val="center"/>
                    <w:rPr>
                      <w:b/>
                      <w:bCs/>
                      <w:sz w:val="20"/>
                      <w:szCs w:val="20"/>
                    </w:rPr>
                  </w:pPr>
                  <w:r>
                    <w:rPr>
                      <w:b/>
                      <w:bCs/>
                      <w:sz w:val="20"/>
                      <w:szCs w:val="20"/>
                    </w:rPr>
                    <w:t>夜间</w:t>
                  </w:r>
                </w:p>
              </w:tc>
              <w:tc>
                <w:tcPr>
                  <w:tcW w:w="3272" w:type="pct"/>
                  <w:tcBorders>
                    <w:bottom w:val="single" w:color="auto" w:sz="12" w:space="0"/>
                  </w:tcBorders>
                  <w:noWrap w:val="0"/>
                  <w:vAlign w:val="center"/>
                </w:tcPr>
                <w:p>
                  <w:pPr>
                    <w:adjustRightInd w:val="0"/>
                    <w:snapToGrid w:val="0"/>
                    <w:jc w:val="center"/>
                    <w:rPr>
                      <w:b/>
                      <w:bCs/>
                      <w:sz w:val="20"/>
                      <w:szCs w:val="20"/>
                    </w:rPr>
                  </w:pPr>
                  <w:r>
                    <w:rPr>
                      <w:b/>
                      <w:bCs/>
                      <w:sz w:val="20"/>
                      <w:szCs w:val="20"/>
                    </w:rPr>
                    <w:t>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6" w:type="pct"/>
                  <w:gridSpan w:val="2"/>
                  <w:tcBorders>
                    <w:top w:val="single" w:color="auto" w:sz="12" w:space="0"/>
                  </w:tcBorders>
                  <w:noWrap w:val="0"/>
                  <w:vAlign w:val="center"/>
                </w:tcPr>
                <w:p>
                  <w:pPr>
                    <w:adjustRightInd w:val="0"/>
                    <w:snapToGrid w:val="0"/>
                    <w:jc w:val="center"/>
                    <w:rPr>
                      <w:bCs/>
                      <w:sz w:val="20"/>
                      <w:szCs w:val="20"/>
                    </w:rPr>
                  </w:pPr>
                  <w:r>
                    <w:rPr>
                      <w:sz w:val="20"/>
                      <w:szCs w:val="20"/>
                    </w:rPr>
                    <w:t>施工期</w:t>
                  </w:r>
                </w:p>
              </w:tc>
              <w:tc>
                <w:tcPr>
                  <w:tcW w:w="434" w:type="pct"/>
                  <w:tcBorders>
                    <w:top w:val="single" w:color="auto" w:sz="12" w:space="0"/>
                  </w:tcBorders>
                  <w:noWrap w:val="0"/>
                  <w:vAlign w:val="center"/>
                </w:tcPr>
                <w:p>
                  <w:pPr>
                    <w:adjustRightInd w:val="0"/>
                    <w:snapToGrid w:val="0"/>
                    <w:jc w:val="center"/>
                    <w:rPr>
                      <w:bCs/>
                      <w:sz w:val="20"/>
                      <w:szCs w:val="20"/>
                    </w:rPr>
                  </w:pPr>
                  <w:r>
                    <w:rPr>
                      <w:bCs/>
                      <w:sz w:val="20"/>
                      <w:szCs w:val="20"/>
                    </w:rPr>
                    <w:t>70</w:t>
                  </w:r>
                </w:p>
              </w:tc>
              <w:tc>
                <w:tcPr>
                  <w:tcW w:w="427" w:type="pct"/>
                  <w:tcBorders>
                    <w:top w:val="single" w:color="auto" w:sz="12" w:space="0"/>
                  </w:tcBorders>
                  <w:noWrap w:val="0"/>
                  <w:vAlign w:val="center"/>
                </w:tcPr>
                <w:p>
                  <w:pPr>
                    <w:adjustRightInd w:val="0"/>
                    <w:snapToGrid w:val="0"/>
                    <w:jc w:val="center"/>
                    <w:rPr>
                      <w:bCs/>
                      <w:sz w:val="20"/>
                      <w:szCs w:val="20"/>
                    </w:rPr>
                  </w:pPr>
                  <w:r>
                    <w:rPr>
                      <w:bCs/>
                      <w:sz w:val="20"/>
                      <w:szCs w:val="20"/>
                    </w:rPr>
                    <w:t>55*</w:t>
                  </w:r>
                </w:p>
              </w:tc>
              <w:tc>
                <w:tcPr>
                  <w:tcW w:w="3272" w:type="pct"/>
                  <w:tcBorders>
                    <w:top w:val="single" w:color="auto" w:sz="12" w:space="0"/>
                  </w:tcBorders>
                  <w:noWrap w:val="0"/>
                  <w:vAlign w:val="center"/>
                </w:tcPr>
                <w:p>
                  <w:pPr>
                    <w:adjustRightInd w:val="0"/>
                    <w:snapToGrid w:val="0"/>
                    <w:jc w:val="center"/>
                    <w:rPr>
                      <w:bCs/>
                      <w:sz w:val="20"/>
                      <w:szCs w:val="20"/>
                    </w:rPr>
                  </w:pPr>
                  <w:r>
                    <w:rPr>
                      <w:rFonts w:hint="eastAsia"/>
                      <w:sz w:val="20"/>
                      <w:szCs w:val="20"/>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158" w:type="pct"/>
                  <w:vMerge w:val="restart"/>
                  <w:noWrap w:val="0"/>
                  <w:vAlign w:val="center"/>
                </w:tcPr>
                <w:p>
                  <w:pPr>
                    <w:adjustRightInd w:val="0"/>
                    <w:snapToGrid w:val="0"/>
                    <w:jc w:val="center"/>
                    <w:rPr>
                      <w:bCs/>
                      <w:sz w:val="20"/>
                      <w:szCs w:val="20"/>
                    </w:rPr>
                  </w:pPr>
                  <w:r>
                    <w:rPr>
                      <w:sz w:val="20"/>
                      <w:szCs w:val="20"/>
                    </w:rPr>
                    <w:t>运营期</w:t>
                  </w:r>
                </w:p>
              </w:tc>
              <w:tc>
                <w:tcPr>
                  <w:tcW w:w="707" w:type="pct"/>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东、西、南、北</w:t>
                  </w:r>
                </w:p>
              </w:tc>
              <w:tc>
                <w:tcPr>
                  <w:tcW w:w="434" w:type="pct"/>
                  <w:noWrap w:val="0"/>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60</w:t>
                  </w:r>
                </w:p>
              </w:tc>
              <w:tc>
                <w:tcPr>
                  <w:tcW w:w="427" w:type="pct"/>
                  <w:noWrap w:val="0"/>
                  <w:vAlign w:val="center"/>
                </w:tcPr>
                <w:p>
                  <w:pPr>
                    <w:adjustRightInd w:val="0"/>
                    <w:snapToGrid w:val="0"/>
                    <w:jc w:val="center"/>
                    <w:rPr>
                      <w:rFonts w:hint="default"/>
                      <w:bCs/>
                      <w:sz w:val="20"/>
                      <w:szCs w:val="20"/>
                      <w:lang w:val="en-US" w:eastAsia="zh-CN"/>
                    </w:rPr>
                  </w:pPr>
                  <w:r>
                    <w:rPr>
                      <w:rFonts w:hint="eastAsia"/>
                      <w:bCs/>
                      <w:sz w:val="20"/>
                      <w:szCs w:val="20"/>
                      <w:lang w:val="en-US" w:eastAsia="zh-CN"/>
                    </w:rPr>
                    <w:t>50</w:t>
                  </w:r>
                </w:p>
              </w:tc>
              <w:tc>
                <w:tcPr>
                  <w:tcW w:w="3272" w:type="pct"/>
                  <w:noWrap w:val="0"/>
                  <w:vAlign w:val="center"/>
                </w:tcPr>
                <w:p>
                  <w:pPr>
                    <w:adjustRightInd w:val="0"/>
                    <w:snapToGrid w:val="0"/>
                    <w:jc w:val="center"/>
                    <w:rPr>
                      <w:bCs/>
                      <w:sz w:val="20"/>
                      <w:szCs w:val="20"/>
                    </w:rPr>
                  </w:pPr>
                  <w:r>
                    <w:rPr>
                      <w:rFonts w:hint="eastAsia"/>
                      <w:sz w:val="20"/>
                      <w:szCs w:val="20"/>
                    </w:rPr>
                    <w:t>《工业企业厂界环境噪声排放标准》（GB12348-2008）中</w:t>
                  </w:r>
                  <w:r>
                    <w:rPr>
                      <w:rFonts w:hint="eastAsia"/>
                      <w:sz w:val="20"/>
                      <w:szCs w:val="20"/>
                      <w:lang w:val="en-US" w:eastAsia="zh-CN"/>
                    </w:rPr>
                    <w:t>2</w:t>
                  </w:r>
                  <w:r>
                    <w:rPr>
                      <w:rFonts w:hint="eastAsia"/>
                      <w:sz w:val="20"/>
                      <w:szCs w:val="20"/>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58" w:type="pct"/>
                  <w:vMerge w:val="continue"/>
                  <w:noWrap w:val="0"/>
                  <w:vAlign w:val="center"/>
                </w:tcPr>
                <w:p>
                  <w:pPr>
                    <w:adjustRightInd w:val="0"/>
                    <w:snapToGrid w:val="0"/>
                    <w:jc w:val="center"/>
                    <w:rPr>
                      <w:sz w:val="20"/>
                      <w:szCs w:val="20"/>
                    </w:rPr>
                  </w:pPr>
                </w:p>
              </w:tc>
              <w:tc>
                <w:tcPr>
                  <w:tcW w:w="707" w:type="pct"/>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九华镇卫生院</w:t>
                  </w:r>
                </w:p>
              </w:tc>
              <w:tc>
                <w:tcPr>
                  <w:tcW w:w="434" w:type="pct"/>
                  <w:noWrap w:val="0"/>
                  <w:vAlign w:val="center"/>
                </w:tcPr>
                <w:p>
                  <w:pPr>
                    <w:adjustRightInd w:val="0"/>
                    <w:snapToGrid w:val="0"/>
                    <w:jc w:val="center"/>
                    <w:rPr>
                      <w:rFonts w:hint="default" w:eastAsia="宋体"/>
                      <w:bCs/>
                      <w:sz w:val="20"/>
                      <w:szCs w:val="20"/>
                      <w:lang w:val="en-US" w:eastAsia="zh-CN"/>
                    </w:rPr>
                  </w:pPr>
                  <w:r>
                    <w:rPr>
                      <w:rFonts w:hint="eastAsia"/>
                      <w:bCs/>
                      <w:sz w:val="20"/>
                      <w:szCs w:val="20"/>
                      <w:lang w:val="en-US" w:eastAsia="zh-CN"/>
                    </w:rPr>
                    <w:t>55</w:t>
                  </w:r>
                </w:p>
              </w:tc>
              <w:tc>
                <w:tcPr>
                  <w:tcW w:w="427" w:type="pct"/>
                  <w:noWrap w:val="0"/>
                  <w:vAlign w:val="center"/>
                </w:tcPr>
                <w:p>
                  <w:pPr>
                    <w:adjustRightInd w:val="0"/>
                    <w:snapToGrid w:val="0"/>
                    <w:jc w:val="center"/>
                    <w:rPr>
                      <w:rFonts w:hint="default"/>
                      <w:bCs/>
                      <w:sz w:val="20"/>
                      <w:szCs w:val="20"/>
                      <w:lang w:val="en-US" w:eastAsia="zh-CN"/>
                    </w:rPr>
                  </w:pPr>
                  <w:r>
                    <w:rPr>
                      <w:rFonts w:hint="eastAsia"/>
                      <w:bCs/>
                      <w:sz w:val="20"/>
                      <w:szCs w:val="20"/>
                      <w:lang w:val="en-US" w:eastAsia="zh-CN"/>
                    </w:rPr>
                    <w:t>45</w:t>
                  </w:r>
                </w:p>
              </w:tc>
              <w:tc>
                <w:tcPr>
                  <w:tcW w:w="3272" w:type="pct"/>
                  <w:noWrap w:val="0"/>
                  <w:vAlign w:val="center"/>
                </w:tcPr>
                <w:p>
                  <w:pPr>
                    <w:adjustRightInd w:val="0"/>
                    <w:snapToGrid w:val="0"/>
                    <w:jc w:val="center"/>
                    <w:rPr>
                      <w:rFonts w:hint="eastAsia"/>
                      <w:sz w:val="20"/>
                      <w:szCs w:val="20"/>
                    </w:rPr>
                  </w:pPr>
                  <w:r>
                    <w:rPr>
                      <w:rFonts w:hint="eastAsia"/>
                      <w:sz w:val="20"/>
                      <w:szCs w:val="20"/>
                    </w:rPr>
                    <w:t>《工业企业厂界环境噪声排放标准》（GB12348-2008）中</w:t>
                  </w:r>
                  <w:r>
                    <w:rPr>
                      <w:rFonts w:hint="eastAsia"/>
                      <w:sz w:val="20"/>
                      <w:szCs w:val="20"/>
                      <w:lang w:val="en-US" w:eastAsia="zh-CN"/>
                    </w:rPr>
                    <w:t>1</w:t>
                  </w:r>
                  <w:r>
                    <w:rPr>
                      <w:rFonts w:hint="eastAsia"/>
                      <w:sz w:val="20"/>
                      <w:szCs w:val="20"/>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58" w:type="pct"/>
                  <w:vMerge w:val="continue"/>
                  <w:noWrap w:val="0"/>
                  <w:vAlign w:val="center"/>
                </w:tcPr>
                <w:p>
                  <w:pPr>
                    <w:adjustRightInd w:val="0"/>
                    <w:snapToGrid w:val="0"/>
                    <w:jc w:val="center"/>
                    <w:rPr>
                      <w:sz w:val="20"/>
                      <w:szCs w:val="20"/>
                    </w:rPr>
                  </w:pPr>
                </w:p>
              </w:tc>
              <w:tc>
                <w:tcPr>
                  <w:tcW w:w="707" w:type="pct"/>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南侧居民（</w:t>
                  </w:r>
                  <w:r>
                    <w:rPr>
                      <w:rFonts w:hint="eastAsia"/>
                      <w:bCs/>
                      <w:color w:val="FF0000"/>
                      <w:sz w:val="20"/>
                      <w:szCs w:val="20"/>
                      <w:lang w:val="en-US" w:eastAsia="zh-CN"/>
                    </w:rPr>
                    <w:t>马桥村十九组</w:t>
                  </w:r>
                  <w:r>
                    <w:rPr>
                      <w:rFonts w:hint="eastAsia"/>
                      <w:sz w:val="20"/>
                      <w:szCs w:val="20"/>
                      <w:lang w:val="en-US" w:eastAsia="zh-CN"/>
                    </w:rPr>
                    <w:t>）</w:t>
                  </w:r>
                </w:p>
              </w:tc>
              <w:tc>
                <w:tcPr>
                  <w:tcW w:w="434" w:type="pct"/>
                  <w:noWrap w:val="0"/>
                  <w:vAlign w:val="center"/>
                </w:tcPr>
                <w:p>
                  <w:pPr>
                    <w:adjustRightInd w:val="0"/>
                    <w:snapToGrid w:val="0"/>
                    <w:jc w:val="center"/>
                    <w:rPr>
                      <w:rFonts w:hint="default"/>
                      <w:bCs/>
                      <w:sz w:val="20"/>
                      <w:szCs w:val="20"/>
                      <w:lang w:val="en-US" w:eastAsia="zh-CN"/>
                    </w:rPr>
                  </w:pPr>
                  <w:r>
                    <w:rPr>
                      <w:rFonts w:hint="eastAsia"/>
                      <w:bCs/>
                      <w:sz w:val="20"/>
                      <w:szCs w:val="20"/>
                      <w:lang w:val="en-US" w:eastAsia="zh-CN"/>
                    </w:rPr>
                    <w:t>70</w:t>
                  </w:r>
                </w:p>
              </w:tc>
              <w:tc>
                <w:tcPr>
                  <w:tcW w:w="427" w:type="pct"/>
                  <w:noWrap w:val="0"/>
                  <w:vAlign w:val="center"/>
                </w:tcPr>
                <w:p>
                  <w:pPr>
                    <w:adjustRightInd w:val="0"/>
                    <w:snapToGrid w:val="0"/>
                    <w:jc w:val="center"/>
                    <w:rPr>
                      <w:rFonts w:hint="default"/>
                      <w:bCs/>
                      <w:sz w:val="20"/>
                      <w:szCs w:val="20"/>
                      <w:lang w:val="en-US" w:eastAsia="zh-CN"/>
                    </w:rPr>
                  </w:pPr>
                  <w:r>
                    <w:rPr>
                      <w:rFonts w:hint="eastAsia"/>
                      <w:bCs/>
                      <w:sz w:val="20"/>
                      <w:szCs w:val="20"/>
                      <w:lang w:val="en-US" w:eastAsia="zh-CN"/>
                    </w:rPr>
                    <w:t>55</w:t>
                  </w:r>
                </w:p>
              </w:tc>
              <w:tc>
                <w:tcPr>
                  <w:tcW w:w="3272" w:type="pct"/>
                  <w:noWrap w:val="0"/>
                  <w:vAlign w:val="center"/>
                </w:tcPr>
                <w:p>
                  <w:pPr>
                    <w:adjustRightInd w:val="0"/>
                    <w:snapToGrid w:val="0"/>
                    <w:jc w:val="center"/>
                    <w:rPr>
                      <w:rFonts w:hint="eastAsia"/>
                      <w:bCs/>
                      <w:sz w:val="20"/>
                      <w:szCs w:val="20"/>
                      <w:lang w:val="en-US" w:eastAsia="zh-CN"/>
                    </w:rPr>
                  </w:pPr>
                  <w:r>
                    <w:rPr>
                      <w:rFonts w:hint="eastAsia"/>
                      <w:sz w:val="20"/>
                      <w:szCs w:val="20"/>
                    </w:rPr>
                    <w:t>《工业企业厂界环境噪声排放标准》（GB12348-2008）中</w:t>
                  </w:r>
                  <w:r>
                    <w:rPr>
                      <w:rFonts w:hint="eastAsia"/>
                      <w:sz w:val="20"/>
                      <w:szCs w:val="20"/>
                      <w:lang w:val="en-US" w:eastAsia="zh-CN"/>
                    </w:rPr>
                    <w:t>4a</w:t>
                  </w:r>
                  <w:r>
                    <w:rPr>
                      <w:rFonts w:hint="eastAsia"/>
                      <w:sz w:val="20"/>
                      <w:szCs w:val="20"/>
                    </w:rPr>
                    <w:t>类</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361"/>
              <w:textAlignment w:val="auto"/>
              <w:rPr>
                <w:sz w:val="18"/>
                <w:szCs w:val="18"/>
              </w:rPr>
            </w:pPr>
            <w:r>
              <w:rPr>
                <w:sz w:val="18"/>
                <w:szCs w:val="18"/>
              </w:rPr>
              <w:t>注：*夜间噪声最大声级超过限值的幅度不得高于15 dB(A)。</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rPr>
                <w:rFonts w:hint="eastAsia" w:ascii="Times New Roman Regular" w:hAnsi="Times New Roman Regular" w:cs="Times New Roman Regular"/>
                <w:b/>
                <w:color w:val="auto"/>
                <w:sz w:val="21"/>
                <w:szCs w:val="21"/>
              </w:rPr>
            </w:pPr>
            <w:r>
              <w:rPr>
                <w:rFonts w:hint="eastAsia" w:ascii="Times New Roman Regular" w:hAnsi="Times New Roman Regular" w:cs="Times New Roman Regular"/>
                <w:b/>
                <w:color w:val="auto"/>
                <w:sz w:val="21"/>
                <w:szCs w:val="21"/>
              </w:rPr>
              <w:t>4、固体废物</w:t>
            </w:r>
          </w:p>
          <w:p>
            <w:pPr>
              <w:adjustRightInd w:val="0"/>
              <w:snapToGrid w:val="0"/>
              <w:spacing w:line="360" w:lineRule="auto"/>
              <w:ind w:firstLine="420" w:firstLineChars="200"/>
              <w:rPr>
                <w:bCs/>
                <w:color w:val="auto"/>
                <w:sz w:val="21"/>
                <w:szCs w:val="21"/>
              </w:rPr>
            </w:pPr>
            <w:r>
              <w:rPr>
                <w:bCs/>
                <w:color w:val="auto"/>
                <w:sz w:val="21"/>
                <w:szCs w:val="21"/>
              </w:rPr>
              <w:t>一般工业固体废物</w:t>
            </w:r>
            <w:r>
              <w:rPr>
                <w:rFonts w:hint="eastAsia"/>
                <w:bCs/>
                <w:color w:val="auto"/>
                <w:sz w:val="21"/>
                <w:szCs w:val="21"/>
              </w:rPr>
              <w:t>贮存</w:t>
            </w:r>
            <w:r>
              <w:rPr>
                <w:bCs/>
                <w:color w:val="auto"/>
                <w:sz w:val="21"/>
                <w:szCs w:val="21"/>
              </w:rPr>
              <w:t>场满足《一般工业固体废物贮存和填埋污染控制标准》（GB 18599-2020）</w:t>
            </w:r>
            <w:r>
              <w:rPr>
                <w:rFonts w:hint="eastAsia"/>
                <w:bCs/>
                <w:color w:val="auto"/>
                <w:sz w:val="21"/>
                <w:szCs w:val="21"/>
              </w:rPr>
              <w:t>、《环境保护图形标志-固体废物贮存(处置)场》（GB 15562.2-1995）、《固体废物分类与代码目录》（公告2024年第4号）</w:t>
            </w:r>
            <w:bookmarkStart w:id="15" w:name="OLE_LINK1"/>
            <w:r>
              <w:rPr>
                <w:rFonts w:hint="eastAsia"/>
                <w:bCs/>
                <w:szCs w:val="21"/>
              </w:rPr>
              <w:t>、《关于印发《一般工业固体废物环境管理工作指南》的通知》（环办固体函〔2026〕18 号）</w:t>
            </w:r>
            <w:bookmarkEnd w:id="15"/>
            <w:r>
              <w:rPr>
                <w:bCs/>
                <w:color w:val="auto"/>
                <w:sz w:val="21"/>
                <w:szCs w:val="21"/>
              </w:rPr>
              <w:t>要求。</w:t>
            </w:r>
          </w:p>
          <w:p>
            <w:pPr>
              <w:adjustRightInd w:val="0"/>
              <w:snapToGrid w:val="0"/>
              <w:spacing w:line="360" w:lineRule="auto"/>
              <w:ind w:firstLine="420" w:firstLineChars="200"/>
              <w:rPr>
                <w:bCs/>
                <w:color w:val="auto"/>
                <w:sz w:val="21"/>
                <w:szCs w:val="21"/>
              </w:rPr>
            </w:pPr>
            <w:r>
              <w:rPr>
                <w:bCs/>
                <w:color w:val="auto"/>
                <w:sz w:val="21"/>
                <w:szCs w:val="21"/>
              </w:rPr>
              <w:t>危险固体废物暂存场地应满足《危险废物贮存污染控制标准》（GB18597-20</w:t>
            </w:r>
            <w:r>
              <w:rPr>
                <w:rFonts w:hint="eastAsia"/>
                <w:bCs/>
                <w:color w:val="auto"/>
                <w:sz w:val="21"/>
                <w:szCs w:val="21"/>
              </w:rPr>
              <w:t>23）《危险废物识别标志设置技术规范》（HJ1276-2022）、《江苏省固体废物全过程环境监管工作意见》（苏环办[2024] 16号）等</w:t>
            </w:r>
            <w:r>
              <w:rPr>
                <w:bCs/>
                <w:color w:val="auto"/>
                <w:sz w:val="21"/>
                <w:szCs w:val="21"/>
              </w:rPr>
              <w:t>要求进行危废暂存和处理；</w:t>
            </w:r>
          </w:p>
          <w:p>
            <w:pPr>
              <w:spacing w:line="360" w:lineRule="auto"/>
              <w:ind w:firstLine="420" w:firstLineChars="200"/>
              <w:rPr>
                <w:rFonts w:hint="eastAsia"/>
                <w:color w:val="auto"/>
                <w:sz w:val="21"/>
                <w:szCs w:val="21"/>
              </w:rPr>
            </w:pPr>
            <w:r>
              <w:rPr>
                <w:rFonts w:hint="eastAsia"/>
                <w:color w:val="auto"/>
                <w:kern w:val="0"/>
                <w:sz w:val="21"/>
                <w:szCs w:val="21"/>
              </w:rPr>
              <w:t>生活垃圾处理参考执行《城市生活垃圾处理及污染防治技术政策》（建城〔2000〕120号）和《生活垃圾处理技术指南》（建城〔2010〕61号）</w:t>
            </w:r>
            <w:r>
              <w:rPr>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1" w:type="dxa"/>
            <w:tcBorders>
              <w:tl2br w:val="nil"/>
              <w:tr2bl w:val="nil"/>
            </w:tcBorders>
            <w:noWrap w:val="0"/>
            <w:vAlign w:val="center"/>
          </w:tcPr>
          <w:p>
            <w:pPr>
              <w:adjustRightInd w:val="0"/>
              <w:snapToGrid w:val="0"/>
              <w:jc w:val="center"/>
              <w:rPr>
                <w:b/>
                <w:color w:val="auto"/>
                <w:kern w:val="0"/>
                <w:szCs w:val="21"/>
              </w:rPr>
            </w:pPr>
            <w:r>
              <w:rPr>
                <w:b/>
                <w:color w:val="auto"/>
                <w:kern w:val="0"/>
                <w:szCs w:val="21"/>
              </w:rPr>
              <w:t>总量</w:t>
            </w:r>
          </w:p>
          <w:p>
            <w:pPr>
              <w:adjustRightInd w:val="0"/>
              <w:snapToGrid w:val="0"/>
              <w:jc w:val="center"/>
              <w:rPr>
                <w:b/>
                <w:color w:val="auto"/>
                <w:kern w:val="0"/>
                <w:szCs w:val="21"/>
              </w:rPr>
            </w:pPr>
            <w:r>
              <w:rPr>
                <w:b/>
                <w:color w:val="auto"/>
                <w:kern w:val="0"/>
                <w:szCs w:val="21"/>
              </w:rPr>
              <w:t>控制</w:t>
            </w:r>
          </w:p>
          <w:p>
            <w:pPr>
              <w:adjustRightInd w:val="0"/>
              <w:snapToGrid w:val="0"/>
              <w:jc w:val="center"/>
              <w:rPr>
                <w:color w:val="auto"/>
                <w:kern w:val="0"/>
                <w:szCs w:val="21"/>
              </w:rPr>
            </w:pPr>
            <w:r>
              <w:rPr>
                <w:b/>
                <w:color w:val="auto"/>
                <w:kern w:val="0"/>
                <w:szCs w:val="21"/>
              </w:rPr>
              <w:t>指标</w:t>
            </w:r>
          </w:p>
          <w:p>
            <w:pPr>
              <w:adjustRightInd w:val="0"/>
              <w:snapToGrid w:val="0"/>
              <w:jc w:val="center"/>
              <w:rPr>
                <w:color w:val="auto"/>
                <w:kern w:val="0"/>
                <w:szCs w:val="21"/>
              </w:rPr>
            </w:pPr>
          </w:p>
        </w:tc>
        <w:tc>
          <w:tcPr>
            <w:tcW w:w="8846" w:type="dxa"/>
            <w:tcBorders>
              <w:tl2br w:val="nil"/>
              <w:tr2bl w:val="nil"/>
            </w:tcBorders>
            <w:noWrap w:val="0"/>
            <w:vAlign w:val="top"/>
          </w:tcPr>
          <w:p>
            <w:pPr>
              <w:numPr>
                <w:ilvl w:val="0"/>
                <w:numId w:val="27"/>
              </w:numPr>
              <w:adjustRightInd w:val="0"/>
              <w:snapToGrid w:val="0"/>
              <w:spacing w:line="360" w:lineRule="auto"/>
              <w:ind w:firstLine="420" w:firstLineChars="200"/>
              <w:rPr>
                <w:rFonts w:hint="eastAsia"/>
                <w:bCs/>
                <w:color w:val="auto"/>
                <w:sz w:val="21"/>
                <w:szCs w:val="21"/>
                <w:highlight w:val="none"/>
              </w:rPr>
            </w:pPr>
            <w:r>
              <w:rPr>
                <w:rFonts w:hint="eastAsia"/>
                <w:bCs/>
                <w:color w:val="auto"/>
                <w:sz w:val="21"/>
                <w:szCs w:val="21"/>
                <w:highlight w:val="none"/>
              </w:rPr>
              <w:t>总量控制指标</w:t>
            </w:r>
          </w:p>
          <w:p>
            <w:pPr>
              <w:adjustRightInd w:val="0"/>
              <w:snapToGrid w:val="0"/>
              <w:spacing w:line="360" w:lineRule="auto"/>
              <w:ind w:firstLine="420" w:firstLineChars="200"/>
              <w:rPr>
                <w:rFonts w:hint="eastAsia"/>
                <w:color w:val="auto"/>
                <w:sz w:val="21"/>
                <w:szCs w:val="21"/>
                <w:highlight w:val="none"/>
              </w:rPr>
            </w:pPr>
            <w:r>
              <w:rPr>
                <w:rFonts w:hint="eastAsia"/>
                <w:color w:val="auto"/>
                <w:sz w:val="21"/>
                <w:szCs w:val="21"/>
                <w:highlight w:val="none"/>
              </w:rPr>
              <w:t>建设项目建成后全厂污染物排放总量见表3-</w:t>
            </w:r>
            <w:r>
              <w:rPr>
                <w:rFonts w:hint="eastAsia"/>
                <w:color w:val="auto"/>
                <w:sz w:val="21"/>
                <w:szCs w:val="21"/>
                <w:highlight w:val="none"/>
                <w:lang w:val="en-US" w:eastAsia="zh-CN"/>
              </w:rPr>
              <w:t>12</w:t>
            </w:r>
            <w:r>
              <w:rPr>
                <w:rFonts w:hint="eastAsia"/>
                <w:color w:val="auto"/>
                <w:sz w:val="21"/>
                <w:szCs w:val="21"/>
                <w:highlight w:val="none"/>
              </w:rPr>
              <w:t>。</w:t>
            </w:r>
          </w:p>
          <w:p>
            <w:pPr>
              <w:pStyle w:val="835"/>
              <w:ind w:firstLine="0" w:firstLineChars="0"/>
              <w:jc w:val="center"/>
              <w:rPr>
                <w:rFonts w:hint="eastAsia" w:eastAsia="Times New Roman"/>
                <w:b/>
                <w:bCs/>
                <w:color w:val="auto"/>
                <w:sz w:val="21"/>
                <w:szCs w:val="21"/>
                <w:highlight w:val="none"/>
                <w:lang w:eastAsia="zh-Hans"/>
              </w:rPr>
            </w:pPr>
            <w:r>
              <w:rPr>
                <w:rFonts w:hint="eastAsia"/>
                <w:b/>
                <w:bCs/>
                <w:color w:val="auto"/>
                <w:sz w:val="21"/>
                <w:szCs w:val="21"/>
                <w:highlight w:val="none"/>
                <w:lang w:eastAsia="zh-Hans"/>
              </w:rPr>
              <w:t>表</w:t>
            </w:r>
            <w:r>
              <w:rPr>
                <w:b/>
                <w:bCs/>
                <w:color w:val="auto"/>
                <w:sz w:val="21"/>
                <w:szCs w:val="21"/>
                <w:highlight w:val="none"/>
                <w:lang w:eastAsia="zh-Hans"/>
              </w:rPr>
              <w:t>3-</w:t>
            </w:r>
            <w:r>
              <w:rPr>
                <w:rFonts w:hint="eastAsia"/>
                <w:b/>
                <w:bCs/>
                <w:color w:val="auto"/>
                <w:sz w:val="21"/>
                <w:szCs w:val="21"/>
                <w:highlight w:val="none"/>
                <w:lang w:val="en-US" w:eastAsia="zh-CN"/>
              </w:rPr>
              <w:t>12</w:t>
            </w:r>
            <w:r>
              <w:rPr>
                <w:b/>
                <w:bCs/>
                <w:color w:val="auto"/>
                <w:sz w:val="21"/>
                <w:szCs w:val="21"/>
                <w:highlight w:val="none"/>
                <w:lang w:eastAsia="zh-Hans"/>
              </w:rPr>
              <w:t xml:space="preserve">  </w:t>
            </w:r>
            <w:r>
              <w:rPr>
                <w:rFonts w:hint="eastAsia"/>
                <w:b/>
                <w:bCs/>
                <w:color w:val="auto"/>
                <w:sz w:val="21"/>
                <w:szCs w:val="21"/>
                <w:highlight w:val="none"/>
              </w:rPr>
              <w:t>全厂污染物排放总量表</w:t>
            </w:r>
          </w:p>
          <w:tbl>
            <w:tblPr>
              <w:tblStyle w:val="90"/>
              <w:tblpPr w:leftFromText="181" w:rightFromText="181" w:vertAnchor="text" w:horzAnchor="page" w:tblpXSpec="center" w:tblpY="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0"/>
              <w:gridCol w:w="580"/>
              <w:gridCol w:w="2101"/>
              <w:gridCol w:w="1342"/>
              <w:gridCol w:w="1342"/>
              <w:gridCol w:w="1342"/>
              <w:gridCol w:w="13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tcBorders>
                    <w:bottom w:val="single" w:color="auto" w:sz="12" w:space="0"/>
                  </w:tcBorders>
                  <w:noWrap w:val="0"/>
                  <w:vAlign w:val="center"/>
                </w:tcPr>
                <w:p>
                  <w:pPr>
                    <w:adjustRightInd w:val="0"/>
                    <w:snapToGrid w:val="0"/>
                    <w:jc w:val="center"/>
                    <w:rPr>
                      <w:b/>
                      <w:bCs/>
                      <w:color w:val="auto"/>
                      <w:sz w:val="20"/>
                      <w:szCs w:val="20"/>
                    </w:rPr>
                  </w:pPr>
                  <w:r>
                    <w:rPr>
                      <w:b/>
                      <w:bCs/>
                      <w:color w:val="auto"/>
                      <w:sz w:val="20"/>
                      <w:szCs w:val="20"/>
                    </w:rPr>
                    <w:t>种类</w:t>
                  </w:r>
                </w:p>
              </w:tc>
              <w:tc>
                <w:tcPr>
                  <w:tcW w:w="1217" w:type="pct"/>
                  <w:tcBorders>
                    <w:bottom w:val="single" w:color="auto" w:sz="12" w:space="0"/>
                  </w:tcBorders>
                  <w:noWrap w:val="0"/>
                  <w:vAlign w:val="center"/>
                </w:tcPr>
                <w:p>
                  <w:pPr>
                    <w:adjustRightInd w:val="0"/>
                    <w:snapToGrid w:val="0"/>
                    <w:jc w:val="center"/>
                    <w:rPr>
                      <w:b/>
                      <w:bCs/>
                      <w:color w:val="auto"/>
                      <w:sz w:val="20"/>
                      <w:szCs w:val="20"/>
                    </w:rPr>
                  </w:pPr>
                  <w:r>
                    <w:rPr>
                      <w:b/>
                      <w:bCs/>
                      <w:color w:val="auto"/>
                      <w:sz w:val="20"/>
                      <w:szCs w:val="20"/>
                    </w:rPr>
                    <w:t>污染物名称</w:t>
                  </w:r>
                </w:p>
              </w:tc>
              <w:tc>
                <w:tcPr>
                  <w:tcW w:w="777" w:type="pct"/>
                  <w:tcBorders>
                    <w:bottom w:val="single" w:color="auto" w:sz="12" w:space="0"/>
                  </w:tcBorders>
                  <w:noWrap w:val="0"/>
                  <w:vAlign w:val="center"/>
                </w:tcPr>
                <w:p>
                  <w:pPr>
                    <w:adjustRightInd w:val="0"/>
                    <w:snapToGrid w:val="0"/>
                    <w:jc w:val="center"/>
                    <w:rPr>
                      <w:b/>
                      <w:bCs/>
                      <w:color w:val="auto"/>
                      <w:sz w:val="20"/>
                      <w:szCs w:val="20"/>
                    </w:rPr>
                  </w:pPr>
                  <w:r>
                    <w:rPr>
                      <w:b/>
                      <w:bCs/>
                      <w:color w:val="auto"/>
                      <w:sz w:val="20"/>
                      <w:szCs w:val="20"/>
                    </w:rPr>
                    <w:t>产生量t/a</w:t>
                  </w:r>
                </w:p>
              </w:tc>
              <w:tc>
                <w:tcPr>
                  <w:tcW w:w="777" w:type="pct"/>
                  <w:tcBorders>
                    <w:bottom w:val="single" w:color="auto" w:sz="12" w:space="0"/>
                  </w:tcBorders>
                  <w:noWrap w:val="0"/>
                  <w:vAlign w:val="center"/>
                </w:tcPr>
                <w:p>
                  <w:pPr>
                    <w:adjustRightInd w:val="0"/>
                    <w:snapToGrid w:val="0"/>
                    <w:jc w:val="center"/>
                    <w:rPr>
                      <w:rFonts w:hint="eastAsia" w:eastAsia="Times New Roman"/>
                      <w:b/>
                      <w:bCs/>
                      <w:color w:val="auto"/>
                      <w:sz w:val="20"/>
                      <w:szCs w:val="20"/>
                      <w:lang w:eastAsia="zh-Hans"/>
                    </w:rPr>
                  </w:pPr>
                  <w:r>
                    <w:rPr>
                      <w:rFonts w:hint="eastAsia"/>
                      <w:b/>
                      <w:bCs/>
                      <w:color w:val="auto"/>
                      <w:sz w:val="20"/>
                      <w:szCs w:val="20"/>
                      <w:lang w:eastAsia="zh-Hans"/>
                    </w:rPr>
                    <w:t>削减量</w:t>
                  </w:r>
                </w:p>
              </w:tc>
              <w:tc>
                <w:tcPr>
                  <w:tcW w:w="777" w:type="pct"/>
                  <w:tcBorders>
                    <w:bottom w:val="single" w:color="auto" w:sz="12" w:space="0"/>
                  </w:tcBorders>
                  <w:noWrap w:val="0"/>
                  <w:vAlign w:val="center"/>
                </w:tcPr>
                <w:p>
                  <w:pPr>
                    <w:adjustRightInd w:val="0"/>
                    <w:snapToGrid w:val="0"/>
                    <w:jc w:val="center"/>
                    <w:rPr>
                      <w:rFonts w:hint="eastAsia"/>
                      <w:color w:val="auto"/>
                      <w:sz w:val="20"/>
                      <w:szCs w:val="20"/>
                      <w:lang w:eastAsia="zh-Hans"/>
                    </w:rPr>
                  </w:pPr>
                  <w:r>
                    <w:rPr>
                      <w:rFonts w:hint="eastAsia"/>
                      <w:b/>
                      <w:bCs/>
                      <w:color w:val="auto"/>
                      <w:sz w:val="20"/>
                      <w:szCs w:val="20"/>
                      <w:lang w:eastAsia="zh-Hans"/>
                    </w:rPr>
                    <w:t>接管量</w:t>
                  </w:r>
                </w:p>
              </w:tc>
              <w:tc>
                <w:tcPr>
                  <w:tcW w:w="777" w:type="pct"/>
                  <w:tcBorders>
                    <w:bottom w:val="single" w:color="auto" w:sz="12" w:space="0"/>
                  </w:tcBorders>
                  <w:noWrap w:val="0"/>
                  <w:vAlign w:val="center"/>
                </w:tcPr>
                <w:p>
                  <w:pPr>
                    <w:adjustRightInd w:val="0"/>
                    <w:snapToGrid w:val="0"/>
                    <w:rPr>
                      <w:rFonts w:hint="eastAsia"/>
                      <w:b/>
                      <w:bCs/>
                      <w:color w:val="auto"/>
                      <w:sz w:val="20"/>
                      <w:szCs w:val="20"/>
                      <w:lang w:eastAsia="zh-Hans"/>
                    </w:rPr>
                  </w:pPr>
                  <w:r>
                    <w:rPr>
                      <w:rFonts w:hint="eastAsia"/>
                      <w:b/>
                      <w:bCs/>
                      <w:color w:val="auto"/>
                      <w:sz w:val="20"/>
                      <w:szCs w:val="20"/>
                      <w:lang w:eastAsia="zh-Hans"/>
                    </w:rPr>
                    <w:t>排入环境的量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672" w:type="pct"/>
                  <w:gridSpan w:val="2"/>
                  <w:vMerge w:val="restart"/>
                  <w:tcBorders>
                    <w:top w:val="single" w:color="auto" w:sz="12" w:space="0"/>
                  </w:tcBorders>
                  <w:noWrap w:val="0"/>
                  <w:vAlign w:val="center"/>
                </w:tcPr>
                <w:p>
                  <w:pPr>
                    <w:adjustRightInd w:val="0"/>
                    <w:snapToGrid w:val="0"/>
                    <w:jc w:val="center"/>
                    <w:rPr>
                      <w:color w:val="auto"/>
                      <w:sz w:val="20"/>
                      <w:szCs w:val="20"/>
                    </w:rPr>
                  </w:pPr>
                  <w:r>
                    <w:rPr>
                      <w:rFonts w:hint="eastAsia"/>
                      <w:color w:val="auto"/>
                      <w:sz w:val="20"/>
                      <w:szCs w:val="20"/>
                    </w:rPr>
                    <w:t>废水</w:t>
                  </w:r>
                </w:p>
              </w:tc>
              <w:tc>
                <w:tcPr>
                  <w:tcW w:w="1217" w:type="pct"/>
                  <w:tcBorders>
                    <w:top w:val="single" w:color="auto" w:sz="12" w:space="0"/>
                  </w:tcBorders>
                  <w:noWrap w:val="0"/>
                  <w:vAlign w:val="center"/>
                </w:tcPr>
                <w:p>
                  <w:pPr>
                    <w:adjustRightInd w:val="0"/>
                    <w:snapToGrid w:val="0"/>
                    <w:jc w:val="center"/>
                    <w:rPr>
                      <w:rFonts w:hint="eastAsia"/>
                      <w:color w:val="auto"/>
                      <w:kern w:val="2"/>
                      <w:sz w:val="20"/>
                      <w:szCs w:val="20"/>
                      <w:lang w:val="en-US" w:eastAsia="zh-Hans" w:bidi="ar-SA"/>
                    </w:rPr>
                  </w:pPr>
                  <w:r>
                    <w:rPr>
                      <w:rFonts w:hint="eastAsia"/>
                      <w:color w:val="auto"/>
                      <w:sz w:val="20"/>
                      <w:szCs w:val="20"/>
                      <w:lang w:eastAsia="zh-Hans"/>
                    </w:rPr>
                    <w:t>废水总量</w:t>
                  </w:r>
                </w:p>
              </w:tc>
              <w:tc>
                <w:tcPr>
                  <w:tcW w:w="777" w:type="pct"/>
                  <w:tcBorders>
                    <w:top w:val="single" w:color="auto" w:sz="12" w:space="0"/>
                  </w:tcBorders>
                  <w:noWrap w:val="0"/>
                  <w:vAlign w:val="center"/>
                </w:tcPr>
                <w:p>
                  <w:pPr>
                    <w:adjustRightInd w:val="0"/>
                    <w:snapToGrid w:val="0"/>
                    <w:jc w:val="center"/>
                    <w:rPr>
                      <w:rFonts w:hint="default"/>
                      <w:color w:val="auto"/>
                      <w:sz w:val="20"/>
                      <w:szCs w:val="20"/>
                      <w:lang w:val="en-US" w:eastAsia="zh-CN"/>
                    </w:rPr>
                  </w:pPr>
                  <w:r>
                    <w:rPr>
                      <w:rFonts w:hint="eastAsia"/>
                      <w:color w:val="auto"/>
                      <w:sz w:val="20"/>
                      <w:szCs w:val="20"/>
                      <w:lang w:val="en-US" w:eastAsia="zh-CN"/>
                    </w:rPr>
                    <w:t>6394</w:t>
                  </w:r>
                </w:p>
              </w:tc>
              <w:tc>
                <w:tcPr>
                  <w:tcW w:w="777" w:type="pct"/>
                  <w:tcBorders>
                    <w:top w:val="single" w:color="auto" w:sz="12" w:space="0"/>
                  </w:tcBorders>
                  <w:noWrap w:val="0"/>
                  <w:vAlign w:val="center"/>
                </w:tcPr>
                <w:p>
                  <w:pPr>
                    <w:adjustRightInd w:val="0"/>
                    <w:snapToGrid w:val="0"/>
                    <w:jc w:val="center"/>
                    <w:rPr>
                      <w:rFonts w:hint="eastAsia"/>
                      <w:color w:val="auto"/>
                      <w:sz w:val="20"/>
                      <w:szCs w:val="20"/>
                      <w:lang w:val="en-US" w:eastAsia="zh-CN"/>
                    </w:rPr>
                  </w:pPr>
                  <w:r>
                    <w:rPr>
                      <w:rFonts w:hint="eastAsia"/>
                      <w:color w:val="auto"/>
                      <w:sz w:val="20"/>
                      <w:szCs w:val="20"/>
                      <w:lang w:val="en-US" w:eastAsia="zh-CN"/>
                    </w:rPr>
                    <w:t>0</w:t>
                  </w:r>
                </w:p>
              </w:tc>
              <w:tc>
                <w:tcPr>
                  <w:tcW w:w="777" w:type="pct"/>
                  <w:tcBorders>
                    <w:top w:val="single" w:color="auto" w:sz="12" w:space="0"/>
                  </w:tcBorders>
                  <w:noWrap w:val="0"/>
                  <w:vAlign w:val="center"/>
                </w:tcPr>
                <w:p>
                  <w:pPr>
                    <w:adjustRightInd w:val="0"/>
                    <w:snapToGrid w:val="0"/>
                    <w:jc w:val="center"/>
                    <w:rPr>
                      <w:rFonts w:hint="default"/>
                      <w:color w:val="auto"/>
                      <w:sz w:val="20"/>
                      <w:szCs w:val="20"/>
                      <w:lang w:val="en-US" w:eastAsia="zh-CN"/>
                    </w:rPr>
                  </w:pPr>
                  <w:r>
                    <w:rPr>
                      <w:rFonts w:hint="eastAsia"/>
                      <w:color w:val="auto"/>
                      <w:sz w:val="20"/>
                      <w:szCs w:val="20"/>
                      <w:lang w:val="en-US" w:eastAsia="zh-CN"/>
                    </w:rPr>
                    <w:t>6394</w:t>
                  </w:r>
                </w:p>
              </w:tc>
              <w:tc>
                <w:tcPr>
                  <w:tcW w:w="777" w:type="pct"/>
                  <w:tcBorders>
                    <w:top w:val="single" w:color="auto" w:sz="12" w:space="0"/>
                  </w:tcBorders>
                  <w:noWrap w:val="0"/>
                  <w:vAlign w:val="center"/>
                </w:tcPr>
                <w:p>
                  <w:pPr>
                    <w:adjustRightInd w:val="0"/>
                    <w:snapToGrid w:val="0"/>
                    <w:jc w:val="center"/>
                    <w:rPr>
                      <w:rFonts w:hint="default"/>
                      <w:color w:val="auto"/>
                      <w:sz w:val="20"/>
                      <w:szCs w:val="20"/>
                      <w:lang w:val="en-US" w:eastAsia="zh-CN"/>
                    </w:rPr>
                  </w:pPr>
                  <w:r>
                    <w:rPr>
                      <w:rFonts w:hint="eastAsia"/>
                      <w:color w:val="auto"/>
                      <w:sz w:val="20"/>
                      <w:szCs w:val="20"/>
                      <w:lang w:val="en-US" w:eastAsia="zh-CN"/>
                    </w:rPr>
                    <w:t>6394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continue"/>
                  <w:noWrap w:val="0"/>
                  <w:vAlign w:val="center"/>
                </w:tcPr>
                <w:p>
                  <w:pPr>
                    <w:adjustRightInd w:val="0"/>
                    <w:snapToGrid w:val="0"/>
                    <w:jc w:val="center"/>
                    <w:rPr>
                      <w:color w:val="auto"/>
                      <w:sz w:val="20"/>
                      <w:szCs w:val="20"/>
                    </w:rPr>
                  </w:pPr>
                </w:p>
              </w:tc>
              <w:tc>
                <w:tcPr>
                  <w:tcW w:w="1217" w:type="pct"/>
                  <w:noWrap w:val="0"/>
                  <w:vAlign w:val="center"/>
                </w:tcPr>
                <w:p>
                  <w:pPr>
                    <w:adjustRightInd w:val="0"/>
                    <w:snapToGrid w:val="0"/>
                    <w:jc w:val="center"/>
                    <w:rPr>
                      <w:rFonts w:hint="eastAsia" w:eastAsia="宋体"/>
                      <w:color w:val="auto"/>
                      <w:sz w:val="20"/>
                      <w:szCs w:val="20"/>
                      <w:lang w:val="en-US" w:eastAsia="zh-CN"/>
                    </w:rPr>
                  </w:pPr>
                  <w:r>
                    <w:rPr>
                      <w:rFonts w:hint="eastAsia" w:eastAsia="宋体"/>
                      <w:color w:val="auto"/>
                      <w:sz w:val="20"/>
                      <w:szCs w:val="20"/>
                      <w:lang w:val="en-US" w:eastAsia="zh-CN"/>
                    </w:rPr>
                    <w:t>COD</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0.6887</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0.3146</w:t>
                  </w:r>
                </w:p>
              </w:tc>
              <w:tc>
                <w:tcPr>
                  <w:tcW w:w="1342" w:type="dxa"/>
                  <w:shd w:val="clear" w:color="auto" w:fill="auto"/>
                  <w:noWrap w:val="0"/>
                  <w:vAlign w:val="center"/>
                </w:tcPr>
                <w:p>
                  <w:pPr>
                    <w:widowControl/>
                    <w:jc w:val="center"/>
                    <w:textAlignment w:val="center"/>
                    <w:rPr>
                      <w:rFonts w:hint="default"/>
                      <w:color w:val="auto"/>
                      <w:sz w:val="20"/>
                      <w:szCs w:val="20"/>
                      <w:lang w:val="en-US" w:eastAsia="zh-CN"/>
                    </w:rPr>
                  </w:pPr>
                  <w:r>
                    <w:rPr>
                      <w:rFonts w:hint="eastAsia"/>
                      <w:color w:val="auto"/>
                      <w:kern w:val="0"/>
                      <w:sz w:val="20"/>
                      <w:szCs w:val="20"/>
                      <w:highlight w:val="none"/>
                      <w:lang w:val="en-US" w:eastAsia="zh-CN" w:bidi="ar"/>
                    </w:rPr>
                    <w:t>0.3741</w:t>
                  </w:r>
                </w:p>
              </w:tc>
              <w:tc>
                <w:tcPr>
                  <w:tcW w:w="777" w:type="pct"/>
                  <w:noWrap w:val="0"/>
                  <w:vAlign w:val="center"/>
                </w:tcPr>
                <w:p>
                  <w:pPr>
                    <w:adjustRightInd w:val="0"/>
                    <w:snapToGrid w:val="0"/>
                    <w:jc w:val="center"/>
                    <w:rPr>
                      <w:rFonts w:hint="default" w:eastAsia="宋体"/>
                      <w:color w:val="auto"/>
                      <w:kern w:val="0"/>
                      <w:sz w:val="20"/>
                      <w:szCs w:val="20"/>
                      <w:lang w:val="en-US" w:eastAsia="zh-CN" w:bidi="ar"/>
                    </w:rPr>
                  </w:pPr>
                  <w:r>
                    <w:rPr>
                      <w:rFonts w:hint="eastAsia"/>
                      <w:color w:val="auto"/>
                      <w:kern w:val="0"/>
                      <w:sz w:val="20"/>
                      <w:szCs w:val="20"/>
                      <w:lang w:val="en-US" w:eastAsia="zh-CN" w:bidi="ar"/>
                    </w:rPr>
                    <w:t>0.3197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continue"/>
                  <w:noWrap w:val="0"/>
                  <w:vAlign w:val="center"/>
                </w:tcPr>
                <w:p>
                  <w:pPr>
                    <w:adjustRightInd w:val="0"/>
                    <w:snapToGrid w:val="0"/>
                    <w:jc w:val="center"/>
                    <w:rPr>
                      <w:color w:val="auto"/>
                      <w:sz w:val="20"/>
                      <w:szCs w:val="20"/>
                    </w:rPr>
                  </w:pPr>
                </w:p>
              </w:tc>
              <w:tc>
                <w:tcPr>
                  <w:tcW w:w="1217" w:type="pct"/>
                  <w:noWrap w:val="0"/>
                  <w:vAlign w:val="center"/>
                </w:tcPr>
                <w:p>
                  <w:pPr>
                    <w:adjustRightInd w:val="0"/>
                    <w:snapToGrid w:val="0"/>
                    <w:jc w:val="center"/>
                    <w:rPr>
                      <w:rFonts w:hint="default" w:eastAsia="宋体"/>
                      <w:color w:val="auto"/>
                      <w:sz w:val="20"/>
                      <w:szCs w:val="20"/>
                      <w:lang w:val="en-US" w:eastAsia="zh-CN"/>
                    </w:rPr>
                  </w:pPr>
                  <w:r>
                    <w:rPr>
                      <w:rFonts w:hint="eastAsia" w:eastAsia="宋体"/>
                      <w:color w:val="auto"/>
                      <w:sz w:val="20"/>
                      <w:szCs w:val="20"/>
                      <w:lang w:val="en-US" w:eastAsia="zh-CN"/>
                    </w:rPr>
                    <w:t>SS</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0.4585</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0.2439</w:t>
                  </w:r>
                </w:p>
              </w:tc>
              <w:tc>
                <w:tcPr>
                  <w:tcW w:w="1342" w:type="dxa"/>
                  <w:shd w:val="clear" w:color="auto" w:fill="auto"/>
                  <w:noWrap w:val="0"/>
                  <w:vAlign w:val="center"/>
                </w:tcPr>
                <w:p>
                  <w:pPr>
                    <w:widowControl/>
                    <w:jc w:val="center"/>
                    <w:textAlignment w:val="center"/>
                    <w:rPr>
                      <w:rFonts w:hint="default"/>
                      <w:color w:val="auto"/>
                      <w:sz w:val="20"/>
                      <w:szCs w:val="20"/>
                      <w:lang w:val="en-US" w:eastAsia="zh-CN"/>
                    </w:rPr>
                  </w:pPr>
                  <w:r>
                    <w:rPr>
                      <w:rFonts w:hint="eastAsia"/>
                      <w:color w:val="auto"/>
                      <w:kern w:val="0"/>
                      <w:sz w:val="20"/>
                      <w:szCs w:val="20"/>
                      <w:highlight w:val="none"/>
                      <w:lang w:val="en-US" w:eastAsia="zh-CN" w:bidi="ar"/>
                    </w:rPr>
                    <w:t>0.2146</w:t>
                  </w:r>
                </w:p>
              </w:tc>
              <w:tc>
                <w:tcPr>
                  <w:tcW w:w="777" w:type="pct"/>
                  <w:noWrap w:val="0"/>
                  <w:vAlign w:val="center"/>
                </w:tcPr>
                <w:p>
                  <w:pPr>
                    <w:adjustRightInd w:val="0"/>
                    <w:snapToGrid w:val="0"/>
                    <w:jc w:val="center"/>
                    <w:rPr>
                      <w:rFonts w:hint="default" w:eastAsia="宋体"/>
                      <w:color w:val="auto"/>
                      <w:kern w:val="0"/>
                      <w:sz w:val="20"/>
                      <w:szCs w:val="20"/>
                      <w:lang w:val="en-US" w:eastAsia="zh-CN" w:bidi="ar"/>
                    </w:rPr>
                  </w:pPr>
                  <w:r>
                    <w:rPr>
                      <w:rFonts w:hint="eastAsia"/>
                      <w:color w:val="auto"/>
                      <w:kern w:val="0"/>
                      <w:sz w:val="20"/>
                      <w:szCs w:val="20"/>
                      <w:lang w:val="en-US" w:eastAsia="zh-CN" w:bidi="ar"/>
                    </w:rPr>
                    <w:t>0.0639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continue"/>
                  <w:noWrap w:val="0"/>
                  <w:vAlign w:val="center"/>
                </w:tcPr>
                <w:p>
                  <w:pPr>
                    <w:adjustRightInd w:val="0"/>
                    <w:snapToGrid w:val="0"/>
                    <w:jc w:val="center"/>
                    <w:rPr>
                      <w:color w:val="auto"/>
                      <w:sz w:val="20"/>
                      <w:szCs w:val="20"/>
                    </w:rPr>
                  </w:pPr>
                </w:p>
              </w:tc>
              <w:tc>
                <w:tcPr>
                  <w:tcW w:w="1217" w:type="pct"/>
                  <w:noWrap w:val="0"/>
                  <w:vAlign w:val="center"/>
                </w:tcPr>
                <w:p>
                  <w:pPr>
                    <w:adjustRightInd w:val="0"/>
                    <w:snapToGrid w:val="0"/>
                    <w:jc w:val="center"/>
                    <w:rPr>
                      <w:rFonts w:hint="eastAsia" w:eastAsia="宋体"/>
                      <w:color w:val="auto"/>
                      <w:sz w:val="20"/>
                      <w:szCs w:val="20"/>
                      <w:lang w:val="en-US" w:eastAsia="zh-CN"/>
                    </w:rPr>
                  </w:pPr>
                  <w:r>
                    <w:rPr>
                      <w:rFonts w:hint="eastAsia" w:eastAsia="宋体"/>
                      <w:color w:val="auto"/>
                      <w:sz w:val="20"/>
                      <w:szCs w:val="20"/>
                      <w:lang w:val="en-US" w:eastAsia="zh-CN"/>
                    </w:rPr>
                    <w:t>氨氮</w:t>
                  </w:r>
                </w:p>
              </w:tc>
              <w:tc>
                <w:tcPr>
                  <w:tcW w:w="1342" w:type="dxa"/>
                  <w:noWrap w:val="0"/>
                  <w:vAlign w:val="center"/>
                </w:tcPr>
                <w:p>
                  <w:pPr>
                    <w:jc w:val="center"/>
                    <w:rPr>
                      <w:rFonts w:hint="default" w:eastAsia="宋体"/>
                      <w:color w:val="auto"/>
                      <w:sz w:val="20"/>
                      <w:szCs w:val="20"/>
                      <w:lang w:val="en-US" w:eastAsia="zh-CN"/>
                    </w:rPr>
                  </w:pPr>
                  <w:r>
                    <w:rPr>
                      <w:rFonts w:hint="eastAsia" w:ascii="Times New Roman" w:hAnsi="Times New Roman" w:eastAsia="宋体" w:cs="Times New Roman"/>
                      <w:color w:val="auto"/>
                      <w:sz w:val="20"/>
                      <w:szCs w:val="20"/>
                      <w:lang w:val="en-US" w:eastAsia="zh-CN"/>
                    </w:rPr>
                    <w:t>0.0245</w:t>
                  </w:r>
                </w:p>
              </w:tc>
              <w:tc>
                <w:tcPr>
                  <w:tcW w:w="777" w:type="pct"/>
                  <w:noWrap w:val="0"/>
                  <w:vAlign w:val="center"/>
                </w:tcPr>
                <w:p>
                  <w:pPr>
                    <w:adjustRightInd w:val="0"/>
                    <w:snapToGrid w:val="0"/>
                    <w:jc w:val="center"/>
                    <w:rPr>
                      <w:rFonts w:hint="default" w:eastAsia="宋体"/>
                      <w:color w:val="auto"/>
                      <w:kern w:val="2"/>
                      <w:sz w:val="20"/>
                      <w:szCs w:val="20"/>
                      <w:lang w:val="en-US" w:eastAsia="zh-CN" w:bidi="ar-SA"/>
                    </w:rPr>
                  </w:pPr>
                  <w:r>
                    <w:rPr>
                      <w:rFonts w:hint="eastAsia"/>
                      <w:color w:val="auto"/>
                      <w:kern w:val="2"/>
                      <w:sz w:val="20"/>
                      <w:szCs w:val="20"/>
                      <w:lang w:val="en-US" w:eastAsia="zh-CN" w:bidi="ar-SA"/>
                    </w:rPr>
                    <w:t>0.0069</w:t>
                  </w:r>
                </w:p>
              </w:tc>
              <w:tc>
                <w:tcPr>
                  <w:tcW w:w="1342" w:type="dxa"/>
                  <w:shd w:val="clear" w:color="auto" w:fill="auto"/>
                  <w:noWrap w:val="0"/>
                  <w:vAlign w:val="center"/>
                </w:tcPr>
                <w:p>
                  <w:pPr>
                    <w:jc w:val="center"/>
                    <w:rPr>
                      <w:rFonts w:hint="default"/>
                      <w:color w:val="auto"/>
                      <w:sz w:val="20"/>
                      <w:szCs w:val="20"/>
                      <w:lang w:val="en-US" w:eastAsia="zh-CN"/>
                    </w:rPr>
                  </w:pPr>
                  <w:r>
                    <w:rPr>
                      <w:rFonts w:hint="eastAsia" w:ascii="Times New Roman" w:hAnsi="Times New Roman" w:eastAsia="宋体" w:cs="Times New Roman"/>
                      <w:color w:val="auto"/>
                      <w:sz w:val="20"/>
                      <w:szCs w:val="20"/>
                      <w:lang w:val="en-US" w:eastAsia="zh-CN"/>
                    </w:rPr>
                    <w:t>0.0176</w:t>
                  </w:r>
                </w:p>
              </w:tc>
              <w:tc>
                <w:tcPr>
                  <w:tcW w:w="777" w:type="pct"/>
                  <w:noWrap w:val="0"/>
                  <w:vAlign w:val="center"/>
                </w:tcPr>
                <w:p>
                  <w:pPr>
                    <w:adjustRightInd w:val="0"/>
                    <w:snapToGrid w:val="0"/>
                    <w:jc w:val="center"/>
                    <w:rPr>
                      <w:rFonts w:hint="default" w:eastAsia="宋体"/>
                      <w:color w:val="auto"/>
                      <w:kern w:val="0"/>
                      <w:sz w:val="20"/>
                      <w:szCs w:val="20"/>
                      <w:lang w:val="en-US" w:eastAsia="zh-CN" w:bidi="ar"/>
                    </w:rPr>
                  </w:pPr>
                  <w:r>
                    <w:rPr>
                      <w:rFonts w:hint="eastAsia"/>
                      <w:color w:val="auto"/>
                      <w:kern w:val="0"/>
                      <w:sz w:val="20"/>
                      <w:szCs w:val="20"/>
                      <w:lang w:val="en-US" w:eastAsia="zh-CN" w:bidi="ar"/>
                    </w:rPr>
                    <w:t>0.033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continue"/>
                  <w:noWrap w:val="0"/>
                  <w:vAlign w:val="center"/>
                </w:tcPr>
                <w:p>
                  <w:pPr>
                    <w:adjustRightInd w:val="0"/>
                    <w:snapToGrid w:val="0"/>
                    <w:jc w:val="center"/>
                    <w:rPr>
                      <w:color w:val="auto"/>
                      <w:sz w:val="20"/>
                      <w:szCs w:val="20"/>
                    </w:rPr>
                  </w:pPr>
                </w:p>
              </w:tc>
              <w:tc>
                <w:tcPr>
                  <w:tcW w:w="1217" w:type="pct"/>
                  <w:noWrap w:val="0"/>
                  <w:vAlign w:val="center"/>
                </w:tcPr>
                <w:p>
                  <w:pPr>
                    <w:adjustRightInd w:val="0"/>
                    <w:snapToGrid w:val="0"/>
                    <w:jc w:val="center"/>
                    <w:rPr>
                      <w:rFonts w:hint="eastAsia" w:eastAsia="宋体"/>
                      <w:color w:val="auto"/>
                      <w:sz w:val="20"/>
                      <w:szCs w:val="20"/>
                      <w:lang w:val="en-US" w:eastAsia="zh-CN"/>
                    </w:rPr>
                  </w:pPr>
                  <w:r>
                    <w:rPr>
                      <w:rFonts w:hint="eastAsia" w:eastAsia="宋体"/>
                      <w:color w:val="auto"/>
                      <w:sz w:val="20"/>
                      <w:szCs w:val="20"/>
                      <w:lang w:val="en-US" w:eastAsia="zh-CN"/>
                    </w:rPr>
                    <w:t>总氮</w:t>
                  </w:r>
                </w:p>
              </w:tc>
              <w:tc>
                <w:tcPr>
                  <w:tcW w:w="1342" w:type="dxa"/>
                  <w:noWrap w:val="0"/>
                  <w:vAlign w:val="center"/>
                </w:tcPr>
                <w:p>
                  <w:pPr>
                    <w:jc w:val="center"/>
                    <w:rPr>
                      <w:rFonts w:hint="default" w:eastAsia="宋体"/>
                      <w:color w:val="auto"/>
                      <w:sz w:val="20"/>
                      <w:szCs w:val="20"/>
                      <w:lang w:val="en-US" w:eastAsia="zh-CN"/>
                    </w:rPr>
                  </w:pPr>
                  <w:r>
                    <w:rPr>
                      <w:rFonts w:hint="eastAsia" w:ascii="Times New Roman" w:hAnsi="Times New Roman" w:eastAsia="宋体" w:cs="Times New Roman"/>
                      <w:color w:val="auto"/>
                      <w:sz w:val="20"/>
                      <w:szCs w:val="20"/>
                      <w:lang w:val="en-US" w:eastAsia="zh-CN"/>
                    </w:rPr>
                    <w:t>0.0336</w:t>
                  </w:r>
                </w:p>
              </w:tc>
              <w:tc>
                <w:tcPr>
                  <w:tcW w:w="777" w:type="pct"/>
                  <w:noWrap w:val="0"/>
                  <w:vAlign w:val="center"/>
                </w:tcPr>
                <w:p>
                  <w:pPr>
                    <w:adjustRightInd w:val="0"/>
                    <w:snapToGrid w:val="0"/>
                    <w:jc w:val="center"/>
                    <w:rPr>
                      <w:rFonts w:hint="default"/>
                      <w:color w:val="auto"/>
                      <w:kern w:val="2"/>
                      <w:sz w:val="20"/>
                      <w:szCs w:val="20"/>
                      <w:lang w:val="en-US" w:eastAsia="zh-CN" w:bidi="ar-SA"/>
                    </w:rPr>
                  </w:pPr>
                  <w:r>
                    <w:rPr>
                      <w:rFonts w:hint="eastAsia"/>
                      <w:color w:val="auto"/>
                      <w:kern w:val="2"/>
                      <w:sz w:val="20"/>
                      <w:szCs w:val="20"/>
                      <w:lang w:val="en-US" w:eastAsia="zh-CN" w:bidi="ar-SA"/>
                    </w:rPr>
                    <w:t>0.0067</w:t>
                  </w:r>
                </w:p>
              </w:tc>
              <w:tc>
                <w:tcPr>
                  <w:tcW w:w="1342" w:type="dxa"/>
                  <w:shd w:val="clear" w:color="auto" w:fill="auto"/>
                  <w:noWrap w:val="0"/>
                  <w:vAlign w:val="center"/>
                </w:tcPr>
                <w:p>
                  <w:pPr>
                    <w:jc w:val="center"/>
                    <w:rPr>
                      <w:rFonts w:hint="eastAsia"/>
                      <w:color w:val="auto"/>
                      <w:sz w:val="20"/>
                      <w:szCs w:val="20"/>
                      <w:lang w:val="en-US" w:eastAsia="zh-CN"/>
                    </w:rPr>
                  </w:pPr>
                  <w:r>
                    <w:rPr>
                      <w:rFonts w:hint="eastAsia" w:ascii="Times New Roman" w:hAnsi="Times New Roman" w:eastAsia="宋体" w:cs="Times New Roman"/>
                      <w:color w:val="auto"/>
                      <w:sz w:val="20"/>
                      <w:szCs w:val="20"/>
                      <w:lang w:val="en-US" w:eastAsia="zh-CN"/>
                    </w:rPr>
                    <w:t>0.0269</w:t>
                  </w:r>
                </w:p>
              </w:tc>
              <w:tc>
                <w:tcPr>
                  <w:tcW w:w="777" w:type="pct"/>
                  <w:noWrap w:val="0"/>
                  <w:vAlign w:val="center"/>
                </w:tcPr>
                <w:p>
                  <w:pPr>
                    <w:adjustRightInd w:val="0"/>
                    <w:snapToGrid w:val="0"/>
                    <w:jc w:val="center"/>
                    <w:rPr>
                      <w:rFonts w:hint="default" w:eastAsia="宋体"/>
                      <w:color w:val="auto"/>
                      <w:kern w:val="0"/>
                      <w:sz w:val="20"/>
                      <w:szCs w:val="20"/>
                      <w:lang w:val="en-US" w:eastAsia="zh-CN" w:bidi="ar"/>
                    </w:rPr>
                  </w:pPr>
                  <w:r>
                    <w:rPr>
                      <w:rFonts w:hint="eastAsia"/>
                      <w:color w:val="auto"/>
                      <w:kern w:val="0"/>
                      <w:sz w:val="20"/>
                      <w:szCs w:val="20"/>
                      <w:lang w:val="en-US" w:eastAsia="zh-CN" w:bidi="ar"/>
                    </w:rPr>
                    <w:t>0.0879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continue"/>
                  <w:noWrap w:val="0"/>
                  <w:vAlign w:val="center"/>
                </w:tcPr>
                <w:p>
                  <w:pPr>
                    <w:adjustRightInd w:val="0"/>
                    <w:snapToGrid w:val="0"/>
                    <w:jc w:val="center"/>
                    <w:rPr>
                      <w:color w:val="auto"/>
                      <w:sz w:val="20"/>
                      <w:szCs w:val="20"/>
                    </w:rPr>
                  </w:pPr>
                </w:p>
              </w:tc>
              <w:tc>
                <w:tcPr>
                  <w:tcW w:w="1217" w:type="pct"/>
                  <w:noWrap w:val="0"/>
                  <w:vAlign w:val="center"/>
                </w:tcPr>
                <w:p>
                  <w:pPr>
                    <w:adjustRightInd w:val="0"/>
                    <w:snapToGrid w:val="0"/>
                    <w:jc w:val="center"/>
                    <w:rPr>
                      <w:rFonts w:hint="eastAsia" w:eastAsia="宋体"/>
                      <w:color w:val="auto"/>
                      <w:sz w:val="20"/>
                      <w:szCs w:val="20"/>
                      <w:lang w:val="en-US" w:eastAsia="zh-CN"/>
                    </w:rPr>
                  </w:pPr>
                  <w:r>
                    <w:rPr>
                      <w:rFonts w:hint="eastAsia" w:eastAsia="宋体"/>
                      <w:color w:val="auto"/>
                      <w:sz w:val="20"/>
                      <w:szCs w:val="20"/>
                      <w:lang w:val="en-US" w:eastAsia="zh-CN"/>
                    </w:rPr>
                    <w:t>总磷</w:t>
                  </w:r>
                </w:p>
              </w:tc>
              <w:tc>
                <w:tcPr>
                  <w:tcW w:w="1342" w:type="dxa"/>
                  <w:noWrap w:val="0"/>
                  <w:vAlign w:val="center"/>
                </w:tcPr>
                <w:p>
                  <w:pPr>
                    <w:jc w:val="center"/>
                    <w:rPr>
                      <w:rFonts w:hint="default" w:eastAsia="宋体"/>
                      <w:color w:val="auto"/>
                      <w:sz w:val="20"/>
                      <w:szCs w:val="20"/>
                      <w:lang w:val="en-US" w:eastAsia="zh-CN"/>
                    </w:rPr>
                  </w:pPr>
                  <w:r>
                    <w:rPr>
                      <w:rFonts w:hint="eastAsia" w:ascii="Times New Roman" w:hAnsi="Times New Roman" w:eastAsia="宋体" w:cs="Times New Roman"/>
                      <w:color w:val="auto"/>
                      <w:sz w:val="20"/>
                      <w:szCs w:val="20"/>
                      <w:lang w:val="en-US" w:eastAsia="zh-CN"/>
                    </w:rPr>
                    <w:t>0.0032</w:t>
                  </w:r>
                </w:p>
              </w:tc>
              <w:tc>
                <w:tcPr>
                  <w:tcW w:w="777" w:type="pct"/>
                  <w:noWrap w:val="0"/>
                  <w:vAlign w:val="center"/>
                </w:tcPr>
                <w:p>
                  <w:pPr>
                    <w:adjustRightInd w:val="0"/>
                    <w:snapToGrid w:val="0"/>
                    <w:jc w:val="center"/>
                    <w:rPr>
                      <w:rFonts w:hint="default"/>
                      <w:color w:val="auto"/>
                      <w:kern w:val="2"/>
                      <w:sz w:val="20"/>
                      <w:szCs w:val="20"/>
                      <w:lang w:val="en-US" w:eastAsia="zh-CN" w:bidi="ar-SA"/>
                    </w:rPr>
                  </w:pPr>
                  <w:r>
                    <w:rPr>
                      <w:rFonts w:hint="eastAsia"/>
                      <w:color w:val="auto"/>
                      <w:kern w:val="2"/>
                      <w:sz w:val="20"/>
                      <w:szCs w:val="20"/>
                      <w:lang w:val="en-US" w:eastAsia="zh-CN" w:bidi="ar-SA"/>
                    </w:rPr>
                    <w:t>0.0006</w:t>
                  </w:r>
                </w:p>
              </w:tc>
              <w:tc>
                <w:tcPr>
                  <w:tcW w:w="1342" w:type="dxa"/>
                  <w:shd w:val="clear" w:color="auto" w:fill="auto"/>
                  <w:noWrap w:val="0"/>
                  <w:vAlign w:val="center"/>
                </w:tcPr>
                <w:p>
                  <w:pPr>
                    <w:jc w:val="center"/>
                    <w:rPr>
                      <w:rFonts w:hint="eastAsia"/>
                      <w:color w:val="auto"/>
                      <w:sz w:val="20"/>
                      <w:szCs w:val="20"/>
                      <w:lang w:val="en-US" w:eastAsia="zh-CN"/>
                    </w:rPr>
                  </w:pPr>
                  <w:r>
                    <w:rPr>
                      <w:rFonts w:hint="eastAsia" w:ascii="Times New Roman" w:hAnsi="Times New Roman" w:eastAsia="宋体" w:cs="Times New Roman"/>
                      <w:color w:val="auto"/>
                      <w:sz w:val="20"/>
                      <w:szCs w:val="20"/>
                      <w:lang w:val="en-US" w:eastAsia="zh-CN"/>
                    </w:rPr>
                    <w:t>0.0026</w:t>
                  </w:r>
                </w:p>
              </w:tc>
              <w:tc>
                <w:tcPr>
                  <w:tcW w:w="777" w:type="pct"/>
                  <w:noWrap w:val="0"/>
                  <w:vAlign w:val="center"/>
                </w:tcPr>
                <w:p>
                  <w:pPr>
                    <w:adjustRightInd w:val="0"/>
                    <w:snapToGrid w:val="0"/>
                    <w:jc w:val="center"/>
                    <w:rPr>
                      <w:rFonts w:hint="default"/>
                      <w:color w:val="auto"/>
                      <w:kern w:val="0"/>
                      <w:sz w:val="20"/>
                      <w:szCs w:val="20"/>
                      <w:lang w:val="en-US" w:eastAsia="zh-CN" w:bidi="ar"/>
                    </w:rPr>
                  </w:pPr>
                  <w:r>
                    <w:rPr>
                      <w:rFonts w:hint="eastAsia"/>
                      <w:color w:val="auto"/>
                      <w:kern w:val="0"/>
                      <w:sz w:val="20"/>
                      <w:szCs w:val="20"/>
                      <w:lang w:val="en-US" w:eastAsia="zh-CN" w:bidi="ar"/>
                    </w:rPr>
                    <w:t>0.0032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71" w:hRule="atLeast"/>
                <w:jc w:val="center"/>
              </w:trPr>
              <w:tc>
                <w:tcPr>
                  <w:tcW w:w="336" w:type="pct"/>
                  <w:vMerge w:val="restart"/>
                  <w:noWrap w:val="0"/>
                  <w:vAlign w:val="center"/>
                </w:tcPr>
                <w:p>
                  <w:pPr>
                    <w:adjustRightInd w:val="0"/>
                    <w:snapToGrid w:val="0"/>
                    <w:jc w:val="center"/>
                    <w:rPr>
                      <w:rFonts w:hint="eastAsia"/>
                      <w:color w:val="auto"/>
                      <w:sz w:val="20"/>
                      <w:szCs w:val="20"/>
                    </w:rPr>
                  </w:pPr>
                  <w:r>
                    <w:rPr>
                      <w:rFonts w:hint="eastAsia"/>
                      <w:color w:val="auto"/>
                      <w:sz w:val="20"/>
                      <w:szCs w:val="20"/>
                    </w:rPr>
                    <w:t>废气</w:t>
                  </w:r>
                </w:p>
              </w:tc>
              <w:tc>
                <w:tcPr>
                  <w:tcW w:w="336" w:type="pct"/>
                  <w:vMerge w:val="restart"/>
                  <w:noWrap w:val="0"/>
                  <w:vAlign w:val="center"/>
                </w:tcPr>
                <w:p>
                  <w:pPr>
                    <w:adjustRightInd w:val="0"/>
                    <w:snapToGrid w:val="0"/>
                    <w:jc w:val="center"/>
                    <w:rPr>
                      <w:rFonts w:hint="eastAsia"/>
                      <w:color w:val="auto"/>
                      <w:sz w:val="20"/>
                      <w:szCs w:val="20"/>
                    </w:rPr>
                  </w:pPr>
                  <w:r>
                    <w:rPr>
                      <w:rFonts w:hint="eastAsia"/>
                      <w:color w:val="auto"/>
                      <w:sz w:val="20"/>
                      <w:szCs w:val="20"/>
                    </w:rPr>
                    <w:t>有组织</w:t>
                  </w:r>
                </w:p>
              </w:tc>
              <w:tc>
                <w:tcPr>
                  <w:tcW w:w="1217" w:type="pct"/>
                  <w:noWrap w:val="0"/>
                  <w:vAlign w:val="center"/>
                </w:tcPr>
                <w:p>
                  <w:pPr>
                    <w:adjustRightInd w:val="0"/>
                    <w:snapToGrid w:val="0"/>
                    <w:jc w:val="center"/>
                    <w:rPr>
                      <w:rFonts w:hint="eastAsia"/>
                      <w:color w:val="auto"/>
                      <w:sz w:val="20"/>
                      <w:szCs w:val="20"/>
                    </w:rPr>
                  </w:pPr>
                  <w:r>
                    <w:rPr>
                      <w:rFonts w:hint="eastAsia"/>
                      <w:color w:val="auto"/>
                      <w:sz w:val="20"/>
                      <w:szCs w:val="20"/>
                    </w:rPr>
                    <w:t>非甲烷总烃</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1.62</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1.312</w:t>
                  </w:r>
                </w:p>
              </w:tc>
              <w:tc>
                <w:tcPr>
                  <w:tcW w:w="777" w:type="pct"/>
                  <w:noWrap w:val="0"/>
                  <w:vAlign w:val="center"/>
                </w:tcPr>
                <w:p>
                  <w:pPr>
                    <w:adjustRightInd w:val="0"/>
                    <w:snapToGrid w:val="0"/>
                    <w:jc w:val="center"/>
                    <w:rPr>
                      <w:rFonts w:hint="eastAsia"/>
                      <w:color w:val="auto"/>
                      <w:sz w:val="20"/>
                      <w:szCs w:val="20"/>
                    </w:rPr>
                  </w:pPr>
                  <w:r>
                    <w:rPr>
                      <w:rFonts w:hint="eastAsia"/>
                      <w:color w:val="auto"/>
                      <w:sz w:val="20"/>
                      <w:szCs w:val="20"/>
                    </w:rPr>
                    <w:t>-</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0.308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336" w:type="pct"/>
                  <w:vMerge w:val="continue"/>
                  <w:noWrap w:val="0"/>
                  <w:vAlign w:val="center"/>
                </w:tcPr>
                <w:p>
                  <w:pPr>
                    <w:adjustRightInd w:val="0"/>
                    <w:snapToGrid w:val="0"/>
                    <w:jc w:val="center"/>
                    <w:rPr>
                      <w:sz w:val="20"/>
                      <w:szCs w:val="22"/>
                    </w:rPr>
                  </w:pPr>
                </w:p>
              </w:tc>
              <w:tc>
                <w:tcPr>
                  <w:tcW w:w="336" w:type="pct"/>
                  <w:vMerge w:val="continue"/>
                  <w:noWrap w:val="0"/>
                  <w:vAlign w:val="center"/>
                </w:tcPr>
                <w:p>
                  <w:pPr>
                    <w:adjustRightInd w:val="0"/>
                    <w:snapToGrid w:val="0"/>
                    <w:jc w:val="center"/>
                    <w:rPr>
                      <w:sz w:val="20"/>
                      <w:szCs w:val="22"/>
                    </w:rPr>
                  </w:pPr>
                </w:p>
              </w:tc>
              <w:tc>
                <w:tcPr>
                  <w:tcW w:w="1217" w:type="pct"/>
                  <w:noWrap w:val="0"/>
                  <w:vAlign w:val="center"/>
                </w:tcPr>
                <w:p>
                  <w:pPr>
                    <w:adjustRightInd w:val="0"/>
                    <w:snapToGrid w:val="0"/>
                    <w:jc w:val="center"/>
                    <w:rPr>
                      <w:rFonts w:hint="eastAsia" w:eastAsia="宋体"/>
                      <w:color w:val="auto"/>
                      <w:sz w:val="20"/>
                      <w:szCs w:val="20"/>
                      <w:lang w:val="en-US" w:eastAsia="zh-CN"/>
                    </w:rPr>
                  </w:pPr>
                  <w:r>
                    <w:rPr>
                      <w:rFonts w:hint="eastAsia"/>
                      <w:color w:val="auto"/>
                      <w:sz w:val="20"/>
                      <w:szCs w:val="20"/>
                      <w:lang w:val="en-US" w:eastAsia="zh-CN"/>
                    </w:rPr>
                    <w:t>颗粒物</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14.946</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14.809</w:t>
                  </w:r>
                </w:p>
              </w:tc>
              <w:tc>
                <w:tcPr>
                  <w:tcW w:w="777" w:type="pct"/>
                  <w:noWrap w:val="0"/>
                  <w:vAlign w:val="center"/>
                </w:tcPr>
                <w:p>
                  <w:pPr>
                    <w:adjustRightInd w:val="0"/>
                    <w:snapToGrid w:val="0"/>
                    <w:jc w:val="center"/>
                    <w:rPr>
                      <w:rFonts w:hint="eastAsia"/>
                      <w:color w:val="auto"/>
                      <w:sz w:val="20"/>
                      <w:szCs w:val="20"/>
                    </w:rPr>
                  </w:pPr>
                  <w:r>
                    <w:rPr>
                      <w:rFonts w:hint="eastAsia"/>
                      <w:color w:val="auto"/>
                      <w:sz w:val="20"/>
                      <w:szCs w:val="20"/>
                    </w:rPr>
                    <w:t>-</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0.137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336" w:type="pct"/>
                  <w:vMerge w:val="continue"/>
                  <w:noWrap w:val="0"/>
                  <w:vAlign w:val="center"/>
                </w:tcPr>
                <w:p>
                  <w:pPr>
                    <w:adjustRightInd w:val="0"/>
                    <w:snapToGrid w:val="0"/>
                    <w:jc w:val="center"/>
                    <w:rPr>
                      <w:sz w:val="20"/>
                      <w:szCs w:val="22"/>
                    </w:rPr>
                  </w:pPr>
                </w:p>
              </w:tc>
              <w:tc>
                <w:tcPr>
                  <w:tcW w:w="336" w:type="pct"/>
                  <w:vMerge w:val="continue"/>
                  <w:noWrap w:val="0"/>
                  <w:vAlign w:val="center"/>
                </w:tcPr>
                <w:p>
                  <w:pPr>
                    <w:adjustRightInd w:val="0"/>
                    <w:snapToGrid w:val="0"/>
                    <w:jc w:val="center"/>
                    <w:rPr>
                      <w:sz w:val="20"/>
                      <w:szCs w:val="22"/>
                    </w:rPr>
                  </w:pPr>
                </w:p>
              </w:tc>
              <w:tc>
                <w:tcPr>
                  <w:tcW w:w="1217" w:type="pct"/>
                  <w:noWrap w:val="0"/>
                  <w:vAlign w:val="center"/>
                </w:tcPr>
                <w:p>
                  <w:pPr>
                    <w:adjustRightInd w:val="0"/>
                    <w:snapToGrid w:val="0"/>
                    <w:jc w:val="center"/>
                    <w:rPr>
                      <w:rFonts w:hint="default"/>
                      <w:color w:val="auto"/>
                      <w:sz w:val="20"/>
                      <w:szCs w:val="20"/>
                      <w:lang w:val="en-US" w:eastAsia="zh-CN"/>
                    </w:rPr>
                  </w:pPr>
                  <w:r>
                    <w:rPr>
                      <w:rFonts w:hint="eastAsia"/>
                      <w:color w:val="auto"/>
                      <w:sz w:val="20"/>
                      <w:szCs w:val="20"/>
                      <w:lang w:val="en-US" w:eastAsia="zh-CN"/>
                    </w:rPr>
                    <w:t>SO</w:t>
                  </w:r>
                  <w:r>
                    <w:rPr>
                      <w:rFonts w:hint="eastAsia"/>
                      <w:color w:val="auto"/>
                      <w:sz w:val="20"/>
                      <w:szCs w:val="20"/>
                      <w:vertAlign w:val="subscript"/>
                      <w:lang w:val="en-US" w:eastAsia="zh-CN"/>
                    </w:rPr>
                    <w:t>2</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4.76</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3.332</w:t>
                  </w:r>
                </w:p>
              </w:tc>
              <w:tc>
                <w:tcPr>
                  <w:tcW w:w="777" w:type="pct"/>
                  <w:noWrap w:val="0"/>
                  <w:vAlign w:val="center"/>
                </w:tcPr>
                <w:p>
                  <w:pPr>
                    <w:adjustRightInd w:val="0"/>
                    <w:snapToGrid w:val="0"/>
                    <w:jc w:val="center"/>
                    <w:rPr>
                      <w:rFonts w:hint="eastAsia"/>
                      <w:color w:val="auto"/>
                      <w:sz w:val="20"/>
                      <w:szCs w:val="20"/>
                    </w:rPr>
                  </w:pPr>
                  <w:r>
                    <w:rPr>
                      <w:rFonts w:hint="eastAsia"/>
                      <w:color w:val="auto"/>
                      <w:sz w:val="20"/>
                      <w:szCs w:val="20"/>
                    </w:rPr>
                    <w:t>-</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1.428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336" w:type="pct"/>
                  <w:vMerge w:val="continue"/>
                  <w:noWrap w:val="0"/>
                  <w:vAlign w:val="center"/>
                </w:tcPr>
                <w:p>
                  <w:pPr>
                    <w:adjustRightInd w:val="0"/>
                    <w:snapToGrid w:val="0"/>
                    <w:jc w:val="center"/>
                    <w:rPr>
                      <w:sz w:val="20"/>
                      <w:szCs w:val="22"/>
                    </w:rPr>
                  </w:pPr>
                </w:p>
              </w:tc>
              <w:tc>
                <w:tcPr>
                  <w:tcW w:w="336" w:type="pct"/>
                  <w:vMerge w:val="continue"/>
                  <w:noWrap w:val="0"/>
                  <w:vAlign w:val="center"/>
                </w:tcPr>
                <w:p>
                  <w:pPr>
                    <w:adjustRightInd w:val="0"/>
                    <w:snapToGrid w:val="0"/>
                    <w:jc w:val="center"/>
                    <w:rPr>
                      <w:sz w:val="20"/>
                      <w:szCs w:val="22"/>
                    </w:rPr>
                  </w:pPr>
                </w:p>
              </w:tc>
              <w:tc>
                <w:tcPr>
                  <w:tcW w:w="1217" w:type="pct"/>
                  <w:noWrap w:val="0"/>
                  <w:vAlign w:val="center"/>
                </w:tcPr>
                <w:p>
                  <w:pPr>
                    <w:adjustRightInd w:val="0"/>
                    <w:snapToGrid w:val="0"/>
                    <w:jc w:val="center"/>
                    <w:rPr>
                      <w:rFonts w:hint="default"/>
                      <w:color w:val="auto"/>
                      <w:sz w:val="20"/>
                      <w:szCs w:val="20"/>
                      <w:lang w:val="en-US" w:eastAsia="zh-CN"/>
                    </w:rPr>
                  </w:pPr>
                  <w:r>
                    <w:rPr>
                      <w:rFonts w:hint="eastAsia"/>
                      <w:color w:val="auto"/>
                      <w:sz w:val="20"/>
                      <w:szCs w:val="20"/>
                      <w:lang w:val="en-US" w:eastAsia="zh-CN"/>
                    </w:rPr>
                    <w:t>NO</w:t>
                  </w:r>
                  <w:r>
                    <w:rPr>
                      <w:rFonts w:hint="eastAsia"/>
                      <w:color w:val="auto"/>
                      <w:sz w:val="20"/>
                      <w:szCs w:val="20"/>
                      <w:vertAlign w:val="subscript"/>
                      <w:lang w:val="en-US" w:eastAsia="zh-CN"/>
                    </w:rPr>
                    <w:t>x</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9.94</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7.952</w:t>
                  </w:r>
                </w:p>
              </w:tc>
              <w:tc>
                <w:tcPr>
                  <w:tcW w:w="777" w:type="pct"/>
                  <w:noWrap w:val="0"/>
                  <w:vAlign w:val="center"/>
                </w:tcPr>
                <w:p>
                  <w:pPr>
                    <w:adjustRightInd w:val="0"/>
                    <w:snapToGrid w:val="0"/>
                    <w:jc w:val="center"/>
                    <w:rPr>
                      <w:rFonts w:hint="eastAsia"/>
                      <w:color w:val="auto"/>
                      <w:sz w:val="20"/>
                      <w:szCs w:val="20"/>
                    </w:rPr>
                  </w:pPr>
                  <w:r>
                    <w:rPr>
                      <w:rFonts w:hint="eastAsia"/>
                      <w:color w:val="auto"/>
                      <w:sz w:val="20"/>
                      <w:szCs w:val="20"/>
                    </w:rPr>
                    <w:t>-</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1.988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336" w:type="pct"/>
                  <w:vMerge w:val="continue"/>
                  <w:noWrap w:val="0"/>
                  <w:vAlign w:val="center"/>
                </w:tcPr>
                <w:p>
                  <w:pPr>
                    <w:adjustRightInd w:val="0"/>
                    <w:snapToGrid w:val="0"/>
                    <w:jc w:val="center"/>
                    <w:rPr>
                      <w:sz w:val="20"/>
                      <w:szCs w:val="22"/>
                    </w:rPr>
                  </w:pPr>
                </w:p>
              </w:tc>
              <w:tc>
                <w:tcPr>
                  <w:tcW w:w="336" w:type="pct"/>
                  <w:vMerge w:val="continue"/>
                  <w:noWrap w:val="0"/>
                  <w:vAlign w:val="center"/>
                </w:tcPr>
                <w:p>
                  <w:pPr>
                    <w:adjustRightInd w:val="0"/>
                    <w:snapToGrid w:val="0"/>
                    <w:jc w:val="center"/>
                    <w:rPr>
                      <w:sz w:val="20"/>
                      <w:szCs w:val="22"/>
                    </w:rPr>
                  </w:pPr>
                </w:p>
              </w:tc>
              <w:tc>
                <w:tcPr>
                  <w:tcW w:w="1217" w:type="pct"/>
                  <w:noWrap w:val="0"/>
                  <w:vAlign w:val="center"/>
                </w:tcPr>
                <w:p>
                  <w:pPr>
                    <w:adjustRightInd w:val="0"/>
                    <w:snapToGrid w:val="0"/>
                    <w:jc w:val="center"/>
                    <w:rPr>
                      <w:rFonts w:hint="default"/>
                      <w:color w:val="auto"/>
                      <w:sz w:val="20"/>
                      <w:szCs w:val="20"/>
                      <w:lang w:val="en-US" w:eastAsia="zh-CN"/>
                    </w:rPr>
                  </w:pPr>
                  <w:r>
                    <w:rPr>
                      <w:rFonts w:hint="eastAsia"/>
                      <w:color w:val="auto"/>
                      <w:sz w:val="20"/>
                      <w:szCs w:val="20"/>
                      <w:lang w:val="en-US" w:eastAsia="zh-CN"/>
                    </w:rPr>
                    <w:t>汞及其化合物</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5.374kg</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3.762kg</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rPr>
                    <w:t>-</w:t>
                  </w:r>
                </w:p>
              </w:tc>
              <w:tc>
                <w:tcPr>
                  <w:tcW w:w="777" w:type="pct"/>
                  <w:noWrap w:val="0"/>
                  <w:vAlign w:val="center"/>
                </w:tcPr>
                <w:p>
                  <w:pPr>
                    <w:adjustRightInd w:val="0"/>
                    <w:snapToGrid w:val="0"/>
                    <w:jc w:val="center"/>
                    <w:rPr>
                      <w:rFonts w:hint="eastAsia"/>
                      <w:color w:val="auto"/>
                      <w:sz w:val="20"/>
                      <w:szCs w:val="20"/>
                    </w:rPr>
                  </w:pPr>
                  <w:r>
                    <w:rPr>
                      <w:rFonts w:hint="eastAsia"/>
                      <w:color w:val="auto"/>
                      <w:sz w:val="20"/>
                      <w:szCs w:val="20"/>
                      <w:lang w:val="en-US" w:eastAsia="zh-CN"/>
                    </w:rPr>
                    <w:t>1.612kg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336" w:type="pct"/>
                  <w:vMerge w:val="continue"/>
                  <w:noWrap w:val="0"/>
                  <w:vAlign w:val="center"/>
                </w:tcPr>
                <w:p>
                  <w:pPr>
                    <w:adjustRightInd w:val="0"/>
                    <w:snapToGrid w:val="0"/>
                    <w:jc w:val="center"/>
                    <w:rPr>
                      <w:rFonts w:hint="eastAsia"/>
                      <w:color w:val="auto"/>
                      <w:sz w:val="20"/>
                      <w:szCs w:val="20"/>
                    </w:rPr>
                  </w:pPr>
                </w:p>
              </w:tc>
              <w:tc>
                <w:tcPr>
                  <w:tcW w:w="336" w:type="pct"/>
                  <w:vMerge w:val="restart"/>
                  <w:noWrap w:val="0"/>
                  <w:vAlign w:val="center"/>
                </w:tcPr>
                <w:p>
                  <w:pPr>
                    <w:adjustRightInd w:val="0"/>
                    <w:snapToGrid w:val="0"/>
                    <w:jc w:val="center"/>
                    <w:rPr>
                      <w:rFonts w:hint="eastAsia"/>
                      <w:color w:val="auto"/>
                      <w:sz w:val="20"/>
                      <w:szCs w:val="20"/>
                    </w:rPr>
                  </w:pPr>
                  <w:r>
                    <w:rPr>
                      <w:rFonts w:hint="eastAsia"/>
                      <w:color w:val="auto"/>
                      <w:sz w:val="20"/>
                      <w:szCs w:val="20"/>
                    </w:rPr>
                    <w:t>无组织</w:t>
                  </w:r>
                </w:p>
              </w:tc>
              <w:tc>
                <w:tcPr>
                  <w:tcW w:w="1217" w:type="pct"/>
                  <w:noWrap w:val="0"/>
                  <w:vAlign w:val="center"/>
                </w:tcPr>
                <w:p>
                  <w:pPr>
                    <w:adjustRightInd w:val="0"/>
                    <w:snapToGrid w:val="0"/>
                    <w:jc w:val="center"/>
                    <w:rPr>
                      <w:rFonts w:hint="eastAsia"/>
                      <w:color w:val="auto"/>
                      <w:sz w:val="20"/>
                      <w:szCs w:val="20"/>
                    </w:rPr>
                  </w:pPr>
                  <w:r>
                    <w:rPr>
                      <w:rFonts w:hint="eastAsia"/>
                      <w:color w:val="auto"/>
                      <w:sz w:val="20"/>
                      <w:szCs w:val="20"/>
                    </w:rPr>
                    <w:t>非甲烷总烃</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0.081</w:t>
                  </w:r>
                </w:p>
              </w:tc>
              <w:tc>
                <w:tcPr>
                  <w:tcW w:w="777" w:type="pct"/>
                  <w:noWrap w:val="0"/>
                  <w:vAlign w:val="center"/>
                </w:tcPr>
                <w:p>
                  <w:pPr>
                    <w:adjustRightInd w:val="0"/>
                    <w:snapToGrid w:val="0"/>
                    <w:jc w:val="center"/>
                    <w:rPr>
                      <w:rFonts w:hint="eastAsia"/>
                      <w:color w:val="auto"/>
                      <w:sz w:val="20"/>
                      <w:szCs w:val="20"/>
                    </w:rPr>
                  </w:pPr>
                  <w:r>
                    <w:rPr>
                      <w:rFonts w:hint="eastAsia"/>
                      <w:color w:val="auto"/>
                      <w:sz w:val="20"/>
                      <w:szCs w:val="20"/>
                    </w:rPr>
                    <w:t>0</w:t>
                  </w:r>
                </w:p>
              </w:tc>
              <w:tc>
                <w:tcPr>
                  <w:tcW w:w="777" w:type="pct"/>
                  <w:noWrap w:val="0"/>
                  <w:vAlign w:val="center"/>
                </w:tcPr>
                <w:p>
                  <w:pPr>
                    <w:adjustRightInd w:val="0"/>
                    <w:snapToGrid w:val="0"/>
                    <w:jc w:val="center"/>
                    <w:rPr>
                      <w:rFonts w:hint="eastAsia"/>
                      <w:color w:val="auto"/>
                      <w:sz w:val="20"/>
                      <w:szCs w:val="20"/>
                    </w:rPr>
                  </w:pPr>
                  <w:r>
                    <w:rPr>
                      <w:rFonts w:hint="eastAsia"/>
                      <w:color w:val="auto"/>
                      <w:sz w:val="20"/>
                      <w:szCs w:val="20"/>
                    </w:rPr>
                    <w:t>-</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7" w:hRule="atLeast"/>
                <w:jc w:val="center"/>
              </w:trPr>
              <w:tc>
                <w:tcPr>
                  <w:tcW w:w="336" w:type="pct"/>
                  <w:vMerge w:val="continue"/>
                  <w:noWrap w:val="0"/>
                  <w:vAlign w:val="center"/>
                </w:tcPr>
                <w:p>
                  <w:pPr>
                    <w:adjustRightInd w:val="0"/>
                    <w:snapToGrid w:val="0"/>
                    <w:jc w:val="center"/>
                    <w:rPr>
                      <w:sz w:val="20"/>
                      <w:szCs w:val="22"/>
                    </w:rPr>
                  </w:pPr>
                </w:p>
              </w:tc>
              <w:tc>
                <w:tcPr>
                  <w:tcW w:w="336" w:type="pct"/>
                  <w:vMerge w:val="continue"/>
                  <w:noWrap w:val="0"/>
                  <w:vAlign w:val="center"/>
                </w:tcPr>
                <w:p>
                  <w:pPr>
                    <w:adjustRightInd w:val="0"/>
                    <w:snapToGrid w:val="0"/>
                    <w:jc w:val="center"/>
                    <w:rPr>
                      <w:sz w:val="20"/>
                      <w:szCs w:val="22"/>
                    </w:rPr>
                  </w:pPr>
                </w:p>
              </w:tc>
              <w:tc>
                <w:tcPr>
                  <w:tcW w:w="1217" w:type="pct"/>
                  <w:noWrap w:val="0"/>
                  <w:vAlign w:val="center"/>
                </w:tcPr>
                <w:p>
                  <w:pPr>
                    <w:adjustRightInd w:val="0"/>
                    <w:snapToGrid w:val="0"/>
                    <w:jc w:val="center"/>
                    <w:rPr>
                      <w:rFonts w:hint="eastAsia" w:eastAsia="宋体"/>
                      <w:color w:val="auto"/>
                      <w:sz w:val="20"/>
                      <w:szCs w:val="20"/>
                      <w:lang w:val="en-US" w:eastAsia="zh-CN"/>
                    </w:rPr>
                  </w:pPr>
                  <w:r>
                    <w:rPr>
                      <w:rFonts w:hint="eastAsia"/>
                      <w:color w:val="auto"/>
                      <w:sz w:val="20"/>
                      <w:szCs w:val="20"/>
                      <w:lang w:val="en-US" w:eastAsia="zh-CN"/>
                    </w:rPr>
                    <w:t>颗粒物</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0.0795</w:t>
                  </w:r>
                </w:p>
              </w:tc>
              <w:tc>
                <w:tcPr>
                  <w:tcW w:w="77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rPr>
                    <w:t>0</w:t>
                  </w:r>
                </w:p>
              </w:tc>
              <w:tc>
                <w:tcPr>
                  <w:tcW w:w="777" w:type="pct"/>
                  <w:shd w:val="clear" w:color="auto" w:fill="auto"/>
                  <w:noWrap w:val="0"/>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rPr>
                    <w:t>-</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0.0795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restart"/>
                  <w:noWrap w:val="0"/>
                  <w:vAlign w:val="center"/>
                </w:tcPr>
                <w:p>
                  <w:pPr>
                    <w:adjustRightInd w:val="0"/>
                    <w:snapToGrid w:val="0"/>
                    <w:jc w:val="center"/>
                    <w:rPr>
                      <w:color w:val="auto"/>
                      <w:sz w:val="20"/>
                      <w:szCs w:val="20"/>
                    </w:rPr>
                  </w:pPr>
                  <w:r>
                    <w:rPr>
                      <w:color w:val="auto"/>
                      <w:sz w:val="20"/>
                      <w:szCs w:val="20"/>
                    </w:rPr>
                    <w:t>固废</w:t>
                  </w:r>
                </w:p>
              </w:tc>
              <w:tc>
                <w:tcPr>
                  <w:tcW w:w="1217" w:type="pct"/>
                  <w:noWrap w:val="0"/>
                  <w:vAlign w:val="center"/>
                </w:tcPr>
                <w:p>
                  <w:pPr>
                    <w:adjustRightInd w:val="0"/>
                    <w:snapToGrid w:val="0"/>
                    <w:jc w:val="center"/>
                    <w:rPr>
                      <w:color w:val="auto"/>
                      <w:sz w:val="20"/>
                      <w:szCs w:val="20"/>
                    </w:rPr>
                  </w:pPr>
                  <w:r>
                    <w:rPr>
                      <w:rFonts w:hint="eastAsia"/>
                      <w:color w:val="auto"/>
                      <w:sz w:val="20"/>
                      <w:szCs w:val="20"/>
                    </w:rPr>
                    <w:t>生活垃圾</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7.5</w:t>
                  </w:r>
                </w:p>
              </w:tc>
              <w:tc>
                <w:tcPr>
                  <w:tcW w:w="777" w:type="pct"/>
                  <w:noWrap w:val="0"/>
                  <w:vAlign w:val="center"/>
                </w:tcPr>
                <w:p>
                  <w:pPr>
                    <w:adjustRightInd w:val="0"/>
                    <w:snapToGrid w:val="0"/>
                    <w:jc w:val="center"/>
                    <w:rPr>
                      <w:color w:val="auto"/>
                      <w:sz w:val="20"/>
                      <w:szCs w:val="20"/>
                    </w:rPr>
                  </w:pPr>
                  <w:r>
                    <w:rPr>
                      <w:rFonts w:hint="eastAsia"/>
                      <w:color w:val="auto"/>
                      <w:sz w:val="20"/>
                      <w:szCs w:val="20"/>
                      <w:lang w:val="en-US" w:eastAsia="zh-CN"/>
                    </w:rPr>
                    <w:t>7.5</w:t>
                  </w:r>
                </w:p>
              </w:tc>
              <w:tc>
                <w:tcPr>
                  <w:tcW w:w="777" w:type="pct"/>
                  <w:noWrap w:val="0"/>
                  <w:vAlign w:val="center"/>
                </w:tcPr>
                <w:p>
                  <w:pPr>
                    <w:adjustRightInd w:val="0"/>
                    <w:snapToGrid w:val="0"/>
                    <w:jc w:val="center"/>
                    <w:rPr>
                      <w:color w:val="auto"/>
                      <w:sz w:val="20"/>
                      <w:szCs w:val="20"/>
                    </w:rPr>
                  </w:pPr>
                  <w:r>
                    <w:rPr>
                      <w:color w:val="auto"/>
                      <w:sz w:val="20"/>
                      <w:szCs w:val="20"/>
                    </w:rPr>
                    <w:t>0</w:t>
                  </w:r>
                </w:p>
              </w:tc>
              <w:tc>
                <w:tcPr>
                  <w:tcW w:w="777" w:type="pct"/>
                  <w:noWrap w:val="0"/>
                  <w:vAlign w:val="center"/>
                </w:tcPr>
                <w:p>
                  <w:pPr>
                    <w:adjustRightInd w:val="0"/>
                    <w:snapToGrid w:val="0"/>
                    <w:jc w:val="center"/>
                    <w:rPr>
                      <w:color w:val="auto"/>
                      <w:sz w:val="20"/>
                      <w:szCs w:val="20"/>
                    </w:rPr>
                  </w:pPr>
                  <w:r>
                    <w:rPr>
                      <w:rFonts w:hint="eastAsia"/>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continue"/>
                  <w:noWrap w:val="0"/>
                  <w:vAlign w:val="center"/>
                </w:tcPr>
                <w:p>
                  <w:pPr>
                    <w:adjustRightInd w:val="0"/>
                    <w:snapToGrid w:val="0"/>
                    <w:jc w:val="center"/>
                    <w:rPr>
                      <w:color w:val="auto"/>
                      <w:sz w:val="20"/>
                      <w:szCs w:val="20"/>
                    </w:rPr>
                  </w:pPr>
                </w:p>
              </w:tc>
              <w:tc>
                <w:tcPr>
                  <w:tcW w:w="1217" w:type="pct"/>
                  <w:noWrap w:val="0"/>
                  <w:vAlign w:val="center"/>
                </w:tcPr>
                <w:p>
                  <w:pPr>
                    <w:adjustRightInd w:val="0"/>
                    <w:snapToGrid w:val="0"/>
                    <w:jc w:val="center"/>
                    <w:rPr>
                      <w:color w:val="auto"/>
                      <w:sz w:val="20"/>
                      <w:szCs w:val="20"/>
                    </w:rPr>
                  </w:pPr>
                  <w:r>
                    <w:rPr>
                      <w:rFonts w:hint="eastAsia"/>
                      <w:color w:val="auto"/>
                      <w:sz w:val="20"/>
                      <w:szCs w:val="20"/>
                    </w:rPr>
                    <w:t>一般</w:t>
                  </w:r>
                  <w:r>
                    <w:rPr>
                      <w:color w:val="auto"/>
                      <w:sz w:val="20"/>
                      <w:szCs w:val="20"/>
                    </w:rPr>
                    <w:t>固废</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169.298</w:t>
                  </w:r>
                </w:p>
              </w:tc>
              <w:tc>
                <w:tcPr>
                  <w:tcW w:w="1342" w:type="dxa"/>
                  <w:noWrap w:val="0"/>
                  <w:vAlign w:val="center"/>
                </w:tcPr>
                <w:p>
                  <w:pPr>
                    <w:adjustRightInd w:val="0"/>
                    <w:snapToGrid w:val="0"/>
                    <w:jc w:val="center"/>
                    <w:rPr>
                      <w:color w:val="auto"/>
                      <w:sz w:val="20"/>
                      <w:szCs w:val="20"/>
                    </w:rPr>
                  </w:pPr>
                  <w:r>
                    <w:rPr>
                      <w:rFonts w:hint="eastAsia"/>
                      <w:color w:val="auto"/>
                      <w:sz w:val="20"/>
                      <w:szCs w:val="20"/>
                      <w:lang w:val="en-US" w:eastAsia="zh-CN"/>
                    </w:rPr>
                    <w:t>169.298</w:t>
                  </w:r>
                </w:p>
              </w:tc>
              <w:tc>
                <w:tcPr>
                  <w:tcW w:w="777" w:type="pct"/>
                  <w:noWrap w:val="0"/>
                  <w:vAlign w:val="center"/>
                </w:tcPr>
                <w:p>
                  <w:pPr>
                    <w:adjustRightInd w:val="0"/>
                    <w:snapToGrid w:val="0"/>
                    <w:jc w:val="center"/>
                    <w:rPr>
                      <w:color w:val="auto"/>
                      <w:sz w:val="20"/>
                      <w:szCs w:val="20"/>
                    </w:rPr>
                  </w:pPr>
                  <w:r>
                    <w:rPr>
                      <w:color w:val="auto"/>
                      <w:sz w:val="20"/>
                      <w:szCs w:val="20"/>
                    </w:rPr>
                    <w:t>0</w:t>
                  </w:r>
                </w:p>
              </w:tc>
              <w:tc>
                <w:tcPr>
                  <w:tcW w:w="777" w:type="pct"/>
                  <w:noWrap w:val="0"/>
                  <w:vAlign w:val="center"/>
                </w:tcPr>
                <w:p>
                  <w:pPr>
                    <w:adjustRightInd w:val="0"/>
                    <w:snapToGrid w:val="0"/>
                    <w:jc w:val="center"/>
                    <w:rPr>
                      <w:color w:val="auto"/>
                      <w:sz w:val="20"/>
                      <w:szCs w:val="20"/>
                    </w:rPr>
                  </w:pPr>
                  <w:r>
                    <w:rPr>
                      <w:rFonts w:hint="eastAsia"/>
                      <w:color w:val="auto"/>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672" w:type="pct"/>
                  <w:gridSpan w:val="2"/>
                  <w:vMerge w:val="continue"/>
                  <w:noWrap w:val="0"/>
                  <w:vAlign w:val="center"/>
                </w:tcPr>
                <w:p>
                  <w:pPr>
                    <w:adjustRightInd w:val="0"/>
                    <w:snapToGrid w:val="0"/>
                    <w:jc w:val="center"/>
                    <w:rPr>
                      <w:color w:val="auto"/>
                      <w:sz w:val="20"/>
                      <w:szCs w:val="20"/>
                    </w:rPr>
                  </w:pPr>
                </w:p>
              </w:tc>
              <w:tc>
                <w:tcPr>
                  <w:tcW w:w="1217" w:type="pct"/>
                  <w:noWrap w:val="0"/>
                  <w:vAlign w:val="center"/>
                </w:tcPr>
                <w:p>
                  <w:pPr>
                    <w:adjustRightInd w:val="0"/>
                    <w:snapToGrid w:val="0"/>
                    <w:jc w:val="center"/>
                    <w:rPr>
                      <w:color w:val="auto"/>
                      <w:sz w:val="20"/>
                      <w:szCs w:val="20"/>
                    </w:rPr>
                  </w:pPr>
                  <w:r>
                    <w:rPr>
                      <w:rFonts w:hint="eastAsia"/>
                      <w:color w:val="auto"/>
                      <w:sz w:val="20"/>
                      <w:szCs w:val="20"/>
                    </w:rPr>
                    <w:t>危险固废</w:t>
                  </w:r>
                </w:p>
              </w:tc>
              <w:tc>
                <w:tcPr>
                  <w:tcW w:w="777" w:type="pct"/>
                  <w:noWrap w:val="0"/>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4.693</w:t>
                  </w:r>
                </w:p>
              </w:tc>
              <w:tc>
                <w:tcPr>
                  <w:tcW w:w="1342" w:type="dxa"/>
                  <w:noWrap w:val="0"/>
                  <w:vAlign w:val="center"/>
                </w:tcPr>
                <w:p>
                  <w:pPr>
                    <w:adjustRightInd w:val="0"/>
                    <w:snapToGrid w:val="0"/>
                    <w:jc w:val="center"/>
                    <w:rPr>
                      <w:color w:val="auto"/>
                      <w:sz w:val="20"/>
                      <w:szCs w:val="20"/>
                    </w:rPr>
                  </w:pPr>
                  <w:r>
                    <w:rPr>
                      <w:rFonts w:hint="eastAsia"/>
                      <w:color w:val="auto"/>
                      <w:sz w:val="20"/>
                      <w:szCs w:val="20"/>
                      <w:lang w:val="en-US" w:eastAsia="zh-CN"/>
                    </w:rPr>
                    <w:t>4.693</w:t>
                  </w:r>
                </w:p>
              </w:tc>
              <w:tc>
                <w:tcPr>
                  <w:tcW w:w="777" w:type="pct"/>
                  <w:noWrap w:val="0"/>
                  <w:vAlign w:val="center"/>
                </w:tcPr>
                <w:p>
                  <w:pPr>
                    <w:adjustRightInd w:val="0"/>
                    <w:snapToGrid w:val="0"/>
                    <w:jc w:val="center"/>
                    <w:rPr>
                      <w:color w:val="auto"/>
                      <w:sz w:val="20"/>
                      <w:szCs w:val="20"/>
                    </w:rPr>
                  </w:pPr>
                  <w:r>
                    <w:rPr>
                      <w:color w:val="auto"/>
                      <w:sz w:val="20"/>
                      <w:szCs w:val="20"/>
                    </w:rPr>
                    <w:t>0</w:t>
                  </w:r>
                </w:p>
              </w:tc>
              <w:tc>
                <w:tcPr>
                  <w:tcW w:w="777" w:type="pct"/>
                  <w:noWrap w:val="0"/>
                  <w:vAlign w:val="center"/>
                </w:tcPr>
                <w:p>
                  <w:pPr>
                    <w:adjustRightInd w:val="0"/>
                    <w:snapToGrid w:val="0"/>
                    <w:jc w:val="center"/>
                    <w:rPr>
                      <w:color w:val="auto"/>
                      <w:sz w:val="20"/>
                      <w:szCs w:val="20"/>
                    </w:rPr>
                  </w:pPr>
                  <w:r>
                    <w:rPr>
                      <w:rFonts w:hint="eastAsia"/>
                      <w:color w:val="auto"/>
                      <w:sz w:val="20"/>
                      <w:szCs w:val="20"/>
                    </w:rPr>
                    <w:t>-</w:t>
                  </w:r>
                </w:p>
              </w:tc>
            </w:tr>
          </w:tbl>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eastAsia="zh-CN"/>
              </w:rPr>
              <w:tab/>
            </w:r>
            <w:r>
              <w:rPr>
                <w:rFonts w:hint="eastAsia" w:ascii="Times New Roman" w:hAnsi="Times New Roman" w:eastAsia="宋体" w:cs="Times New Roman"/>
                <w:color w:val="FF0000"/>
                <w:sz w:val="21"/>
                <w:szCs w:val="21"/>
                <w:lang w:val="en-US" w:eastAsia="zh-CN"/>
              </w:rPr>
              <w:t>2、排污许可技术规范核算许可排放量</w:t>
            </w:r>
          </w:p>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rPr>
              <w:t>（一）项目环评总量确定</w:t>
            </w:r>
          </w:p>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lang w:eastAsia="zh-CN"/>
              </w:rPr>
            </w:pPr>
            <w:r>
              <w:rPr>
                <w:rFonts w:hint="eastAsia" w:ascii="Times New Roman" w:hAnsi="Times New Roman" w:eastAsia="宋体" w:cs="Times New Roman"/>
                <w:color w:val="FF0000"/>
                <w:sz w:val="21"/>
                <w:szCs w:val="21"/>
                <w:lang w:val="en-US" w:eastAsia="zh-CN"/>
              </w:rPr>
              <w:t>根据关于印发《关于做好建设项目挥发性有机物排放管理工作的意见（试行）》的通知（通环办〔2025〕32号），“排污单位需交易获得的排污总量指标，以及排污许可证核增的许可排放量，应与环评批复的新增排污总量（包括有组织、无组织）保持一致。环境影响报告书（表）编制时，应按照相关规定选择适用可行的核算方法确定建设项目污染物排放量，且不得大于对应行业《排污许可申请与核发技术规范》中规定方法所测算的污染物排放量。环境影响报告书（表）中，污染源源强核算（主要环境影响和保护措施）章节对污染物排放量的分析，应根据《排污许可申请与核发技术规范》分别明确主要排放口、一般排放口排放量，区分有组织排放及无组织排放。”</w:t>
            </w:r>
          </w:p>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lang w:val="en-US" w:eastAsia="zh-CN"/>
              </w:rPr>
            </w:pPr>
            <w:r>
              <w:rPr>
                <w:rFonts w:hint="eastAsia" w:ascii="Times New Roman" w:hAnsi="Times New Roman" w:eastAsia="宋体" w:cs="Times New Roman"/>
                <w:color w:val="FF0000"/>
                <w:sz w:val="21"/>
                <w:szCs w:val="21"/>
                <w:lang w:val="en-US" w:eastAsia="zh-CN"/>
              </w:rPr>
              <w:t>根据《南通市如皋生态环境局关于优化和完善项目环评总量预报与审批流程的会议纪要》中“1.进一步完善源强核算。（1）新、改、扩建项目根据《关于印发&lt;南通市关于推进固定污染源排污总量数据统一的工作方案＞的通知》（通环办〔2024〕50号）需在排污许可证中对企业进行全赋量，因此源强核算应对照排污许可技术规范进行全面核算，与环评核算对比取严，并在环评文本中提供计算过程，执行标准等。即，无论排污许可技术规范是否明确该排口是否需要许可排放量，均应参照行业技术规范、通用工序技术规范、技术规范总则等，选择合适的核算方法（应注意本排放口在所选核算方法的适用范围内）对各排放口许可排放量进行全面核算。”</w:t>
            </w:r>
          </w:p>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lang w:val="zh-CN"/>
              </w:rPr>
            </w:pPr>
            <w:r>
              <w:rPr>
                <w:rFonts w:hint="eastAsia" w:ascii="Times New Roman" w:hAnsi="Times New Roman" w:eastAsia="宋体" w:cs="Times New Roman"/>
                <w:color w:val="FF0000"/>
                <w:sz w:val="21"/>
                <w:szCs w:val="21"/>
              </w:rPr>
              <w:t>（1）环评中废气、废水排放量核算具体见工程分析。</w:t>
            </w:r>
          </w:p>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（2）按照技术规范核算排放量</w:t>
            </w:r>
          </w:p>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rPr>
            </w:pPr>
            <w:r>
              <w:rPr>
                <w:rFonts w:hint="eastAsia" w:ascii="Times New Roman" w:hAnsi="Times New Roman" w:eastAsia="宋体" w:cs="Times New Roman"/>
                <w:color w:val="FF0000"/>
                <w:sz w:val="21"/>
                <w:szCs w:val="21"/>
              </w:rPr>
              <w:t>①废气</w:t>
            </w:r>
            <w:r>
              <w:rPr>
                <w:rFonts w:hint="eastAsia" w:ascii="Times New Roman" w:hAnsi="Times New Roman" w:eastAsia="宋体" w:cs="Times New Roman"/>
                <w:color w:val="FF0000"/>
                <w:sz w:val="21"/>
                <w:szCs w:val="21"/>
                <w:lang w:eastAsia="zh-CN"/>
              </w:rPr>
              <w:t>排放量</w:t>
            </w:r>
            <w:r>
              <w:rPr>
                <w:rFonts w:hint="eastAsia" w:ascii="Times New Roman" w:hAnsi="Times New Roman" w:eastAsia="宋体" w:cs="Times New Roman"/>
                <w:color w:val="FF0000"/>
                <w:sz w:val="21"/>
                <w:szCs w:val="21"/>
              </w:rPr>
              <w:t>核算</w:t>
            </w:r>
          </w:p>
          <w:p>
            <w:pPr>
              <w:tabs>
                <w:tab w:val="left" w:pos="345"/>
              </w:tabs>
              <w:adjustRightInd w:val="0"/>
              <w:snapToGrid w:val="0"/>
              <w:spacing w:line="360" w:lineRule="auto"/>
              <w:ind w:firstLine="420" w:firstLineChars="200"/>
              <w:rPr>
                <w:rFonts w:hint="eastAsia"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本项目为</w:t>
            </w:r>
            <w:r>
              <w:rPr>
                <w:rFonts w:hint="eastAsia"/>
                <w:color w:val="FF0000"/>
                <w:szCs w:val="21"/>
              </w:rPr>
              <w:t>C1789其他产业用纺织制成品制造</w:t>
            </w:r>
            <w:r>
              <w:rPr>
                <w:rFonts w:hint="eastAsia"/>
                <w:color w:val="FF0000"/>
                <w:lang w:eastAsia="zh-CN"/>
              </w:rPr>
              <w:t>、</w:t>
            </w:r>
            <w:r>
              <w:rPr>
                <w:rFonts w:hint="eastAsia" w:cs="Times New Roman"/>
                <w:color w:val="FF0000"/>
                <w:szCs w:val="21"/>
                <w:lang w:eastAsia="zh-CN"/>
              </w:rPr>
              <w:t>D4430热力生产和供应</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DA001为一般排放口，</w:t>
            </w:r>
            <w:r>
              <w:rPr>
                <w:rFonts w:hint="default" w:ascii="Times New Roman" w:hAnsi="Times New Roman" w:eastAsia="宋体" w:cs="Times New Roman"/>
                <w:color w:val="FF0000"/>
                <w:sz w:val="21"/>
                <w:szCs w:val="21"/>
              </w:rPr>
              <w:t xml:space="preserve">参照《排污许可证申请与核发技术规范 </w:t>
            </w:r>
            <w:r>
              <w:rPr>
                <w:rFonts w:hint="eastAsia" w:ascii="Times New Roman" w:hAnsi="Times New Roman" w:eastAsia="宋体" w:cs="Times New Roman"/>
                <w:color w:val="FF0000"/>
                <w:sz w:val="21"/>
                <w:szCs w:val="21"/>
                <w:lang w:val="en-US" w:eastAsia="zh-CN"/>
              </w:rPr>
              <w:t>纺织印染工业</w:t>
            </w:r>
            <w:r>
              <w:rPr>
                <w:rFonts w:hint="default" w:ascii="Times New Roman" w:hAnsi="Times New Roman" w:eastAsia="宋体" w:cs="Times New Roman"/>
                <w:color w:val="FF0000"/>
                <w:sz w:val="21"/>
                <w:szCs w:val="21"/>
              </w:rPr>
              <w:t>》（HJ</w:t>
            </w:r>
            <w:r>
              <w:rPr>
                <w:rFonts w:hint="eastAsia" w:ascii="Times New Roman" w:hAnsi="Times New Roman" w:eastAsia="宋体" w:cs="Times New Roman"/>
                <w:color w:val="FF0000"/>
                <w:sz w:val="21"/>
                <w:szCs w:val="21"/>
                <w:lang w:val="en-US" w:eastAsia="zh-CN"/>
              </w:rPr>
              <w:t>861</w:t>
            </w:r>
            <w:r>
              <w:rPr>
                <w:rFonts w:hint="default" w:ascii="Times New Roman" w:hAnsi="Times New Roman" w:eastAsia="宋体" w:cs="Times New Roman"/>
                <w:color w:val="FF0000"/>
                <w:sz w:val="21"/>
                <w:szCs w:val="21"/>
              </w:rPr>
              <w:t>-201</w:t>
            </w:r>
            <w:r>
              <w:rPr>
                <w:rFonts w:hint="eastAsia" w:ascii="Times New Roman" w:hAnsi="Times New Roman" w:eastAsia="宋体" w:cs="Times New Roman"/>
                <w:color w:val="FF0000"/>
                <w:sz w:val="21"/>
                <w:szCs w:val="21"/>
                <w:lang w:val="en-US" w:eastAsia="zh-CN"/>
              </w:rPr>
              <w:t>7</w:t>
            </w:r>
            <w:r>
              <w:rPr>
                <w:rFonts w:hint="default" w:ascii="Times New Roman" w:hAnsi="Times New Roman" w:eastAsia="宋体" w:cs="Times New Roman"/>
                <w:color w:val="FF0000"/>
                <w:sz w:val="21"/>
                <w:szCs w:val="21"/>
              </w:rPr>
              <w:t>）中</w:t>
            </w:r>
            <w:r>
              <w:rPr>
                <w:rFonts w:hint="eastAsia" w:ascii="Times New Roman" w:hAnsi="Times New Roman" w:eastAsia="宋体" w:cs="Times New Roman"/>
                <w:color w:val="FF0000"/>
                <w:sz w:val="21"/>
                <w:szCs w:val="21"/>
                <w:lang w:val="en-US" w:eastAsia="zh-CN"/>
              </w:rPr>
              <w:t>未</w:t>
            </w:r>
            <w:r>
              <w:rPr>
                <w:rFonts w:hint="default" w:ascii="Times New Roman" w:hAnsi="Times New Roman" w:eastAsia="宋体" w:cs="Times New Roman"/>
                <w:color w:val="FF0000"/>
                <w:sz w:val="21"/>
                <w:szCs w:val="21"/>
              </w:rPr>
              <w:t>规定</w:t>
            </w:r>
            <w:r>
              <w:rPr>
                <w:rFonts w:hint="eastAsia" w:ascii="Times New Roman" w:hAnsi="Times New Roman" w:eastAsia="宋体" w:cs="Times New Roman"/>
                <w:color w:val="FF0000"/>
                <w:sz w:val="21"/>
                <w:szCs w:val="21"/>
                <w:lang w:val="en-US" w:eastAsia="zh-CN"/>
              </w:rPr>
              <w:t>一般排放口许可排放量，</w:t>
            </w:r>
            <w:r>
              <w:rPr>
                <w:rFonts w:hint="eastAsia" w:ascii="Times New Roman" w:hAnsi="Times New Roman" w:eastAsia="宋体" w:cs="Times New Roman"/>
                <w:color w:val="FF0000"/>
                <w:sz w:val="21"/>
                <w:szCs w:val="21"/>
              </w:rPr>
              <w:t>参照《排污许可证申请与核发技术规范  总则》（HJ942-2018）</w:t>
            </w:r>
            <w:r>
              <w:rPr>
                <w:rFonts w:hint="eastAsia" w:ascii="Times New Roman" w:hAnsi="Times New Roman" w:eastAsia="宋体" w:cs="Times New Roman"/>
                <w:color w:val="FF0000"/>
                <w:sz w:val="21"/>
                <w:szCs w:val="21"/>
                <w:lang w:val="en-US" w:eastAsia="zh-CN"/>
              </w:rPr>
              <w:t>主要排放口</w:t>
            </w:r>
            <w:r>
              <w:rPr>
                <w:rFonts w:hint="default" w:ascii="Times New Roman" w:hAnsi="Times New Roman" w:eastAsia="宋体" w:cs="Times New Roman"/>
                <w:color w:val="FF0000"/>
                <w:sz w:val="21"/>
                <w:szCs w:val="21"/>
              </w:rPr>
              <w:t>许可排放浓度、风量、年生产时间确定计算</w:t>
            </w:r>
            <w:r>
              <w:rPr>
                <w:rFonts w:hint="eastAsia" w:ascii="Times New Roman" w:hAnsi="Times New Roman" w:eastAsia="宋体" w:cs="Times New Roman"/>
                <w:color w:val="FF0000"/>
                <w:sz w:val="21"/>
                <w:szCs w:val="21"/>
                <w:lang w:eastAsia="zh-CN"/>
              </w:rPr>
              <w:t>；</w:t>
            </w:r>
            <w:r>
              <w:rPr>
                <w:rFonts w:hint="eastAsia" w:ascii="Times New Roman" w:hAnsi="Times New Roman" w:eastAsia="宋体" w:cs="Times New Roman"/>
                <w:color w:val="FF0000"/>
                <w:sz w:val="21"/>
                <w:szCs w:val="21"/>
                <w:lang w:val="en-US" w:eastAsia="zh-CN"/>
              </w:rPr>
              <w:t>DA002</w:t>
            </w:r>
            <w:r>
              <w:rPr>
                <w:rFonts w:hint="default" w:ascii="Times New Roman" w:hAnsi="Times New Roman" w:eastAsia="宋体" w:cs="Times New Roman"/>
                <w:color w:val="FF0000"/>
                <w:sz w:val="21"/>
                <w:szCs w:val="21"/>
              </w:rPr>
              <w:t>对照《排污许可证申请与核发技术规范 锅炉》（HJ953-2018），由于本项目无规定的基准烟气量，因此无法按技术规范中的式（6）核算，因此也按照上式（1）计算《排污许可证申请与核发技术规范 总则》（HJ942-2018）</w:t>
            </w:r>
            <w:r>
              <w:rPr>
                <w:rFonts w:hint="eastAsia" w:ascii="Times New Roman" w:hAnsi="Times New Roman" w:eastAsia="宋体" w:cs="Times New Roman"/>
                <w:color w:val="FF0000"/>
                <w:sz w:val="21"/>
                <w:szCs w:val="21"/>
                <w:lang w:val="en-US" w:eastAsia="zh-CN"/>
              </w:rPr>
              <w:t>进行核算</w:t>
            </w:r>
            <w:r>
              <w:rPr>
                <w:rFonts w:hint="default" w:ascii="Times New Roman" w:hAnsi="Times New Roman" w:eastAsia="宋体" w:cs="Times New Roman"/>
                <w:color w:val="FF0000"/>
                <w:sz w:val="21"/>
                <w:szCs w:val="21"/>
              </w:rPr>
              <w:t>。</w:t>
            </w:r>
          </w:p>
          <w:p>
            <w:pPr>
              <w:adjustRightInd w:val="0"/>
              <w:snapToGrid w:val="0"/>
              <w:spacing w:line="360" w:lineRule="auto"/>
              <w:jc w:val="center"/>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M</w:t>
            </w:r>
            <w:r>
              <w:rPr>
                <w:rFonts w:hint="default" w:ascii="Times New Roman" w:hAnsi="Times New Roman" w:eastAsia="宋体" w:cs="Times New Roman"/>
                <w:color w:val="FF0000"/>
                <w:sz w:val="21"/>
                <w:szCs w:val="21"/>
                <w:vertAlign w:val="subscript"/>
              </w:rPr>
              <w:t>i</w:t>
            </w:r>
            <w:r>
              <w:rPr>
                <w:rFonts w:hint="default" w:ascii="Times New Roman" w:hAnsi="Times New Roman" w:eastAsia="宋体" w:cs="Times New Roman"/>
                <w:color w:val="FF0000"/>
                <w:sz w:val="21"/>
                <w:szCs w:val="21"/>
              </w:rPr>
              <w:t>=Q×C×T×10</w:t>
            </w:r>
            <w:r>
              <w:rPr>
                <w:rFonts w:hint="default" w:ascii="Times New Roman" w:hAnsi="Times New Roman" w:eastAsia="宋体" w:cs="Times New Roman"/>
                <w:color w:val="FF0000"/>
                <w:sz w:val="21"/>
                <w:szCs w:val="21"/>
                <w:vertAlign w:val="superscript"/>
              </w:rPr>
              <w:t xml:space="preserve">-9                   </w:t>
            </w:r>
            <w:r>
              <w:rPr>
                <w:rFonts w:hint="default" w:ascii="Times New Roman" w:hAnsi="Times New Roman" w:eastAsia="宋体" w:cs="Times New Roman"/>
                <w:color w:val="FF0000"/>
                <w:sz w:val="21"/>
                <w:szCs w:val="21"/>
              </w:rPr>
              <w:t>（1）</w:t>
            </w:r>
          </w:p>
          <w:p>
            <w:pPr>
              <w:adjustRightInd w:val="0"/>
              <w:snapToGrid w:val="0"/>
              <w:spacing w:line="360" w:lineRule="auto"/>
              <w:ind w:firstLine="480"/>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式中：M</w:t>
            </w:r>
            <w:r>
              <w:rPr>
                <w:rFonts w:hint="default" w:ascii="Times New Roman" w:hAnsi="Times New Roman" w:eastAsia="宋体" w:cs="Times New Roman"/>
                <w:color w:val="FF0000"/>
                <w:sz w:val="21"/>
                <w:szCs w:val="21"/>
                <w:vertAlign w:val="subscript"/>
              </w:rPr>
              <w:t>i</w:t>
            </w:r>
            <w:r>
              <w:rPr>
                <w:rFonts w:hint="default" w:ascii="Times New Roman" w:hAnsi="Times New Roman" w:eastAsia="宋体" w:cs="Times New Roman"/>
                <w:color w:val="FF0000"/>
                <w:sz w:val="21"/>
                <w:szCs w:val="21"/>
              </w:rPr>
              <w:t>--第i个主要排放口污染物年许可排放量，t；</w:t>
            </w:r>
          </w:p>
          <w:p>
            <w:pPr>
              <w:numPr>
                <w:ilvl w:val="0"/>
                <w:numId w:val="28"/>
              </w:numPr>
              <w:adjustRightInd w:val="0"/>
              <w:snapToGrid w:val="0"/>
              <w:spacing w:line="360" w:lineRule="auto"/>
              <w:ind w:firstLine="1089" w:firstLineChars="519"/>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-第i个主要排放口风量（标态），m</w:t>
            </w:r>
            <w:r>
              <w:rPr>
                <w:rFonts w:hint="default" w:ascii="Times New Roman" w:hAnsi="Times New Roman" w:eastAsia="宋体" w:cs="Times New Roman"/>
                <w:color w:val="FF0000"/>
                <w:sz w:val="21"/>
                <w:szCs w:val="21"/>
                <w:vertAlign w:val="superscript"/>
              </w:rPr>
              <w:t>3</w:t>
            </w:r>
            <w:r>
              <w:rPr>
                <w:rFonts w:hint="default" w:ascii="Times New Roman" w:hAnsi="Times New Roman" w:eastAsia="宋体" w:cs="Times New Roman"/>
                <w:color w:val="FF0000"/>
                <w:sz w:val="21"/>
                <w:szCs w:val="21"/>
              </w:rPr>
              <w:t>/h；</w:t>
            </w:r>
          </w:p>
          <w:p>
            <w:pPr>
              <w:numPr>
                <w:ilvl w:val="0"/>
                <w:numId w:val="29"/>
              </w:numPr>
              <w:adjustRightInd w:val="0"/>
              <w:snapToGrid w:val="0"/>
              <w:spacing w:line="360" w:lineRule="auto"/>
              <w:ind w:firstLine="1089" w:firstLineChars="519"/>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-污染物许可排放浓度限值（标态），mg/m</w:t>
            </w:r>
            <w:r>
              <w:rPr>
                <w:rFonts w:hint="default" w:ascii="Times New Roman" w:hAnsi="Times New Roman" w:eastAsia="宋体" w:cs="Times New Roman"/>
                <w:color w:val="FF0000"/>
                <w:sz w:val="21"/>
                <w:szCs w:val="21"/>
                <w:vertAlign w:val="superscript"/>
              </w:rPr>
              <w:t>3</w:t>
            </w:r>
            <w:r>
              <w:rPr>
                <w:rFonts w:hint="default" w:ascii="Times New Roman" w:hAnsi="Times New Roman" w:eastAsia="宋体" w:cs="Times New Roman"/>
                <w:color w:val="FF0000"/>
                <w:sz w:val="21"/>
                <w:szCs w:val="21"/>
              </w:rPr>
              <w:t>；</w:t>
            </w:r>
          </w:p>
          <w:p>
            <w:pPr>
              <w:widowControl/>
              <w:spacing w:line="360" w:lineRule="auto"/>
              <w:ind w:firstLine="1108" w:firstLineChars="528"/>
              <w:jc w:val="both"/>
              <w:rPr>
                <w:color w:val="FF0000"/>
                <w:sz w:val="21"/>
                <w:szCs w:val="21"/>
              </w:rPr>
            </w:pPr>
            <w:r>
              <w:rPr>
                <w:rFonts w:hint="default" w:ascii="Times New Roman" w:hAnsi="Times New Roman" w:eastAsia="宋体" w:cs="Times New Roman"/>
                <w:color w:val="FF0000"/>
                <w:sz w:val="21"/>
                <w:szCs w:val="21"/>
              </w:rPr>
              <w:t>T--第i个主要排放口对应装置设计年生产时间，h。</w:t>
            </w:r>
          </w:p>
          <w:p>
            <w:pPr>
              <w:jc w:val="center"/>
              <w:rPr>
                <w:b/>
                <w:color w:val="FF0000"/>
                <w:sz w:val="21"/>
                <w:szCs w:val="21"/>
              </w:rPr>
            </w:pPr>
            <w:r>
              <w:rPr>
                <w:rFonts w:hint="eastAsia"/>
                <w:b/>
                <w:color w:val="FF0000"/>
                <w:sz w:val="21"/>
                <w:szCs w:val="21"/>
              </w:rPr>
              <w:t>表3-1</w:t>
            </w:r>
            <w:r>
              <w:rPr>
                <w:rFonts w:hint="eastAsia"/>
                <w:b/>
                <w:color w:val="FF0000"/>
                <w:sz w:val="21"/>
                <w:szCs w:val="21"/>
                <w:lang w:val="en-US" w:eastAsia="zh-CN"/>
              </w:rPr>
              <w:t>3</w:t>
            </w:r>
            <w:r>
              <w:rPr>
                <w:rFonts w:hint="eastAsia"/>
                <w:b/>
                <w:color w:val="FF0000"/>
                <w:sz w:val="21"/>
                <w:szCs w:val="21"/>
              </w:rPr>
              <w:t xml:space="preserve">  本项目废气污染物总量核算一览表</w:t>
            </w:r>
          </w:p>
          <w:tbl>
            <w:tblPr>
              <w:tblStyle w:val="9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437"/>
              <w:gridCol w:w="1437"/>
              <w:gridCol w:w="1329"/>
              <w:gridCol w:w="1331"/>
              <w:gridCol w:w="16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tcBorders>
                    <w:bottom w:val="single" w:color="auto" w:sz="12" w:space="0"/>
                  </w:tcBorders>
                  <w:vAlign w:val="center"/>
                </w:tcPr>
                <w:p>
                  <w:pPr>
                    <w:pStyle w:val="314"/>
                    <w:snapToGrid/>
                    <w:spacing w:after="0" w:line="240" w:lineRule="auto"/>
                    <w:ind w:firstLine="0" w:firstLineChars="0"/>
                    <w:jc w:val="center"/>
                    <w:rPr>
                      <w:rFonts w:ascii="Times New Roman" w:eastAsia="宋体" w:cs="Times New Roman"/>
                      <w:color w:val="FF0000"/>
                      <w:sz w:val="20"/>
                      <w:szCs w:val="20"/>
                    </w:rPr>
                  </w:pPr>
                  <w:r>
                    <w:rPr>
                      <w:rFonts w:ascii="Times New Roman" w:eastAsia="宋体" w:cs="Times New Roman"/>
                      <w:color w:val="FF0000"/>
                      <w:kern w:val="0"/>
                      <w:sz w:val="20"/>
                      <w:szCs w:val="20"/>
                    </w:rPr>
                    <w:t>污染物类型</w:t>
                  </w:r>
                </w:p>
              </w:tc>
              <w:tc>
                <w:tcPr>
                  <w:tcW w:w="833" w:type="pct"/>
                  <w:tcBorders>
                    <w:bottom w:val="single" w:color="auto" w:sz="12" w:space="0"/>
                  </w:tcBorders>
                  <w:vAlign w:val="center"/>
                </w:tcPr>
                <w:p>
                  <w:pPr>
                    <w:pStyle w:val="314"/>
                    <w:snapToGrid/>
                    <w:spacing w:after="0" w:line="240" w:lineRule="auto"/>
                    <w:ind w:firstLine="0" w:firstLineChars="0"/>
                    <w:jc w:val="center"/>
                    <w:rPr>
                      <w:rFonts w:ascii="Times New Roman" w:eastAsia="宋体" w:cs="Times New Roman"/>
                      <w:color w:val="FF0000"/>
                      <w:sz w:val="20"/>
                      <w:szCs w:val="20"/>
                    </w:rPr>
                  </w:pPr>
                  <w:r>
                    <w:rPr>
                      <w:rFonts w:hint="eastAsia" w:ascii="Times New Roman" w:eastAsia="宋体" w:cs="Times New Roman"/>
                      <w:color w:val="FF0000"/>
                      <w:sz w:val="20"/>
                      <w:szCs w:val="20"/>
                    </w:rPr>
                    <w:t>污染物</w:t>
                  </w:r>
                </w:p>
              </w:tc>
              <w:tc>
                <w:tcPr>
                  <w:tcW w:w="833" w:type="pct"/>
                  <w:tcBorders>
                    <w:bottom w:val="single" w:color="auto" w:sz="12" w:space="0"/>
                  </w:tcBorders>
                  <w:vAlign w:val="center"/>
                </w:tcPr>
                <w:p>
                  <w:pPr>
                    <w:pStyle w:val="314"/>
                    <w:snapToGrid/>
                    <w:spacing w:after="0" w:line="240" w:lineRule="auto"/>
                    <w:ind w:firstLine="0" w:firstLineChars="0"/>
                    <w:jc w:val="center"/>
                    <w:rPr>
                      <w:rFonts w:ascii="Times New Roman" w:eastAsia="宋体" w:cs="Times New Roman"/>
                      <w:color w:val="FF0000"/>
                      <w:sz w:val="20"/>
                      <w:szCs w:val="20"/>
                    </w:rPr>
                  </w:pPr>
                  <w:r>
                    <w:rPr>
                      <w:rFonts w:hint="eastAsia" w:ascii="Times New Roman" w:eastAsia="宋体" w:cs="Times New Roman"/>
                      <w:color w:val="FF0000"/>
                      <w:sz w:val="20"/>
                      <w:szCs w:val="20"/>
                    </w:rPr>
                    <w:t>Q(</w:t>
                  </w:r>
                  <w:r>
                    <w:rPr>
                      <w:rFonts w:ascii="Times New Roman" w:eastAsia="宋体" w:cs="Times New Roman"/>
                      <w:color w:val="FF0000"/>
                      <w:sz w:val="20"/>
                      <w:szCs w:val="20"/>
                    </w:rPr>
                    <w:t>m</w:t>
                  </w:r>
                  <w:r>
                    <w:rPr>
                      <w:rFonts w:ascii="Times New Roman" w:eastAsia="宋体" w:cs="Times New Roman"/>
                      <w:color w:val="FF0000"/>
                      <w:sz w:val="20"/>
                      <w:szCs w:val="20"/>
                      <w:vertAlign w:val="superscript"/>
                    </w:rPr>
                    <w:t>3</w:t>
                  </w:r>
                  <w:r>
                    <w:rPr>
                      <w:rFonts w:ascii="Times New Roman" w:eastAsia="宋体" w:cs="Times New Roman"/>
                      <w:color w:val="FF0000"/>
                      <w:sz w:val="20"/>
                      <w:szCs w:val="20"/>
                    </w:rPr>
                    <w:t>/h</w:t>
                  </w:r>
                  <w:r>
                    <w:rPr>
                      <w:rFonts w:hint="eastAsia" w:ascii="Times New Roman" w:eastAsia="宋体" w:cs="Times New Roman"/>
                      <w:color w:val="FF0000"/>
                      <w:sz w:val="20"/>
                      <w:szCs w:val="20"/>
                    </w:rPr>
                    <w:t>)</w:t>
                  </w:r>
                </w:p>
              </w:tc>
              <w:tc>
                <w:tcPr>
                  <w:tcW w:w="770" w:type="pct"/>
                  <w:tcBorders>
                    <w:bottom w:val="single" w:color="auto" w:sz="12" w:space="0"/>
                  </w:tcBorders>
                  <w:vAlign w:val="center"/>
                </w:tcPr>
                <w:p>
                  <w:pPr>
                    <w:pStyle w:val="314"/>
                    <w:snapToGrid/>
                    <w:spacing w:after="0" w:line="240" w:lineRule="auto"/>
                    <w:ind w:firstLine="0" w:firstLineChars="0"/>
                    <w:jc w:val="center"/>
                    <w:rPr>
                      <w:rFonts w:ascii="Times New Roman" w:eastAsia="宋体" w:cs="Times New Roman"/>
                      <w:color w:val="FF0000"/>
                      <w:sz w:val="20"/>
                      <w:szCs w:val="20"/>
                    </w:rPr>
                  </w:pPr>
                  <w:r>
                    <w:rPr>
                      <w:rFonts w:hint="eastAsia" w:ascii="Times New Roman" w:eastAsia="宋体" w:cs="Times New Roman"/>
                      <w:color w:val="FF0000"/>
                      <w:sz w:val="20"/>
                      <w:szCs w:val="20"/>
                    </w:rPr>
                    <w:t>C(</w:t>
                  </w:r>
                  <w:r>
                    <w:rPr>
                      <w:rFonts w:ascii="Times New Roman" w:eastAsia="宋体" w:cs="Times New Roman"/>
                      <w:color w:val="FF0000"/>
                      <w:sz w:val="20"/>
                      <w:szCs w:val="20"/>
                    </w:rPr>
                    <w:t>mg/m</w:t>
                  </w:r>
                  <w:r>
                    <w:rPr>
                      <w:rFonts w:ascii="Times New Roman" w:eastAsia="宋体" w:cs="Times New Roman"/>
                      <w:color w:val="FF0000"/>
                      <w:sz w:val="20"/>
                      <w:szCs w:val="20"/>
                      <w:vertAlign w:val="superscript"/>
                    </w:rPr>
                    <w:t>3</w:t>
                  </w:r>
                  <w:r>
                    <w:rPr>
                      <w:rFonts w:hint="eastAsia" w:ascii="Times New Roman" w:eastAsia="宋体" w:cs="Times New Roman"/>
                      <w:color w:val="FF0000"/>
                      <w:sz w:val="20"/>
                      <w:szCs w:val="20"/>
                      <w:vertAlign w:val="superscript"/>
                    </w:rPr>
                    <w:t>)</w:t>
                  </w:r>
                </w:p>
              </w:tc>
              <w:tc>
                <w:tcPr>
                  <w:tcW w:w="772" w:type="pct"/>
                  <w:tcBorders>
                    <w:bottom w:val="single" w:color="auto" w:sz="12" w:space="0"/>
                  </w:tcBorders>
                  <w:vAlign w:val="center"/>
                </w:tcPr>
                <w:p>
                  <w:pPr>
                    <w:pStyle w:val="314"/>
                    <w:snapToGrid/>
                    <w:spacing w:after="0" w:line="240" w:lineRule="auto"/>
                    <w:ind w:firstLine="0" w:firstLineChars="0"/>
                    <w:jc w:val="center"/>
                    <w:rPr>
                      <w:rFonts w:ascii="Times New Roman" w:eastAsia="宋体" w:cs="Times New Roman"/>
                      <w:color w:val="FF0000"/>
                      <w:sz w:val="20"/>
                      <w:szCs w:val="20"/>
                    </w:rPr>
                  </w:pPr>
                  <w:r>
                    <w:rPr>
                      <w:rFonts w:hint="eastAsia" w:ascii="Times New Roman" w:eastAsia="宋体" w:cs="Times New Roman"/>
                      <w:color w:val="FF0000"/>
                      <w:sz w:val="20"/>
                      <w:szCs w:val="20"/>
                    </w:rPr>
                    <w:t>T(h)</w:t>
                  </w:r>
                </w:p>
              </w:tc>
              <w:tc>
                <w:tcPr>
                  <w:tcW w:w="957" w:type="pct"/>
                  <w:tcBorders>
                    <w:bottom w:val="single" w:color="auto" w:sz="12" w:space="0"/>
                  </w:tcBorders>
                  <w:vAlign w:val="center"/>
                </w:tcPr>
                <w:p>
                  <w:pPr>
                    <w:pStyle w:val="314"/>
                    <w:snapToGrid/>
                    <w:spacing w:after="0" w:line="240" w:lineRule="auto"/>
                    <w:ind w:firstLine="0" w:firstLineChars="0"/>
                    <w:jc w:val="center"/>
                    <w:rPr>
                      <w:rFonts w:ascii="Times New Roman" w:eastAsia="宋体" w:cs="Times New Roman"/>
                      <w:color w:val="FF0000"/>
                      <w:sz w:val="20"/>
                      <w:szCs w:val="20"/>
                    </w:rPr>
                  </w:pPr>
                  <w:r>
                    <w:rPr>
                      <w:rFonts w:hint="eastAsia" w:ascii="Times New Roman" w:eastAsia="宋体" w:cs="Times New Roman"/>
                      <w:color w:val="FF0000"/>
                      <w:sz w:val="20"/>
                      <w:szCs w:val="20"/>
                    </w:rPr>
                    <w:t>M(</w:t>
                  </w:r>
                  <w:r>
                    <w:rPr>
                      <w:rFonts w:ascii="Times New Roman" w:eastAsia="宋体" w:cs="Times New Roman"/>
                      <w:color w:val="FF0000"/>
                      <w:sz w:val="20"/>
                      <w:szCs w:val="20"/>
                    </w:rPr>
                    <w:t>t</w:t>
                  </w:r>
                  <w:r>
                    <w:rPr>
                      <w:rFonts w:hint="eastAsia" w:ascii="Times New Roman" w:eastAsia="宋体" w:cs="Times New Roman"/>
                      <w:color w:val="FF0000"/>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op w:val="single" w:color="auto" w:sz="12" w:space="0"/>
                    <w:tl2br w:val="nil"/>
                    <w:tr2bl w:val="nil"/>
                  </w:tcBorders>
                  <w:vAlign w:val="center"/>
                </w:tcPr>
                <w:p>
                  <w:pPr>
                    <w:pStyle w:val="314"/>
                    <w:snapToGrid/>
                    <w:spacing w:after="0" w:line="240" w:lineRule="auto"/>
                    <w:ind w:firstLine="0" w:firstLineChars="0"/>
                    <w:jc w:val="center"/>
                    <w:rPr>
                      <w:rFonts w:ascii="Times New Roman" w:eastAsia="宋体" w:cs="Times New Roman"/>
                      <w:b w:val="0"/>
                      <w:color w:val="FF0000"/>
                      <w:sz w:val="20"/>
                      <w:szCs w:val="20"/>
                    </w:rPr>
                  </w:pPr>
                  <w:r>
                    <w:rPr>
                      <w:rFonts w:hint="eastAsia" w:ascii="Times New Roman" w:eastAsia="宋体" w:cs="Times New Roman"/>
                      <w:b w:val="0"/>
                      <w:color w:val="FF0000"/>
                      <w:sz w:val="20"/>
                      <w:szCs w:val="20"/>
                    </w:rPr>
                    <w:t>DA001</w:t>
                  </w:r>
                </w:p>
              </w:tc>
              <w:tc>
                <w:tcPr>
                  <w:tcW w:w="833" w:type="pct"/>
                  <w:tcBorders>
                    <w:top w:val="single" w:color="auto" w:sz="12" w:space="0"/>
                    <w:tl2br w:val="nil"/>
                    <w:tr2bl w:val="nil"/>
                  </w:tcBorders>
                  <w:vAlign w:val="center"/>
                </w:tcPr>
                <w:p>
                  <w:pPr>
                    <w:autoSpaceDE w:val="0"/>
                    <w:autoSpaceDN w:val="0"/>
                    <w:adjustRightInd w:val="0"/>
                    <w:jc w:val="center"/>
                    <w:rPr>
                      <w:rFonts w:hint="eastAsia" w:eastAsia="宋体"/>
                      <w:color w:val="FF0000"/>
                      <w:sz w:val="20"/>
                      <w:szCs w:val="20"/>
                      <w:lang w:val="en-US" w:eastAsia="zh-CN"/>
                    </w:rPr>
                  </w:pPr>
                  <w:r>
                    <w:rPr>
                      <w:rFonts w:hint="eastAsia"/>
                      <w:color w:val="FF0000"/>
                      <w:sz w:val="20"/>
                      <w:szCs w:val="20"/>
                      <w:lang w:val="en-US" w:eastAsia="zh-CN"/>
                    </w:rPr>
                    <w:t>颗粒物</w:t>
                  </w:r>
                </w:p>
              </w:tc>
              <w:tc>
                <w:tcPr>
                  <w:tcW w:w="833" w:type="pct"/>
                  <w:tcBorders>
                    <w:top w:val="single" w:color="auto" w:sz="12" w:space="0"/>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24000</w:t>
                  </w:r>
                </w:p>
              </w:tc>
              <w:tc>
                <w:tcPr>
                  <w:tcW w:w="770" w:type="pct"/>
                  <w:tcBorders>
                    <w:top w:val="single" w:color="auto" w:sz="12" w:space="0"/>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20</w:t>
                  </w:r>
                </w:p>
              </w:tc>
              <w:tc>
                <w:tcPr>
                  <w:tcW w:w="772" w:type="pct"/>
                  <w:tcBorders>
                    <w:top w:val="single" w:color="auto" w:sz="12" w:space="0"/>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7200</w:t>
                  </w:r>
                </w:p>
              </w:tc>
              <w:tc>
                <w:tcPr>
                  <w:tcW w:w="957" w:type="pct"/>
                  <w:tcBorders>
                    <w:top w:val="single" w:color="auto" w:sz="12" w:space="0"/>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3.456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314"/>
                    <w:snapToGrid/>
                    <w:spacing w:after="0" w:line="240" w:lineRule="auto"/>
                    <w:ind w:firstLine="0" w:firstLineChars="0"/>
                    <w:jc w:val="center"/>
                    <w:rPr>
                      <w:rFonts w:ascii="Times New Roman" w:eastAsia="宋体" w:cs="Times New Roman"/>
                      <w:b w:val="0"/>
                      <w:color w:val="FF0000"/>
                      <w:sz w:val="20"/>
                      <w:szCs w:val="20"/>
                    </w:rPr>
                  </w:pPr>
                </w:p>
              </w:tc>
              <w:tc>
                <w:tcPr>
                  <w:tcW w:w="833" w:type="pct"/>
                  <w:tcBorders>
                    <w:tl2br w:val="nil"/>
                    <w:tr2bl w:val="nil"/>
                  </w:tcBorders>
                  <w:vAlign w:val="center"/>
                </w:tcPr>
                <w:p>
                  <w:pPr>
                    <w:autoSpaceDE w:val="0"/>
                    <w:autoSpaceDN w:val="0"/>
                    <w:adjustRightInd w:val="0"/>
                    <w:jc w:val="center"/>
                    <w:rPr>
                      <w:color w:val="FF0000"/>
                      <w:kern w:val="0"/>
                      <w:sz w:val="20"/>
                      <w:szCs w:val="20"/>
                    </w:rPr>
                  </w:pPr>
                  <w:r>
                    <w:rPr>
                      <w:rFonts w:hint="eastAsia"/>
                      <w:color w:val="FF0000"/>
                      <w:sz w:val="20"/>
                      <w:szCs w:val="20"/>
                    </w:rPr>
                    <w:t>非甲烷总烃</w:t>
                  </w:r>
                </w:p>
              </w:tc>
              <w:tc>
                <w:tcPr>
                  <w:tcW w:w="833"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24000</w:t>
                  </w:r>
                </w:p>
              </w:tc>
              <w:tc>
                <w:tcPr>
                  <w:tcW w:w="770"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60</w:t>
                  </w:r>
                </w:p>
              </w:tc>
              <w:tc>
                <w:tcPr>
                  <w:tcW w:w="772"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10.368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lang w:eastAsia="zh-CN"/>
                    </w:rPr>
                  </w:pPr>
                  <w:r>
                    <w:rPr>
                      <w:rFonts w:hint="eastAsia" w:ascii="Times New Roman" w:eastAsia="宋体" w:cs="Times New Roman"/>
                      <w:b w:val="0"/>
                      <w:color w:val="FF0000"/>
                      <w:sz w:val="20"/>
                      <w:szCs w:val="20"/>
                    </w:rPr>
                    <w:t>DA00</w:t>
                  </w:r>
                  <w:r>
                    <w:rPr>
                      <w:rFonts w:hint="eastAsia" w:ascii="Times New Roman" w:eastAsia="宋体" w:cs="Times New Roman"/>
                      <w:b w:val="0"/>
                      <w:color w:val="FF0000"/>
                      <w:sz w:val="20"/>
                      <w:szCs w:val="20"/>
                      <w:lang w:val="en-US" w:eastAsia="zh-CN"/>
                    </w:rPr>
                    <w:t>2</w:t>
                  </w:r>
                </w:p>
              </w:tc>
              <w:tc>
                <w:tcPr>
                  <w:tcW w:w="833" w:type="pct"/>
                  <w:tcBorders>
                    <w:tl2br w:val="nil"/>
                    <w:tr2bl w:val="nil"/>
                  </w:tcBorders>
                  <w:vAlign w:val="center"/>
                </w:tcPr>
                <w:p>
                  <w:pPr>
                    <w:autoSpaceDE w:val="0"/>
                    <w:autoSpaceDN w:val="0"/>
                    <w:adjustRightInd w:val="0"/>
                    <w:jc w:val="center"/>
                    <w:rPr>
                      <w:color w:val="FF0000"/>
                      <w:kern w:val="0"/>
                      <w:sz w:val="20"/>
                      <w:szCs w:val="20"/>
                    </w:rPr>
                  </w:pPr>
                  <w:r>
                    <w:rPr>
                      <w:rFonts w:hint="eastAsia"/>
                      <w:color w:val="FF0000"/>
                      <w:kern w:val="0"/>
                      <w:sz w:val="20"/>
                      <w:szCs w:val="20"/>
                    </w:rPr>
                    <w:t>颗粒物</w:t>
                  </w:r>
                </w:p>
              </w:tc>
              <w:tc>
                <w:tcPr>
                  <w:tcW w:w="833" w:type="pct"/>
                  <w:vMerge w:val="restar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7000</w:t>
                  </w:r>
                </w:p>
              </w:tc>
              <w:tc>
                <w:tcPr>
                  <w:tcW w:w="770" w:type="pct"/>
                  <w:tcBorders>
                    <w:tl2br w:val="nil"/>
                    <w:tr2bl w:val="nil"/>
                  </w:tcBorders>
                  <w:vAlign w:val="center"/>
                </w:tcPr>
                <w:p>
                  <w:pPr>
                    <w:pStyle w:val="4078"/>
                    <w:ind w:firstLine="0"/>
                    <w:jc w:val="center"/>
                    <w:rPr>
                      <w:rFonts w:hint="default" w:eastAsia="宋体"/>
                      <w:color w:val="FF0000"/>
                      <w:sz w:val="20"/>
                      <w:szCs w:val="20"/>
                      <w:lang w:val="en-US" w:eastAsia="zh-CN"/>
                    </w:rPr>
                  </w:pPr>
                  <w:r>
                    <w:rPr>
                      <w:rFonts w:hint="eastAsia"/>
                      <w:color w:val="FF0000"/>
                      <w:sz w:val="20"/>
                      <w:szCs w:val="20"/>
                      <w:lang w:val="en-US" w:eastAsia="zh-CN"/>
                    </w:rPr>
                    <w:t>10</w:t>
                  </w:r>
                </w:p>
              </w:tc>
              <w:tc>
                <w:tcPr>
                  <w:tcW w:w="772"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vAlign w:val="center"/>
                </w:tcPr>
                <w:p>
                  <w:pPr>
                    <w:keepNext w:val="0"/>
                    <w:keepLines w:val="0"/>
                    <w:widowControl/>
                    <w:suppressLineNumbers w:val="0"/>
                    <w:jc w:val="center"/>
                    <w:textAlignment w:val="center"/>
                    <w:rPr>
                      <w:rFonts w:hint="default" w:ascii="Times New Roman" w:eastAsia="宋体" w:cs="Times New Roman"/>
                      <w:b w:val="0"/>
                      <w:color w:val="FF0000"/>
                      <w:sz w:val="20"/>
                      <w:szCs w:val="20"/>
                      <w:lang w:val="en-US" w:eastAsia="zh-CN"/>
                    </w:rPr>
                  </w:pPr>
                  <w:r>
                    <w:rPr>
                      <w:rFonts w:hint="eastAsia" w:cs="Times New Roman"/>
                      <w:b w:val="0"/>
                      <w:color w:val="FF0000"/>
                      <w:sz w:val="20"/>
                      <w:szCs w:val="20"/>
                      <w:lang w:val="en-US" w:eastAsia="zh-CN"/>
                    </w:rPr>
                    <w:t>0.504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833" w:type="pct"/>
                  <w:tcBorders>
                    <w:tl2br w:val="nil"/>
                    <w:tr2bl w:val="nil"/>
                  </w:tcBorders>
                  <w:vAlign w:val="center"/>
                </w:tcPr>
                <w:p>
                  <w:pPr>
                    <w:pStyle w:val="4081"/>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rPr>
                    <w:t>SO</w:t>
                  </w:r>
                  <w:r>
                    <w:rPr>
                      <w:rFonts w:hint="eastAsia"/>
                      <w:color w:val="FF0000"/>
                      <w:sz w:val="20"/>
                      <w:szCs w:val="20"/>
                      <w:vertAlign w:val="subscript"/>
                    </w:rPr>
                    <w:t>2</w:t>
                  </w:r>
                </w:p>
              </w:tc>
              <w:tc>
                <w:tcPr>
                  <w:tcW w:w="833"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770" w:type="pct"/>
                  <w:tcBorders>
                    <w:tl2br w:val="nil"/>
                    <w:tr2bl w:val="nil"/>
                  </w:tcBorders>
                  <w:vAlign w:val="center"/>
                </w:tcPr>
                <w:p>
                  <w:pPr>
                    <w:pStyle w:val="4078"/>
                    <w:ind w:firstLine="0"/>
                    <w:jc w:val="center"/>
                    <w:rPr>
                      <w:rFonts w:hint="default" w:eastAsia="宋体"/>
                      <w:color w:val="FF0000"/>
                      <w:sz w:val="20"/>
                      <w:szCs w:val="20"/>
                      <w:lang w:val="en-US" w:eastAsia="zh-CN"/>
                    </w:rPr>
                  </w:pPr>
                  <w:r>
                    <w:rPr>
                      <w:rFonts w:hint="eastAsia"/>
                      <w:color w:val="FF0000"/>
                      <w:sz w:val="20"/>
                      <w:szCs w:val="20"/>
                      <w:lang w:val="en-US" w:eastAsia="zh-CN"/>
                    </w:rPr>
                    <w:t>35</w:t>
                  </w:r>
                </w:p>
              </w:tc>
              <w:tc>
                <w:tcPr>
                  <w:tcW w:w="772"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vAlign w:val="center"/>
                </w:tcPr>
                <w:p>
                  <w:pPr>
                    <w:keepNext w:val="0"/>
                    <w:keepLines w:val="0"/>
                    <w:widowControl/>
                    <w:suppressLineNumbers w:val="0"/>
                    <w:jc w:val="center"/>
                    <w:textAlignment w:val="center"/>
                    <w:rPr>
                      <w:rFonts w:hint="default" w:ascii="Times New Roman" w:eastAsia="宋体" w:cs="Times New Roman"/>
                      <w:b w:val="0"/>
                      <w:color w:val="FF0000"/>
                      <w:sz w:val="20"/>
                      <w:szCs w:val="20"/>
                      <w:lang w:val="en-US" w:eastAsia="zh-CN"/>
                    </w:rPr>
                  </w:pPr>
                  <w:r>
                    <w:rPr>
                      <w:rFonts w:hint="eastAsia" w:cs="Times New Roman"/>
                      <w:b w:val="0"/>
                      <w:color w:val="FF0000"/>
                      <w:sz w:val="20"/>
                      <w:szCs w:val="20"/>
                      <w:lang w:val="en-US" w:eastAsia="zh-CN"/>
                    </w:rPr>
                    <w:t>1.764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833" w:type="pct"/>
                  <w:tcBorders>
                    <w:tl2br w:val="nil"/>
                    <w:tr2bl w:val="nil"/>
                  </w:tcBorders>
                  <w:vAlign w:val="center"/>
                </w:tcPr>
                <w:p>
                  <w:pPr>
                    <w:pStyle w:val="4081"/>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rPr>
                    <w:t>NOx</w:t>
                  </w:r>
                </w:p>
              </w:tc>
              <w:tc>
                <w:tcPr>
                  <w:tcW w:w="833"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770" w:type="pct"/>
                  <w:tcBorders>
                    <w:tl2br w:val="nil"/>
                    <w:tr2bl w:val="nil"/>
                  </w:tcBorders>
                  <w:vAlign w:val="center"/>
                </w:tcPr>
                <w:p>
                  <w:pPr>
                    <w:pStyle w:val="4078"/>
                    <w:ind w:firstLine="0"/>
                    <w:jc w:val="center"/>
                    <w:rPr>
                      <w:rFonts w:hint="default" w:eastAsia="宋体"/>
                      <w:color w:val="FF0000"/>
                      <w:sz w:val="20"/>
                      <w:szCs w:val="20"/>
                      <w:lang w:val="en-US" w:eastAsia="zh-CN"/>
                    </w:rPr>
                  </w:pPr>
                  <w:r>
                    <w:rPr>
                      <w:rFonts w:hint="eastAsia"/>
                      <w:color w:val="FF0000"/>
                      <w:sz w:val="20"/>
                      <w:szCs w:val="20"/>
                      <w:lang w:val="en-US" w:eastAsia="zh-CN"/>
                    </w:rPr>
                    <w:t>50</w:t>
                  </w:r>
                </w:p>
              </w:tc>
              <w:tc>
                <w:tcPr>
                  <w:tcW w:w="772"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vAlign w:val="center"/>
                </w:tcPr>
                <w:p>
                  <w:pPr>
                    <w:keepNext w:val="0"/>
                    <w:keepLines w:val="0"/>
                    <w:widowControl/>
                    <w:suppressLineNumbers w:val="0"/>
                    <w:jc w:val="center"/>
                    <w:textAlignment w:val="center"/>
                    <w:rPr>
                      <w:rFonts w:hint="default" w:ascii="Times New Roman" w:eastAsia="宋体" w:cs="Times New Roman"/>
                      <w:b w:val="0"/>
                      <w:color w:val="FF0000"/>
                      <w:sz w:val="20"/>
                      <w:szCs w:val="20"/>
                      <w:lang w:val="en-US" w:eastAsia="zh-CN"/>
                    </w:rPr>
                  </w:pPr>
                  <w:r>
                    <w:rPr>
                      <w:rFonts w:hint="eastAsia" w:cs="Times New Roman"/>
                      <w:b w:val="0"/>
                      <w:color w:val="FF0000"/>
                      <w:sz w:val="20"/>
                      <w:szCs w:val="20"/>
                      <w:lang w:val="en-US" w:eastAsia="zh-CN"/>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833" w:type="pct"/>
                  <w:tcBorders>
                    <w:tl2br w:val="nil"/>
                    <w:tr2bl w:val="nil"/>
                  </w:tcBorders>
                  <w:vAlign w:val="center"/>
                </w:tcPr>
                <w:p>
                  <w:pPr>
                    <w:pStyle w:val="4081"/>
                    <w:rPr>
                      <w:rFonts w:hint="eastAsia" w:eastAsia="宋体"/>
                      <w:color w:val="FF0000"/>
                      <w:sz w:val="20"/>
                      <w:szCs w:val="20"/>
                      <w:lang w:val="en-US" w:eastAsia="zh-CN"/>
                    </w:rPr>
                  </w:pPr>
                  <w:r>
                    <w:rPr>
                      <w:rFonts w:hint="eastAsia"/>
                      <w:color w:val="FF0000"/>
                      <w:sz w:val="20"/>
                      <w:szCs w:val="20"/>
                      <w:lang w:val="en-US" w:eastAsia="zh-CN"/>
                    </w:rPr>
                    <w:t>汞</w:t>
                  </w:r>
                </w:p>
              </w:tc>
              <w:tc>
                <w:tcPr>
                  <w:tcW w:w="833"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770" w:type="pct"/>
                  <w:tcBorders>
                    <w:tl2br w:val="nil"/>
                    <w:tr2bl w:val="nil"/>
                  </w:tcBorders>
                  <w:vAlign w:val="center"/>
                </w:tcPr>
                <w:p>
                  <w:pPr>
                    <w:pStyle w:val="4078"/>
                    <w:ind w:firstLine="0"/>
                    <w:jc w:val="center"/>
                    <w:rPr>
                      <w:rFonts w:hint="default"/>
                      <w:color w:val="FF0000"/>
                      <w:sz w:val="20"/>
                      <w:szCs w:val="20"/>
                      <w:lang w:val="en-US" w:eastAsia="zh-CN"/>
                    </w:rPr>
                  </w:pPr>
                  <w:r>
                    <w:rPr>
                      <w:rFonts w:hint="eastAsia"/>
                      <w:color w:val="FF0000"/>
                      <w:sz w:val="20"/>
                      <w:szCs w:val="20"/>
                      <w:lang w:val="en-US" w:eastAsia="zh-CN"/>
                    </w:rPr>
                    <w:t>0.03</w:t>
                  </w:r>
                </w:p>
              </w:tc>
              <w:tc>
                <w:tcPr>
                  <w:tcW w:w="772" w:type="pc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FF0000"/>
                      <w:kern w:val="0"/>
                      <w:sz w:val="20"/>
                      <w:szCs w:val="20"/>
                      <w:u w:val="none"/>
                      <w:lang w:val="en-US" w:eastAsia="zh-CN" w:bidi="ar"/>
                    </w:rPr>
                  </w:pPr>
                  <w:r>
                    <w:rPr>
                      <w:rFonts w:hint="eastAsia" w:cs="Times New Roman"/>
                      <w:i w:val="0"/>
                      <w:iCs w:val="0"/>
                      <w:color w:val="FF0000"/>
                      <w:kern w:val="0"/>
                      <w:sz w:val="20"/>
                      <w:szCs w:val="20"/>
                      <w:u w:val="none"/>
                      <w:lang w:val="en-US" w:eastAsia="zh-CN" w:bidi="ar"/>
                    </w:rPr>
                    <w:t>0.0015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restart"/>
                  <w:tcBorders>
                    <w:tl2br w:val="nil"/>
                    <w:tr2bl w:val="nil"/>
                  </w:tcBorders>
                  <w:vAlign w:val="center"/>
                </w:tcPr>
                <w:p>
                  <w:pPr>
                    <w:pStyle w:val="314"/>
                    <w:snapToGrid/>
                    <w:spacing w:after="0" w:line="240" w:lineRule="auto"/>
                    <w:ind w:firstLine="0" w:firstLineChars="0"/>
                    <w:jc w:val="center"/>
                    <w:rPr>
                      <w:rFonts w:hint="default" w:ascii="Times New Roman" w:eastAsia="宋体" w:cs="Times New Roman"/>
                      <w:b w:val="0"/>
                      <w:color w:val="FF0000"/>
                      <w:sz w:val="20"/>
                      <w:szCs w:val="20"/>
                      <w:lang w:val="en-US" w:eastAsia="zh-CN"/>
                    </w:rPr>
                  </w:pPr>
                  <w:r>
                    <w:rPr>
                      <w:rFonts w:hint="eastAsia" w:ascii="Times New Roman" w:eastAsia="宋体" w:cs="Times New Roman"/>
                      <w:b w:val="0"/>
                      <w:color w:val="FF0000"/>
                      <w:sz w:val="20"/>
                      <w:szCs w:val="20"/>
                      <w:lang w:val="en-US" w:eastAsia="zh-CN"/>
                    </w:rPr>
                    <w:t>DA003</w:t>
                  </w:r>
                </w:p>
              </w:tc>
              <w:tc>
                <w:tcPr>
                  <w:tcW w:w="833" w:type="pct"/>
                  <w:tcBorders>
                    <w:tl2br w:val="nil"/>
                    <w:tr2bl w:val="nil"/>
                  </w:tcBorders>
                  <w:shd w:val="clear" w:color="auto" w:fill="auto"/>
                  <w:vAlign w:val="center"/>
                </w:tcPr>
                <w:p>
                  <w:pPr>
                    <w:autoSpaceDE w:val="0"/>
                    <w:autoSpaceDN w:val="0"/>
                    <w:adjustRightInd w:val="0"/>
                    <w:jc w:val="center"/>
                    <w:rPr>
                      <w:rFonts w:hint="eastAsia" w:ascii="Times New Roman" w:hAnsi="Times New Roman" w:eastAsia="宋体" w:cs="Times New Roman"/>
                      <w:color w:val="FF0000"/>
                      <w:kern w:val="0"/>
                      <w:sz w:val="20"/>
                      <w:szCs w:val="20"/>
                      <w:lang w:val="en-US" w:eastAsia="zh-CN" w:bidi="ar-SA"/>
                    </w:rPr>
                  </w:pPr>
                  <w:r>
                    <w:rPr>
                      <w:rFonts w:hint="eastAsia"/>
                      <w:color w:val="FF0000"/>
                      <w:kern w:val="0"/>
                      <w:sz w:val="20"/>
                      <w:szCs w:val="20"/>
                    </w:rPr>
                    <w:t>颗粒物</w:t>
                  </w:r>
                </w:p>
              </w:tc>
              <w:tc>
                <w:tcPr>
                  <w:tcW w:w="833" w:type="pct"/>
                  <w:vMerge w:val="restart"/>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r>
                    <w:rPr>
                      <w:rFonts w:hint="eastAsia" w:ascii="Times New Roman" w:eastAsia="宋体" w:cs="Times New Roman"/>
                      <w:b w:val="0"/>
                      <w:color w:val="FF0000"/>
                      <w:sz w:val="20"/>
                      <w:szCs w:val="20"/>
                      <w:lang w:val="en-US" w:eastAsia="zh-CN"/>
                    </w:rPr>
                    <w:t>7000</w:t>
                  </w:r>
                </w:p>
              </w:tc>
              <w:tc>
                <w:tcPr>
                  <w:tcW w:w="770" w:type="pct"/>
                  <w:tcBorders>
                    <w:tl2br w:val="nil"/>
                    <w:tr2bl w:val="nil"/>
                  </w:tcBorders>
                  <w:shd w:val="clear" w:color="auto" w:fill="auto"/>
                  <w:vAlign w:val="center"/>
                </w:tcPr>
                <w:p>
                  <w:pPr>
                    <w:pStyle w:val="4078"/>
                    <w:ind w:firstLine="0" w:firstLineChars="0"/>
                    <w:jc w:val="center"/>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lang w:val="en-US" w:eastAsia="zh-CN"/>
                    </w:rPr>
                    <w:t>10</w:t>
                  </w:r>
                </w:p>
              </w:tc>
              <w:tc>
                <w:tcPr>
                  <w:tcW w:w="772" w:type="pct"/>
                  <w:tcBorders>
                    <w:tl2br w:val="nil"/>
                    <w:tr2bl w:val="nil"/>
                  </w:tcBorders>
                  <w:shd w:val="clear" w:color="auto" w:fill="auto"/>
                  <w:vAlign w:val="center"/>
                </w:tcPr>
                <w:p>
                  <w:pPr>
                    <w:pStyle w:val="314"/>
                    <w:snapToGrid/>
                    <w:spacing w:after="0" w:line="240" w:lineRule="auto"/>
                    <w:ind w:firstLine="0" w:firstLineChars="0"/>
                    <w:jc w:val="center"/>
                    <w:rPr>
                      <w:rFonts w:hint="eastAsia" w:ascii="Times New Roman" w:hAnsi="Times New Roman" w:eastAsia="宋体" w:cs="Times New Roman"/>
                      <w:b w:val="0"/>
                      <w:color w:val="FF0000"/>
                      <w:kern w:val="2"/>
                      <w:sz w:val="20"/>
                      <w:szCs w:val="20"/>
                      <w:lang w:val="en-US" w:eastAsia="zh-CN" w:bidi="ar-SA"/>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color w:val="FF0000"/>
                      <w:kern w:val="2"/>
                      <w:sz w:val="20"/>
                      <w:szCs w:val="20"/>
                      <w:lang w:val="en-US" w:eastAsia="zh-CN" w:bidi="ar-SA"/>
                    </w:rPr>
                  </w:pPr>
                  <w:r>
                    <w:rPr>
                      <w:rFonts w:hint="eastAsia" w:cs="Times New Roman"/>
                      <w:b w:val="0"/>
                      <w:color w:val="FF0000"/>
                      <w:sz w:val="20"/>
                      <w:szCs w:val="20"/>
                      <w:lang w:val="en-US" w:eastAsia="zh-CN"/>
                    </w:rPr>
                    <w:t>0.504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833" w:type="pct"/>
                  <w:tcBorders>
                    <w:tl2br w:val="nil"/>
                    <w:tr2bl w:val="nil"/>
                  </w:tcBorders>
                  <w:shd w:val="clear" w:color="auto" w:fill="auto"/>
                  <w:vAlign w:val="center"/>
                </w:tcPr>
                <w:p>
                  <w:pPr>
                    <w:pStyle w:val="4081"/>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rPr>
                    <w:t>SO</w:t>
                  </w:r>
                  <w:r>
                    <w:rPr>
                      <w:rFonts w:hint="eastAsia"/>
                      <w:color w:val="FF0000"/>
                      <w:sz w:val="20"/>
                      <w:szCs w:val="20"/>
                      <w:vertAlign w:val="subscript"/>
                    </w:rPr>
                    <w:t>2</w:t>
                  </w:r>
                </w:p>
              </w:tc>
              <w:tc>
                <w:tcPr>
                  <w:tcW w:w="833"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770" w:type="pct"/>
                  <w:tcBorders>
                    <w:tl2br w:val="nil"/>
                    <w:tr2bl w:val="nil"/>
                  </w:tcBorders>
                  <w:shd w:val="clear" w:color="auto" w:fill="auto"/>
                  <w:vAlign w:val="center"/>
                </w:tcPr>
                <w:p>
                  <w:pPr>
                    <w:pStyle w:val="4078"/>
                    <w:ind w:firstLine="0" w:firstLineChars="0"/>
                    <w:jc w:val="center"/>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lang w:val="en-US" w:eastAsia="zh-CN"/>
                    </w:rPr>
                    <w:t>35</w:t>
                  </w:r>
                </w:p>
              </w:tc>
              <w:tc>
                <w:tcPr>
                  <w:tcW w:w="772" w:type="pct"/>
                  <w:tcBorders>
                    <w:tl2br w:val="nil"/>
                    <w:tr2bl w:val="nil"/>
                  </w:tcBorders>
                  <w:shd w:val="clear" w:color="auto" w:fill="auto"/>
                  <w:vAlign w:val="center"/>
                </w:tcPr>
                <w:p>
                  <w:pPr>
                    <w:pStyle w:val="314"/>
                    <w:snapToGrid/>
                    <w:spacing w:after="0" w:line="240" w:lineRule="auto"/>
                    <w:ind w:firstLine="0" w:firstLineChars="0"/>
                    <w:jc w:val="center"/>
                    <w:rPr>
                      <w:rFonts w:hint="eastAsia" w:ascii="Times New Roman" w:hAnsi="Times New Roman" w:eastAsia="宋体" w:cs="Times New Roman"/>
                      <w:b w:val="0"/>
                      <w:color w:val="FF0000"/>
                      <w:kern w:val="2"/>
                      <w:sz w:val="20"/>
                      <w:szCs w:val="20"/>
                      <w:lang w:val="en-US" w:eastAsia="zh-CN" w:bidi="ar-SA"/>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color w:val="FF0000"/>
                      <w:kern w:val="2"/>
                      <w:sz w:val="20"/>
                      <w:szCs w:val="20"/>
                      <w:lang w:val="en-US" w:eastAsia="zh-CN" w:bidi="ar-SA"/>
                    </w:rPr>
                  </w:pPr>
                  <w:r>
                    <w:rPr>
                      <w:rFonts w:hint="eastAsia" w:cs="Times New Roman"/>
                      <w:b w:val="0"/>
                      <w:color w:val="FF0000"/>
                      <w:sz w:val="20"/>
                      <w:szCs w:val="20"/>
                      <w:lang w:val="en-US" w:eastAsia="zh-CN"/>
                    </w:rPr>
                    <w:t>1.764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833" w:type="pct"/>
                  <w:tcBorders>
                    <w:tl2br w:val="nil"/>
                    <w:tr2bl w:val="nil"/>
                  </w:tcBorders>
                  <w:shd w:val="clear" w:color="auto" w:fill="auto"/>
                  <w:vAlign w:val="center"/>
                </w:tcPr>
                <w:p>
                  <w:pPr>
                    <w:pStyle w:val="4081"/>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rPr>
                    <w:t>NOx</w:t>
                  </w:r>
                </w:p>
              </w:tc>
              <w:tc>
                <w:tcPr>
                  <w:tcW w:w="833"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770" w:type="pct"/>
                  <w:tcBorders>
                    <w:tl2br w:val="nil"/>
                    <w:tr2bl w:val="nil"/>
                  </w:tcBorders>
                  <w:shd w:val="clear" w:color="auto" w:fill="auto"/>
                  <w:vAlign w:val="center"/>
                </w:tcPr>
                <w:p>
                  <w:pPr>
                    <w:pStyle w:val="4078"/>
                    <w:ind w:firstLine="0" w:firstLineChars="0"/>
                    <w:jc w:val="center"/>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lang w:val="en-US" w:eastAsia="zh-CN"/>
                    </w:rPr>
                    <w:t>50</w:t>
                  </w:r>
                </w:p>
              </w:tc>
              <w:tc>
                <w:tcPr>
                  <w:tcW w:w="772" w:type="pct"/>
                  <w:tcBorders>
                    <w:tl2br w:val="nil"/>
                    <w:tr2bl w:val="nil"/>
                  </w:tcBorders>
                  <w:shd w:val="clear" w:color="auto" w:fill="auto"/>
                  <w:vAlign w:val="center"/>
                </w:tcPr>
                <w:p>
                  <w:pPr>
                    <w:pStyle w:val="314"/>
                    <w:snapToGrid/>
                    <w:spacing w:after="0" w:line="240" w:lineRule="auto"/>
                    <w:ind w:firstLine="0" w:firstLineChars="0"/>
                    <w:jc w:val="center"/>
                    <w:rPr>
                      <w:rFonts w:hint="eastAsia" w:ascii="Times New Roman" w:hAnsi="Times New Roman" w:eastAsia="宋体" w:cs="Times New Roman"/>
                      <w:b w:val="0"/>
                      <w:color w:val="FF0000"/>
                      <w:kern w:val="2"/>
                      <w:sz w:val="20"/>
                      <w:szCs w:val="20"/>
                      <w:lang w:val="en-US" w:eastAsia="zh-CN" w:bidi="ar-SA"/>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b w:val="0"/>
                      <w:color w:val="FF0000"/>
                      <w:kern w:val="2"/>
                      <w:sz w:val="20"/>
                      <w:szCs w:val="20"/>
                      <w:lang w:val="en-US" w:eastAsia="zh-CN" w:bidi="ar-SA"/>
                    </w:rPr>
                  </w:pPr>
                  <w:r>
                    <w:rPr>
                      <w:rFonts w:hint="eastAsia" w:cs="Times New Roman"/>
                      <w:b w:val="0"/>
                      <w:color w:val="FF0000"/>
                      <w:sz w:val="20"/>
                      <w:szCs w:val="20"/>
                      <w:lang w:val="en-US" w:eastAsia="zh-CN"/>
                    </w:rPr>
                    <w:t>2.52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2"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833" w:type="pct"/>
                  <w:tcBorders>
                    <w:tl2br w:val="nil"/>
                    <w:tr2bl w:val="nil"/>
                  </w:tcBorders>
                  <w:shd w:val="clear" w:color="auto" w:fill="auto"/>
                  <w:vAlign w:val="center"/>
                </w:tcPr>
                <w:p>
                  <w:pPr>
                    <w:pStyle w:val="4081"/>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lang w:val="en-US" w:eastAsia="zh-CN"/>
                    </w:rPr>
                    <w:t>汞</w:t>
                  </w:r>
                </w:p>
              </w:tc>
              <w:tc>
                <w:tcPr>
                  <w:tcW w:w="833" w:type="pct"/>
                  <w:vMerge w:val="continue"/>
                  <w:tcBorders>
                    <w:tl2br w:val="nil"/>
                    <w:tr2bl w:val="nil"/>
                  </w:tcBorders>
                  <w:vAlign w:val="center"/>
                </w:tcPr>
                <w:p>
                  <w:pPr>
                    <w:pStyle w:val="314"/>
                    <w:snapToGrid/>
                    <w:spacing w:after="0" w:line="240" w:lineRule="auto"/>
                    <w:ind w:firstLine="0" w:firstLineChars="0"/>
                    <w:jc w:val="center"/>
                    <w:rPr>
                      <w:rFonts w:hint="eastAsia" w:ascii="Times New Roman" w:eastAsia="宋体" w:cs="Times New Roman"/>
                      <w:b w:val="0"/>
                      <w:color w:val="FF0000"/>
                      <w:sz w:val="20"/>
                      <w:szCs w:val="20"/>
                    </w:rPr>
                  </w:pPr>
                </w:p>
              </w:tc>
              <w:tc>
                <w:tcPr>
                  <w:tcW w:w="770" w:type="pct"/>
                  <w:tcBorders>
                    <w:tl2br w:val="nil"/>
                    <w:tr2bl w:val="nil"/>
                  </w:tcBorders>
                  <w:shd w:val="clear" w:color="auto" w:fill="auto"/>
                  <w:vAlign w:val="center"/>
                </w:tcPr>
                <w:p>
                  <w:pPr>
                    <w:pStyle w:val="4078"/>
                    <w:ind w:firstLine="0" w:firstLineChars="0"/>
                    <w:jc w:val="center"/>
                    <w:rPr>
                      <w:rFonts w:hint="eastAsia" w:ascii="Times New Roman" w:hAnsi="Times New Roman" w:eastAsia="宋体" w:cs="Times New Roman"/>
                      <w:color w:val="FF0000"/>
                      <w:kern w:val="2"/>
                      <w:sz w:val="20"/>
                      <w:szCs w:val="20"/>
                      <w:lang w:val="en-US" w:eastAsia="zh-CN" w:bidi="ar-SA"/>
                    </w:rPr>
                  </w:pPr>
                  <w:r>
                    <w:rPr>
                      <w:rFonts w:hint="eastAsia"/>
                      <w:color w:val="FF0000"/>
                      <w:sz w:val="20"/>
                      <w:szCs w:val="20"/>
                      <w:lang w:val="en-US" w:eastAsia="zh-CN"/>
                    </w:rPr>
                    <w:t>0.03</w:t>
                  </w:r>
                </w:p>
              </w:tc>
              <w:tc>
                <w:tcPr>
                  <w:tcW w:w="772" w:type="pct"/>
                  <w:tcBorders>
                    <w:tl2br w:val="nil"/>
                    <w:tr2bl w:val="nil"/>
                  </w:tcBorders>
                  <w:shd w:val="clear" w:color="auto" w:fill="auto"/>
                  <w:vAlign w:val="center"/>
                </w:tcPr>
                <w:p>
                  <w:pPr>
                    <w:pStyle w:val="314"/>
                    <w:snapToGrid/>
                    <w:spacing w:after="0" w:line="240" w:lineRule="auto"/>
                    <w:ind w:firstLine="0" w:firstLineChars="0"/>
                    <w:jc w:val="center"/>
                    <w:rPr>
                      <w:rFonts w:hint="eastAsia" w:ascii="Times New Roman" w:hAnsi="Times New Roman" w:eastAsia="宋体" w:cs="Times New Roman"/>
                      <w:b w:val="0"/>
                      <w:color w:val="FF0000"/>
                      <w:kern w:val="2"/>
                      <w:sz w:val="20"/>
                      <w:szCs w:val="20"/>
                      <w:lang w:val="en-US" w:eastAsia="zh-CN" w:bidi="ar-SA"/>
                    </w:rPr>
                  </w:pPr>
                  <w:r>
                    <w:rPr>
                      <w:rFonts w:hint="eastAsia" w:ascii="Times New Roman" w:eastAsia="宋体" w:cs="Times New Roman"/>
                      <w:b w:val="0"/>
                      <w:color w:val="FF0000"/>
                      <w:sz w:val="20"/>
                      <w:szCs w:val="20"/>
                      <w:lang w:val="en-US" w:eastAsia="zh-CN"/>
                    </w:rPr>
                    <w:t>7200</w:t>
                  </w:r>
                </w:p>
              </w:tc>
              <w:tc>
                <w:tcPr>
                  <w:tcW w:w="957" w:type="pct"/>
                  <w:tcBorders>
                    <w:tl2br w:val="nil"/>
                    <w:tr2bl w:val="nil"/>
                  </w:tcBorders>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FF0000"/>
                      <w:kern w:val="0"/>
                      <w:sz w:val="20"/>
                      <w:szCs w:val="20"/>
                      <w:u w:val="none"/>
                      <w:lang w:val="en-US" w:eastAsia="zh-CN" w:bidi="ar"/>
                    </w:rPr>
                  </w:pPr>
                  <w:r>
                    <w:rPr>
                      <w:rFonts w:hint="eastAsia" w:cs="Times New Roman"/>
                      <w:i w:val="0"/>
                      <w:iCs w:val="0"/>
                      <w:color w:val="FF0000"/>
                      <w:kern w:val="0"/>
                      <w:sz w:val="20"/>
                      <w:szCs w:val="20"/>
                      <w:u w:val="none"/>
                      <w:lang w:val="en-US" w:eastAsia="zh-CN" w:bidi="ar"/>
                    </w:rPr>
                    <w:t>0.0015</w:t>
                  </w:r>
                </w:p>
              </w:tc>
            </w:tr>
          </w:tbl>
          <w:p>
            <w:pPr>
              <w:adjustRightInd w:val="0"/>
              <w:snapToGrid w:val="0"/>
              <w:spacing w:line="360" w:lineRule="auto"/>
              <w:ind w:firstLine="480"/>
              <w:rPr>
                <w:rFonts w:hint="default" w:ascii="Times New Roman" w:hAnsi="Times New Roman" w:eastAsia="宋体" w:cs="Times New Roman"/>
                <w:color w:val="FF0000"/>
                <w:sz w:val="21"/>
                <w:szCs w:val="21"/>
              </w:rPr>
            </w:pPr>
            <w:r>
              <w:rPr>
                <w:rFonts w:hint="default" w:ascii="Times New Roman" w:hAnsi="Times New Roman" w:eastAsia="宋体" w:cs="Times New Roman"/>
                <w:color w:val="FF0000"/>
                <w:sz w:val="21"/>
                <w:szCs w:val="21"/>
              </w:rPr>
              <w:t>对照《排污许可证申请与核发技术规范 锅炉》（HJ953-2018）、《排污许可证申请与核发技术规范 总则》（HJ942-2018）</w:t>
            </w:r>
            <w:r>
              <w:rPr>
                <w:rFonts w:hint="eastAsia" w:cs="Times New Roman"/>
                <w:color w:val="FF0000"/>
                <w:sz w:val="21"/>
                <w:szCs w:val="21"/>
                <w:lang w:val="en-US" w:eastAsia="zh-CN"/>
              </w:rPr>
              <w:t>和</w:t>
            </w:r>
            <w:r>
              <w:rPr>
                <w:rFonts w:hint="default" w:ascii="Times New Roman" w:hAnsi="Times New Roman" w:eastAsia="宋体" w:cs="Times New Roman"/>
                <w:color w:val="FF0000"/>
                <w:sz w:val="21"/>
                <w:szCs w:val="21"/>
              </w:rPr>
              <w:t xml:space="preserve">《排污许可证申请与核发技术规范 </w:t>
            </w:r>
            <w:r>
              <w:rPr>
                <w:rFonts w:hint="eastAsia" w:ascii="Times New Roman" w:hAnsi="Times New Roman" w:eastAsia="宋体" w:cs="Times New Roman"/>
                <w:color w:val="FF0000"/>
                <w:sz w:val="21"/>
                <w:szCs w:val="21"/>
                <w:lang w:val="en-US" w:eastAsia="zh-CN"/>
              </w:rPr>
              <w:t>纺织印染工业</w:t>
            </w:r>
            <w:r>
              <w:rPr>
                <w:rFonts w:hint="default" w:ascii="Times New Roman" w:hAnsi="Times New Roman" w:eastAsia="宋体" w:cs="Times New Roman"/>
                <w:color w:val="FF0000"/>
                <w:sz w:val="21"/>
                <w:szCs w:val="21"/>
              </w:rPr>
              <w:t>》（HJ</w:t>
            </w:r>
            <w:r>
              <w:rPr>
                <w:rFonts w:hint="eastAsia" w:ascii="Times New Roman" w:hAnsi="Times New Roman" w:eastAsia="宋体" w:cs="Times New Roman"/>
                <w:color w:val="FF0000"/>
                <w:sz w:val="21"/>
                <w:szCs w:val="21"/>
                <w:lang w:val="en-US" w:eastAsia="zh-CN"/>
              </w:rPr>
              <w:t>861</w:t>
            </w:r>
            <w:r>
              <w:rPr>
                <w:rFonts w:hint="default" w:ascii="Times New Roman" w:hAnsi="Times New Roman" w:eastAsia="宋体" w:cs="Times New Roman"/>
                <w:color w:val="FF0000"/>
                <w:sz w:val="21"/>
                <w:szCs w:val="21"/>
              </w:rPr>
              <w:t>-201</w:t>
            </w:r>
            <w:r>
              <w:rPr>
                <w:rFonts w:hint="eastAsia" w:ascii="Times New Roman" w:hAnsi="Times New Roman" w:eastAsia="宋体" w:cs="Times New Roman"/>
                <w:color w:val="FF0000"/>
                <w:sz w:val="21"/>
                <w:szCs w:val="21"/>
                <w:lang w:val="en-US" w:eastAsia="zh-CN"/>
              </w:rPr>
              <w:t>7</w:t>
            </w:r>
            <w:r>
              <w:rPr>
                <w:rFonts w:hint="default" w:ascii="Times New Roman" w:hAnsi="Times New Roman" w:eastAsia="宋体" w:cs="Times New Roman"/>
                <w:color w:val="FF0000"/>
                <w:sz w:val="21"/>
                <w:szCs w:val="21"/>
              </w:rPr>
              <w:t>），均无无组织废气核算方法，因此直接选取环评量。</w:t>
            </w:r>
          </w:p>
          <w:p>
            <w:pPr>
              <w:pStyle w:val="1917"/>
              <w:keepNext w:val="0"/>
              <w:keepLines w:val="0"/>
              <w:pageBreakBefore w:val="0"/>
              <w:widowControl w:val="0"/>
              <w:kinsoku/>
              <w:wordWrap/>
              <w:overflowPunct/>
              <w:topLinePunct/>
              <w:autoSpaceDE/>
              <w:autoSpaceDN/>
              <w:bidi w:val="0"/>
              <w:adjustRightInd/>
              <w:snapToGrid/>
              <w:spacing w:line="360" w:lineRule="auto"/>
              <w:ind w:firstLine="420" w:firstLineChars="200"/>
              <w:textAlignment w:val="auto"/>
              <w:rPr>
                <w:rFonts w:hint="default" w:ascii="Times New Roman" w:hAnsi="Times New Roman" w:cs="Times New Roman"/>
                <w:b/>
                <w:bCs/>
                <w:color w:val="FF0000"/>
                <w:kern w:val="0"/>
                <w:sz w:val="21"/>
                <w:szCs w:val="21"/>
              </w:rPr>
            </w:pPr>
            <w:r>
              <w:rPr>
                <w:rFonts w:hint="eastAsia" w:ascii="Times New Roman" w:hAnsi="Times New Roman" w:eastAsia="宋体" w:cs="Times New Roman"/>
                <w:b w:val="0"/>
                <w:bCs w:val="0"/>
                <w:color w:val="FF0000"/>
                <w:kern w:val="2"/>
                <w:sz w:val="21"/>
                <w:szCs w:val="21"/>
              </w:rPr>
              <w:t>②废水排放量核算</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aps w:val="0"/>
                <w:color w:val="FF0000"/>
                <w:sz w:val="21"/>
                <w:szCs w:val="21"/>
                <w:highlight w:val="none"/>
                <w:lang w:val="en-US" w:eastAsia="zh-CN"/>
              </w:rPr>
            </w:pPr>
            <w:r>
              <w:rPr>
                <w:rFonts w:hint="eastAsia"/>
                <w:b w:val="0"/>
                <w:bCs w:val="0"/>
                <w:color w:val="FF0000"/>
                <w:sz w:val="21"/>
                <w:szCs w:val="21"/>
                <w:lang w:val="en-US" w:eastAsia="zh-CN"/>
              </w:rPr>
              <w:t>对照《排污许可证申请与核发技术规范 总则》（</w:t>
            </w:r>
            <w:r>
              <w:rPr>
                <w:rFonts w:hint="default" w:ascii="Times New Roman" w:hAnsi="Times New Roman" w:eastAsia="宋体" w:cs="Times New Roman"/>
                <w:color w:val="FF0000"/>
                <w:sz w:val="21"/>
                <w:szCs w:val="21"/>
              </w:rPr>
              <w:t>HJ942-2018</w:t>
            </w:r>
            <w:r>
              <w:rPr>
                <w:rFonts w:hint="eastAsia"/>
                <w:b w:val="0"/>
                <w:bCs w:val="0"/>
                <w:color w:val="FF0000"/>
                <w:sz w:val="21"/>
                <w:szCs w:val="21"/>
                <w:lang w:val="en-US" w:eastAsia="zh-CN"/>
              </w:rPr>
              <w:t>），</w:t>
            </w:r>
            <w:r>
              <w:rPr>
                <w:rFonts w:hint="eastAsia" w:ascii="Times New Roman" w:hAnsi="Times New Roman" w:eastAsia="宋体" w:cs="Times New Roman"/>
                <w:caps w:val="0"/>
                <w:color w:val="FF0000"/>
                <w:sz w:val="21"/>
                <w:szCs w:val="21"/>
                <w:highlight w:val="none"/>
                <w:lang w:val="en-US" w:eastAsia="zh-CN"/>
              </w:rPr>
              <w:t>核算方法按下列公式计算</w:t>
            </w:r>
            <w:r>
              <w:rPr>
                <w:rFonts w:hint="eastAsia" w:ascii="Times New Roman" w:hAnsi="Times New Roman" w:eastAsia="宋体" w:cs="Times New Roman"/>
                <w:b w:val="0"/>
                <w:bCs w:val="0"/>
                <w:caps w:val="0"/>
                <w:color w:val="FF0000"/>
                <w:sz w:val="21"/>
                <w:szCs w:val="21"/>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center"/>
              <w:textAlignment w:val="auto"/>
              <w:rPr>
                <w:rFonts w:hint="eastAsia" w:ascii="Times New Roman" w:hAnsi="Times New Roman" w:eastAsia="宋体" w:cs="Times New Roman"/>
                <w:b w:val="0"/>
                <w:bCs w:val="0"/>
                <w:caps w:val="0"/>
                <w:color w:val="FF0000"/>
                <w:sz w:val="21"/>
                <w:szCs w:val="21"/>
                <w:highlight w:val="none"/>
                <w:vertAlign w:val="superscript"/>
                <w:lang w:val="en-US" w:eastAsia="zh-CN"/>
              </w:rPr>
            </w:pPr>
            <w:r>
              <w:rPr>
                <w:rFonts w:hint="eastAsia" w:ascii="Times New Roman" w:hAnsi="Times New Roman" w:eastAsia="宋体" w:cs="Times New Roman"/>
                <w:caps w:val="0"/>
                <w:color w:val="FF0000"/>
                <w:sz w:val="21"/>
                <w:szCs w:val="21"/>
                <w:highlight w:val="none"/>
                <w:lang w:val="en-US" w:eastAsia="zh-CN"/>
              </w:rPr>
              <w:t>E</w:t>
            </w:r>
            <w:r>
              <w:rPr>
                <w:rFonts w:hint="eastAsia" w:ascii="Times New Roman" w:hAnsi="Times New Roman" w:eastAsia="宋体" w:cs="Times New Roman"/>
                <w:caps w:val="0"/>
                <w:color w:val="FF0000"/>
                <w:sz w:val="21"/>
                <w:szCs w:val="21"/>
                <w:highlight w:val="none"/>
                <w:vertAlign w:val="subscript"/>
                <w:lang w:val="en-US" w:eastAsia="zh-CN"/>
              </w:rPr>
              <w:t>年许可</w:t>
            </w:r>
            <w:r>
              <w:rPr>
                <w:rFonts w:hint="eastAsia" w:ascii="Times New Roman" w:hAnsi="Times New Roman" w:eastAsia="宋体" w:cs="Times New Roman"/>
                <w:caps w:val="0"/>
                <w:color w:val="FF0000"/>
                <w:sz w:val="21"/>
                <w:szCs w:val="21"/>
                <w:highlight w:val="none"/>
                <w:lang w:val="en-US" w:eastAsia="zh-CN"/>
              </w:rPr>
              <w:t>=Q</w:t>
            </w:r>
            <w:r>
              <w:rPr>
                <w:rFonts w:hint="default" w:ascii="Times New Roman" w:hAnsi="Times New Roman" w:eastAsia="宋体" w:cs="Times New Roman"/>
                <w:b w:val="0"/>
                <w:bCs w:val="0"/>
                <w:caps w:val="0"/>
                <w:color w:val="FF0000"/>
                <w:sz w:val="21"/>
                <w:szCs w:val="21"/>
                <w:highlight w:val="none"/>
                <w:lang w:val="en-US" w:eastAsia="zh-CN"/>
              </w:rPr>
              <w:t>×C×T×10</w:t>
            </w:r>
            <w:r>
              <w:rPr>
                <w:rFonts w:hint="default" w:ascii="Times New Roman" w:hAnsi="Times New Roman" w:eastAsia="宋体" w:cs="Times New Roman"/>
                <w:b w:val="0"/>
                <w:bCs w:val="0"/>
                <w:caps w:val="0"/>
                <w:color w:val="FF0000"/>
                <w:sz w:val="21"/>
                <w:szCs w:val="21"/>
                <w:highlight w:val="none"/>
                <w:vertAlign w:val="superscript"/>
                <w:lang w:val="en-US" w:eastAsia="zh-CN"/>
              </w:rPr>
              <w:t>-</w:t>
            </w:r>
            <w:r>
              <w:rPr>
                <w:rFonts w:hint="eastAsia" w:ascii="Times New Roman" w:hAnsi="Times New Roman" w:eastAsia="宋体" w:cs="Times New Roman"/>
                <w:b w:val="0"/>
                <w:bCs w:val="0"/>
                <w:caps w:val="0"/>
                <w:color w:val="FF0000"/>
                <w:sz w:val="21"/>
                <w:szCs w:val="21"/>
                <w:highlight w:val="none"/>
                <w:vertAlign w:val="superscript"/>
                <w:lang w:val="en-US" w:eastAsia="zh-CN"/>
              </w:rPr>
              <w:t>6</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caps w:val="0"/>
                <w:color w:val="FF0000"/>
                <w:sz w:val="21"/>
                <w:szCs w:val="21"/>
                <w:highlight w:val="none"/>
                <w:vertAlign w:val="baseline"/>
                <w:lang w:val="en-US" w:eastAsia="zh-CN"/>
              </w:rPr>
            </w:pPr>
            <w:r>
              <w:rPr>
                <w:rFonts w:hint="eastAsia" w:ascii="Times New Roman" w:hAnsi="Times New Roman" w:eastAsia="宋体" w:cs="Times New Roman"/>
                <w:b w:val="0"/>
                <w:bCs w:val="0"/>
                <w:caps w:val="0"/>
                <w:color w:val="FF0000"/>
                <w:sz w:val="21"/>
                <w:szCs w:val="21"/>
                <w:highlight w:val="none"/>
                <w:vertAlign w:val="baseline"/>
                <w:lang w:val="en-US" w:eastAsia="zh-CN"/>
              </w:rPr>
              <w:t>式中：</w:t>
            </w:r>
            <w:r>
              <w:rPr>
                <w:rFonts w:hint="eastAsia" w:ascii="Times New Roman" w:hAnsi="Times New Roman" w:eastAsia="宋体" w:cs="Times New Roman"/>
                <w:caps w:val="0"/>
                <w:color w:val="FF0000"/>
                <w:sz w:val="21"/>
                <w:szCs w:val="21"/>
                <w:highlight w:val="none"/>
                <w:lang w:val="en-US" w:eastAsia="zh-CN"/>
              </w:rPr>
              <w:t>E</w:t>
            </w:r>
            <w:r>
              <w:rPr>
                <w:rFonts w:hint="eastAsia" w:ascii="Times New Roman" w:hAnsi="Times New Roman" w:eastAsia="宋体" w:cs="Times New Roman"/>
                <w:caps w:val="0"/>
                <w:color w:val="FF0000"/>
                <w:sz w:val="21"/>
                <w:szCs w:val="21"/>
                <w:highlight w:val="none"/>
                <w:vertAlign w:val="subscript"/>
                <w:lang w:val="en-US" w:eastAsia="zh-CN"/>
              </w:rPr>
              <w:t>年许可</w:t>
            </w:r>
            <w:r>
              <w:rPr>
                <w:rFonts w:hint="eastAsia" w:ascii="Times New Roman" w:hAnsi="Times New Roman" w:eastAsia="宋体" w:cs="Times New Roman"/>
                <w:caps w:val="0"/>
                <w:color w:val="FF0000"/>
                <w:sz w:val="21"/>
                <w:szCs w:val="21"/>
                <w:highlight w:val="none"/>
                <w:vertAlign w:val="baseline"/>
                <w:lang w:val="en-US" w:eastAsia="zh-CN"/>
              </w:rPr>
              <w:t>--某项污染物年许可排放量，t/a；</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eastAsia" w:ascii="Times New Roman" w:hAnsi="Times New Roman" w:eastAsia="宋体" w:cs="Times New Roman"/>
                <w:caps w:val="0"/>
                <w:color w:val="FF0000"/>
                <w:sz w:val="21"/>
                <w:szCs w:val="21"/>
                <w:highlight w:val="none"/>
                <w:vertAlign w:val="baseline"/>
                <w:lang w:val="en-US" w:eastAsia="zh-CN"/>
              </w:rPr>
            </w:pPr>
            <w:r>
              <w:rPr>
                <w:rFonts w:hint="eastAsia" w:ascii="Times New Roman" w:hAnsi="Times New Roman" w:eastAsia="宋体" w:cs="Times New Roman"/>
                <w:caps w:val="0"/>
                <w:color w:val="FF0000"/>
                <w:sz w:val="21"/>
                <w:szCs w:val="21"/>
                <w:highlight w:val="none"/>
                <w:vertAlign w:val="baseline"/>
                <w:lang w:val="en-US" w:eastAsia="zh-CN"/>
              </w:rPr>
              <w:t>Q--总排放口的排水量，m</w:t>
            </w:r>
            <w:r>
              <w:rPr>
                <w:rFonts w:hint="eastAsia" w:ascii="Times New Roman" w:hAnsi="Times New Roman" w:eastAsia="宋体" w:cs="Times New Roman"/>
                <w:caps w:val="0"/>
                <w:color w:val="FF0000"/>
                <w:sz w:val="21"/>
                <w:szCs w:val="21"/>
                <w:highlight w:val="none"/>
                <w:vertAlign w:val="superscript"/>
                <w:lang w:val="en-US" w:eastAsia="zh-CN"/>
              </w:rPr>
              <w:t>3</w:t>
            </w:r>
            <w:r>
              <w:rPr>
                <w:rFonts w:hint="eastAsia" w:ascii="Times New Roman" w:hAnsi="Times New Roman" w:eastAsia="宋体" w:cs="Times New Roman"/>
                <w:caps w:val="0"/>
                <w:color w:val="FF0000"/>
                <w:sz w:val="21"/>
                <w:szCs w:val="21"/>
                <w:highlight w:val="none"/>
                <w:vertAlign w:val="baseline"/>
                <w:lang w:val="en-US" w:eastAsia="zh-CN"/>
              </w:rPr>
              <w:t>/d；</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eastAsia" w:ascii="Times New Roman" w:hAnsi="Times New Roman" w:eastAsia="宋体" w:cs="Times New Roman"/>
                <w:caps w:val="0"/>
                <w:color w:val="FF0000"/>
                <w:sz w:val="21"/>
                <w:szCs w:val="21"/>
                <w:highlight w:val="none"/>
                <w:vertAlign w:val="baseline"/>
                <w:lang w:val="en-US" w:eastAsia="zh-CN"/>
              </w:rPr>
            </w:pPr>
            <w:r>
              <w:rPr>
                <w:rFonts w:hint="eastAsia" w:ascii="Times New Roman" w:hAnsi="Times New Roman" w:eastAsia="宋体" w:cs="Times New Roman"/>
                <w:caps w:val="0"/>
                <w:color w:val="FF0000"/>
                <w:kern w:val="2"/>
                <w:sz w:val="21"/>
                <w:szCs w:val="21"/>
                <w:vertAlign w:val="baseline"/>
                <w:lang w:val="en-US" w:eastAsia="zh-CN" w:bidi="ar-SA"/>
              </w:rPr>
              <w:t>C-</w:t>
            </w:r>
            <w:r>
              <w:rPr>
                <w:rFonts w:hint="eastAsia" w:ascii="Times New Roman" w:hAnsi="Times New Roman" w:eastAsia="宋体" w:cs="Times New Roman"/>
                <w:caps w:val="0"/>
                <w:color w:val="FF0000"/>
                <w:sz w:val="21"/>
                <w:szCs w:val="21"/>
                <w:highlight w:val="none"/>
                <w:vertAlign w:val="baseline"/>
                <w:lang w:val="en-US" w:eastAsia="zh-CN"/>
              </w:rPr>
              <w:t>-某项污染物许可排放浓度，mg/L；</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1050" w:firstLineChars="500"/>
              <w:jc w:val="both"/>
              <w:textAlignment w:val="auto"/>
              <w:rPr>
                <w:rFonts w:hint="eastAsia" w:ascii="Times New Roman" w:hAnsi="Times New Roman" w:eastAsia="宋体" w:cs="Times New Roman"/>
                <w:caps w:val="0"/>
                <w:color w:val="FF0000"/>
                <w:sz w:val="21"/>
                <w:szCs w:val="21"/>
                <w:highlight w:val="none"/>
                <w:vertAlign w:val="baseline"/>
                <w:lang w:val="en-US" w:eastAsia="zh-CN"/>
              </w:rPr>
            </w:pPr>
            <w:r>
              <w:rPr>
                <w:rFonts w:hint="eastAsia" w:ascii="Times New Roman" w:hAnsi="Times New Roman" w:eastAsia="宋体" w:cs="Times New Roman"/>
                <w:caps w:val="0"/>
                <w:color w:val="FF0000"/>
                <w:sz w:val="21"/>
                <w:szCs w:val="21"/>
                <w:highlight w:val="none"/>
                <w:vertAlign w:val="baseline"/>
                <w:lang w:val="en-US" w:eastAsia="zh-CN"/>
              </w:rPr>
              <w:t>T--设计年生产时间，d</w:t>
            </w:r>
            <w:r>
              <w:rPr>
                <w:rFonts w:hint="eastAsia" w:eastAsia="宋体" w:cs="Times New Roman"/>
                <w:caps w:val="0"/>
                <w:color w:val="FF0000"/>
                <w:sz w:val="21"/>
                <w:szCs w:val="21"/>
                <w:highlight w:val="none"/>
                <w:vertAlign w:val="baseline"/>
                <w:lang w:val="en-US" w:eastAsia="zh-CN"/>
              </w:rPr>
              <w:t>/a</w:t>
            </w:r>
            <w:r>
              <w:rPr>
                <w:rFonts w:hint="eastAsia" w:ascii="Times New Roman" w:hAnsi="Times New Roman" w:eastAsia="宋体" w:cs="Times New Roman"/>
                <w:caps w:val="0"/>
                <w:color w:val="FF0000"/>
                <w:sz w:val="21"/>
                <w:szCs w:val="21"/>
                <w:highlight w:val="none"/>
                <w:vertAlign w:val="baseline"/>
                <w:lang w:val="en-US" w:eastAsia="zh-CN"/>
              </w:rPr>
              <w:t>。</w:t>
            </w:r>
          </w:p>
          <w:p>
            <w:pPr>
              <w:pStyle w:val="314"/>
              <w:keepNext w:val="0"/>
              <w:keepLines w:val="0"/>
              <w:pageBreakBefore w:val="0"/>
              <w:widowControl w:val="0"/>
              <w:numPr>
                <w:ilvl w:val="0"/>
                <w:numId w:val="0"/>
              </w:numPr>
              <w:suppressLineNumbers w:val="0"/>
              <w:kinsoku/>
              <w:wordWrap/>
              <w:overflowPunct/>
              <w:topLinePunct w:val="0"/>
              <w:autoSpaceDE w:val="0"/>
              <w:autoSpaceDN w:val="0"/>
              <w:bidi w:val="0"/>
              <w:adjustRightInd w:val="0"/>
              <w:snapToGrid/>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val="0"/>
                <w:caps w:val="0"/>
                <w:color w:val="FF0000"/>
                <w:sz w:val="21"/>
                <w:szCs w:val="21"/>
                <w:highlight w:val="none"/>
                <w:vertAlign w:val="baseline"/>
                <w:lang w:val="en-US" w:eastAsia="zh-CN"/>
              </w:rPr>
            </w:pPr>
            <w:r>
              <w:rPr>
                <w:rFonts w:hint="default" w:ascii="Times New Roman" w:hAnsi="Times New Roman" w:eastAsia="宋体" w:cs="Times New Roman"/>
                <w:b/>
                <w:bCs/>
                <w:color w:val="FF0000"/>
                <w:sz w:val="21"/>
                <w:szCs w:val="21"/>
              </w:rPr>
              <w:t>表</w:t>
            </w:r>
            <w:r>
              <w:rPr>
                <w:rFonts w:hint="default" w:ascii="Times New Roman" w:hAnsi="Times New Roman" w:eastAsia="宋体" w:cs="Times New Roman"/>
                <w:b/>
                <w:bCs/>
                <w:color w:val="FF0000"/>
                <w:sz w:val="21"/>
                <w:szCs w:val="21"/>
                <w:lang w:val="en-US" w:eastAsia="zh-CN"/>
              </w:rPr>
              <w:t>3</w:t>
            </w:r>
            <w:r>
              <w:rPr>
                <w:rFonts w:hint="default" w:ascii="Times New Roman" w:hAnsi="Times New Roman" w:eastAsia="宋体" w:cs="Times New Roman"/>
                <w:b/>
                <w:bCs/>
                <w:color w:val="FF0000"/>
                <w:sz w:val="21"/>
                <w:szCs w:val="21"/>
              </w:rPr>
              <w:t>-</w:t>
            </w:r>
            <w:r>
              <w:rPr>
                <w:rFonts w:hint="eastAsia" w:ascii="Times New Roman" w:eastAsia="宋体" w:cs="Times New Roman"/>
                <w:b/>
                <w:bCs/>
                <w:color w:val="FF0000"/>
                <w:sz w:val="21"/>
                <w:szCs w:val="21"/>
                <w:lang w:val="en-US" w:eastAsia="zh-CN"/>
              </w:rPr>
              <w:t>14</w:t>
            </w:r>
            <w:r>
              <w:rPr>
                <w:rFonts w:hint="eastAsia" w:ascii="Times New Roman" w:hAnsi="Times New Roman" w:eastAsia="宋体" w:cs="Times New Roman"/>
                <w:b/>
                <w:bCs/>
                <w:color w:val="FF0000"/>
                <w:sz w:val="21"/>
                <w:szCs w:val="21"/>
                <w:lang w:val="en-US" w:eastAsia="zh-CN"/>
              </w:rPr>
              <w:t xml:space="preserve"> </w:t>
            </w:r>
            <w:r>
              <w:rPr>
                <w:rFonts w:hint="default" w:ascii="Times New Roman" w:hAnsi="Times New Roman" w:eastAsia="宋体" w:cs="Times New Roman"/>
                <w:b/>
                <w:bCs/>
                <w:color w:val="FF0000"/>
                <w:sz w:val="21"/>
                <w:szCs w:val="21"/>
                <w:lang w:val="en-US" w:eastAsia="zh-CN"/>
              </w:rPr>
              <w:t xml:space="preserve"> </w:t>
            </w:r>
            <w:r>
              <w:rPr>
                <w:rFonts w:hint="eastAsia" w:ascii="Times New Roman" w:hAnsi="Times New Roman" w:eastAsia="宋体" w:cs="Times New Roman"/>
                <w:b/>
                <w:bCs/>
                <w:color w:val="FF0000"/>
                <w:sz w:val="21"/>
                <w:szCs w:val="21"/>
                <w:lang w:val="en-US" w:eastAsia="zh-CN"/>
              </w:rPr>
              <w:t>废水排放量</w:t>
            </w:r>
            <w:r>
              <w:rPr>
                <w:rFonts w:hint="default" w:ascii="Times New Roman" w:hAnsi="Times New Roman" w:eastAsia="宋体" w:cs="Times New Roman"/>
                <w:b/>
                <w:bCs/>
                <w:color w:val="FF0000"/>
                <w:sz w:val="21"/>
                <w:szCs w:val="21"/>
                <w:lang w:val="en-US" w:eastAsia="zh-CN"/>
              </w:rPr>
              <w:t>核算表</w:t>
            </w:r>
          </w:p>
          <w:tbl>
            <w:tblPr>
              <w:tblStyle w:val="9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21"/>
              <w:gridCol w:w="1727"/>
              <w:gridCol w:w="1727"/>
              <w:gridCol w:w="1725"/>
              <w:gridCol w:w="17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aps w:val="0"/>
                      <w:color w:val="FF0000"/>
                      <w:sz w:val="20"/>
                      <w:szCs w:val="20"/>
                      <w:highlight w:val="none"/>
                      <w:vertAlign w:val="baseline"/>
                      <w:lang w:val="en-US" w:eastAsia="zh-CN"/>
                    </w:rPr>
                  </w:pPr>
                  <w:r>
                    <w:rPr>
                      <w:rFonts w:hint="eastAsia" w:ascii="Times New Roman" w:hAnsi="Times New Roman" w:eastAsia="宋体" w:cs="Times New Roman"/>
                      <w:b/>
                      <w:bCs/>
                      <w:caps w:val="0"/>
                      <w:color w:val="FF0000"/>
                      <w:sz w:val="20"/>
                      <w:szCs w:val="20"/>
                      <w:highlight w:val="none"/>
                      <w:vertAlign w:val="baseline"/>
                      <w:lang w:val="en-US" w:eastAsia="zh-CN"/>
                    </w:rPr>
                    <w:t>污染因子</w:t>
                  </w:r>
                </w:p>
              </w:tc>
              <w:tc>
                <w:tcPr>
                  <w:tcW w:w="1000" w:type="pct"/>
                  <w:tcBorders>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aps w:val="0"/>
                      <w:color w:val="FF0000"/>
                      <w:sz w:val="20"/>
                      <w:szCs w:val="20"/>
                      <w:highlight w:val="none"/>
                      <w:vertAlign w:val="baseline"/>
                      <w:lang w:val="en-US" w:eastAsia="zh-CN"/>
                    </w:rPr>
                  </w:pPr>
                  <w:r>
                    <w:rPr>
                      <w:rFonts w:hint="eastAsia" w:ascii="Times New Roman" w:hAnsi="Times New Roman" w:eastAsia="宋体" w:cs="Times New Roman"/>
                      <w:b/>
                      <w:bCs/>
                      <w:caps w:val="0"/>
                      <w:color w:val="FF0000"/>
                      <w:sz w:val="20"/>
                      <w:szCs w:val="20"/>
                      <w:highlight w:val="none"/>
                      <w:vertAlign w:val="baseline"/>
                      <w:lang w:val="en-US" w:eastAsia="zh-CN"/>
                    </w:rPr>
                    <w:t>Q（m</w:t>
                  </w:r>
                  <w:r>
                    <w:rPr>
                      <w:rFonts w:hint="eastAsia" w:ascii="Times New Roman" w:hAnsi="Times New Roman" w:eastAsia="宋体" w:cs="Times New Roman"/>
                      <w:b/>
                      <w:bCs/>
                      <w:caps w:val="0"/>
                      <w:color w:val="FF0000"/>
                      <w:sz w:val="20"/>
                      <w:szCs w:val="20"/>
                      <w:highlight w:val="none"/>
                      <w:vertAlign w:val="superscript"/>
                      <w:lang w:val="en-US" w:eastAsia="zh-CN"/>
                    </w:rPr>
                    <w:t>3</w:t>
                  </w:r>
                  <w:r>
                    <w:rPr>
                      <w:rFonts w:hint="eastAsia" w:ascii="Times New Roman" w:hAnsi="Times New Roman" w:eastAsia="宋体" w:cs="Times New Roman"/>
                      <w:b/>
                      <w:bCs/>
                      <w:caps w:val="0"/>
                      <w:color w:val="FF0000"/>
                      <w:sz w:val="20"/>
                      <w:szCs w:val="20"/>
                      <w:highlight w:val="none"/>
                      <w:vertAlign w:val="baseline"/>
                      <w:lang w:val="en-US" w:eastAsia="zh-CN"/>
                    </w:rPr>
                    <w:t>/d）</w:t>
                  </w:r>
                </w:p>
              </w:tc>
              <w:tc>
                <w:tcPr>
                  <w:tcW w:w="1000" w:type="pct"/>
                  <w:tcBorders>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aps w:val="0"/>
                      <w:color w:val="FF0000"/>
                      <w:sz w:val="20"/>
                      <w:szCs w:val="20"/>
                      <w:highlight w:val="none"/>
                      <w:vertAlign w:val="baseline"/>
                      <w:lang w:val="en-US" w:eastAsia="zh-CN"/>
                    </w:rPr>
                  </w:pPr>
                  <w:r>
                    <w:rPr>
                      <w:rFonts w:hint="eastAsia" w:ascii="Times New Roman" w:hAnsi="Times New Roman" w:eastAsia="宋体" w:cs="Times New Roman"/>
                      <w:b/>
                      <w:bCs/>
                      <w:caps w:val="0"/>
                      <w:color w:val="FF0000"/>
                      <w:sz w:val="20"/>
                      <w:szCs w:val="20"/>
                      <w:highlight w:val="none"/>
                      <w:vertAlign w:val="baseline"/>
                      <w:lang w:val="en-US" w:eastAsia="zh-CN"/>
                    </w:rPr>
                    <w:t>C（mg/L）</w:t>
                  </w:r>
                </w:p>
              </w:tc>
              <w:tc>
                <w:tcPr>
                  <w:tcW w:w="999" w:type="pct"/>
                  <w:tcBorders>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aps w:val="0"/>
                      <w:color w:val="FF0000"/>
                      <w:sz w:val="20"/>
                      <w:szCs w:val="20"/>
                      <w:highlight w:val="none"/>
                      <w:vertAlign w:val="baseline"/>
                      <w:lang w:val="en-US" w:eastAsia="zh-CN"/>
                    </w:rPr>
                  </w:pPr>
                  <w:r>
                    <w:rPr>
                      <w:rFonts w:hint="eastAsia" w:ascii="Times New Roman" w:hAnsi="Times New Roman" w:eastAsia="宋体" w:cs="Times New Roman"/>
                      <w:b/>
                      <w:bCs/>
                      <w:caps w:val="0"/>
                      <w:color w:val="FF0000"/>
                      <w:sz w:val="20"/>
                      <w:szCs w:val="20"/>
                      <w:highlight w:val="none"/>
                      <w:vertAlign w:val="baseline"/>
                      <w:lang w:val="en-US" w:eastAsia="zh-CN"/>
                    </w:rPr>
                    <w:t>T（d）</w:t>
                  </w:r>
                </w:p>
              </w:tc>
              <w:tc>
                <w:tcPr>
                  <w:tcW w:w="1000" w:type="pct"/>
                  <w:tcBorders>
                    <w:bottom w:val="single" w:color="auto" w:sz="12"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bCs/>
                      <w:caps w:val="0"/>
                      <w:color w:val="FF0000"/>
                      <w:sz w:val="20"/>
                      <w:szCs w:val="20"/>
                      <w:highlight w:val="none"/>
                      <w:vertAlign w:val="baseline"/>
                      <w:lang w:val="en-US" w:eastAsia="zh-CN"/>
                    </w:rPr>
                  </w:pPr>
                  <w:r>
                    <w:rPr>
                      <w:rFonts w:hint="eastAsia" w:ascii="Times New Roman" w:hAnsi="Times New Roman" w:eastAsia="宋体" w:cs="Times New Roman"/>
                      <w:b/>
                      <w:bCs/>
                      <w:caps w:val="0"/>
                      <w:color w:val="FF0000"/>
                      <w:sz w:val="20"/>
                      <w:szCs w:val="20"/>
                      <w:highlight w:val="none"/>
                      <w:lang w:val="en-US" w:eastAsia="zh-CN"/>
                    </w:rPr>
                    <w:t>E</w:t>
                  </w:r>
                  <w:r>
                    <w:rPr>
                      <w:rFonts w:hint="eastAsia" w:ascii="Times New Roman" w:hAnsi="Times New Roman" w:eastAsia="宋体" w:cs="Times New Roman"/>
                      <w:b/>
                      <w:bCs/>
                      <w:caps w:val="0"/>
                      <w:color w:val="FF0000"/>
                      <w:sz w:val="20"/>
                      <w:szCs w:val="20"/>
                      <w:highlight w:val="none"/>
                      <w:vertAlign w:val="subscript"/>
                      <w:lang w:val="en-US" w:eastAsia="zh-CN"/>
                    </w:rPr>
                    <w:t>年许可</w:t>
                  </w:r>
                  <w:r>
                    <w:rPr>
                      <w:rFonts w:hint="eastAsia" w:ascii="Times New Roman" w:hAnsi="Times New Roman" w:eastAsia="宋体" w:cs="Times New Roman"/>
                      <w:b/>
                      <w:bCs/>
                      <w:caps w:val="0"/>
                      <w:color w:val="FF0000"/>
                      <w:sz w:val="20"/>
                      <w:szCs w:val="20"/>
                      <w:highlight w:val="none"/>
                      <w:vertAlign w:val="baseline"/>
                      <w:lang w:val="en-US" w:eastAsia="zh-CN"/>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op w:val="single" w:color="auto" w:sz="1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aps w:val="0"/>
                      <w:color w:val="FF0000"/>
                      <w:kern w:val="2"/>
                      <w:sz w:val="20"/>
                      <w:szCs w:val="20"/>
                      <w:highlight w:val="none"/>
                      <w:vertAlign w:val="baseline"/>
                      <w:lang w:val="en-US" w:eastAsia="zh-CN" w:bidi="ar-SA"/>
                    </w:rPr>
                  </w:pPr>
                  <w:r>
                    <w:rPr>
                      <w:rFonts w:hint="eastAsia" w:ascii="Times New Roman" w:hAnsi="Times New Roman" w:eastAsia="宋体" w:cs="Times New Roman"/>
                      <w:caps w:val="0"/>
                      <w:color w:val="FF0000"/>
                      <w:sz w:val="20"/>
                      <w:szCs w:val="20"/>
                      <w:highlight w:val="none"/>
                      <w:vertAlign w:val="baseline"/>
                      <w:lang w:val="en-US" w:eastAsia="zh-CN"/>
                    </w:rPr>
                    <w:t>化学需氧量</w:t>
                  </w:r>
                </w:p>
              </w:tc>
              <w:tc>
                <w:tcPr>
                  <w:tcW w:w="1000" w:type="pct"/>
                  <w:vMerge w:val="restart"/>
                  <w:tcBorders>
                    <w:top w:val="single" w:color="auto" w:sz="1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21.31</w:t>
                  </w:r>
                </w:p>
              </w:tc>
              <w:tc>
                <w:tcPr>
                  <w:tcW w:w="1000" w:type="pct"/>
                  <w:tcBorders>
                    <w:top w:val="single" w:color="auto" w:sz="1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500</w:t>
                  </w:r>
                </w:p>
              </w:tc>
              <w:tc>
                <w:tcPr>
                  <w:tcW w:w="999" w:type="pct"/>
                  <w:tcBorders>
                    <w:top w:val="single" w:color="auto" w:sz="12" w:space="0"/>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300</w:t>
                  </w:r>
                </w:p>
              </w:tc>
              <w:tc>
                <w:tcPr>
                  <w:tcW w:w="1623" w:type="dxa"/>
                  <w:tcBorders>
                    <w:top w:val="single" w:color="auto" w:sz="12" w:space="0"/>
                    <w:tl2br w:val="nil"/>
                    <w:tr2bl w:val="nil"/>
                  </w:tcBorders>
                  <w:noWrap w:val="0"/>
                  <w:vAlign w:val="center"/>
                </w:tcPr>
                <w:p>
                  <w:pPr>
                    <w:keepNext w:val="0"/>
                    <w:keepLines w:val="0"/>
                    <w:widowControl w:val="0"/>
                    <w:suppressLineNumbers w:val="0"/>
                    <w:spacing w:line="320" w:lineRule="exact"/>
                    <w:jc w:val="center"/>
                    <w:textAlignment w:val="auto"/>
                    <w:rPr>
                      <w:rFonts w:hint="default" w:ascii="Times New Roman" w:hAnsi="Times New Roman" w:eastAsia="宋体" w:cs="Times New Roman"/>
                      <w:b w:val="0"/>
                      <w:bCs w:val="0"/>
                      <w:caps w:val="0"/>
                      <w:color w:val="FF0000"/>
                      <w:sz w:val="20"/>
                      <w:szCs w:val="20"/>
                      <w:highlight w:val="none"/>
                      <w:lang w:val="en-US" w:eastAsia="zh-CN"/>
                    </w:rPr>
                  </w:pPr>
                  <w:r>
                    <w:rPr>
                      <w:rFonts w:hint="eastAsia" w:cs="Times New Roman"/>
                      <w:b w:val="0"/>
                      <w:bCs w:val="0"/>
                      <w:caps w:val="0"/>
                      <w:color w:val="FF0000"/>
                      <w:sz w:val="20"/>
                      <w:szCs w:val="20"/>
                      <w:highlight w:val="none"/>
                      <w:lang w:val="en-US" w:eastAsia="zh-CN"/>
                    </w:rPr>
                    <w:t>3.1897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val="0"/>
                      <w:bCs w:val="0"/>
                      <w:caps w:val="0"/>
                      <w:color w:val="FF0000"/>
                      <w:kern w:val="2"/>
                      <w:sz w:val="20"/>
                      <w:szCs w:val="20"/>
                      <w:highlight w:val="none"/>
                      <w:vertAlign w:val="baseline"/>
                      <w:lang w:val="en-US" w:eastAsia="zh-CN" w:bidi="ar-SA"/>
                    </w:rPr>
                  </w:pPr>
                  <w:r>
                    <w:rPr>
                      <w:rFonts w:hint="eastAsia"/>
                      <w:b w:val="0"/>
                      <w:bCs w:val="0"/>
                      <w:color w:val="FF0000"/>
                      <w:sz w:val="20"/>
                      <w:szCs w:val="20"/>
                      <w:lang w:val="en-US" w:eastAsia="zh-CN"/>
                    </w:rPr>
                    <w:t>SS</w:t>
                  </w:r>
                </w:p>
              </w:tc>
              <w:tc>
                <w:tcPr>
                  <w:tcW w:w="1000" w:type="pct"/>
                  <w:vMerge w:val="continue"/>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val="0"/>
                      <w:bCs w:val="0"/>
                      <w:caps w:val="0"/>
                      <w:color w:val="FF0000"/>
                      <w:kern w:val="2"/>
                      <w:sz w:val="20"/>
                      <w:szCs w:val="20"/>
                      <w:highlight w:val="none"/>
                      <w:vertAlign w:val="baseline"/>
                      <w:lang w:val="en-US" w:eastAsia="zh-CN" w:bidi="ar-SA"/>
                    </w:rPr>
                  </w:pPr>
                </w:p>
              </w:tc>
              <w:tc>
                <w:tcPr>
                  <w:tcW w:w="1000"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val="0"/>
                      <w:bCs w:val="0"/>
                      <w:caps w:val="0"/>
                      <w:color w:val="FF0000"/>
                      <w:kern w:val="2"/>
                      <w:sz w:val="20"/>
                      <w:szCs w:val="20"/>
                      <w:highlight w:val="none"/>
                      <w:vertAlign w:val="baseline"/>
                      <w:lang w:val="en-US" w:eastAsia="zh-CN" w:bidi="ar-SA"/>
                    </w:rPr>
                  </w:pPr>
                  <w:r>
                    <w:rPr>
                      <w:rFonts w:hint="eastAsia" w:ascii="Times New Roman" w:hAnsi="Times New Roman" w:eastAsia="宋体" w:cs="Times New Roman"/>
                      <w:b w:val="0"/>
                      <w:bCs w:val="0"/>
                      <w:caps w:val="0"/>
                      <w:color w:val="FF0000"/>
                      <w:sz w:val="20"/>
                      <w:szCs w:val="20"/>
                      <w:highlight w:val="none"/>
                      <w:vertAlign w:val="baseline"/>
                      <w:lang w:val="en-US" w:eastAsia="zh-CN"/>
                    </w:rPr>
                    <w:t>400</w:t>
                  </w:r>
                </w:p>
              </w:tc>
              <w:tc>
                <w:tcPr>
                  <w:tcW w:w="999" w:type="pct"/>
                  <w:tcBorders>
                    <w:tl2br w:val="nil"/>
                    <w:tr2bl w:val="nil"/>
                  </w:tcBorders>
                  <w:shd w:val="clear" w:color="auto" w:fill="auto"/>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auto"/>
                    <w:rPr>
                      <w:rFonts w:hint="eastAsia" w:ascii="Times New Roman" w:hAnsi="Times New Roman" w:eastAsia="宋体" w:cs="Times New Roman"/>
                      <w:b w:val="0"/>
                      <w:bCs w:val="0"/>
                      <w:caps w:val="0"/>
                      <w:color w:val="FF0000"/>
                      <w:kern w:val="2"/>
                      <w:sz w:val="20"/>
                      <w:szCs w:val="20"/>
                      <w:highlight w:val="none"/>
                      <w:vertAlign w:val="baseline"/>
                      <w:lang w:val="en-US" w:eastAsia="zh-CN" w:bidi="ar-SA"/>
                    </w:rPr>
                  </w:pPr>
                  <w:r>
                    <w:rPr>
                      <w:rFonts w:hint="eastAsia" w:cs="Times New Roman"/>
                      <w:b w:val="0"/>
                      <w:bCs w:val="0"/>
                      <w:caps w:val="0"/>
                      <w:color w:val="FF0000"/>
                      <w:sz w:val="20"/>
                      <w:szCs w:val="20"/>
                      <w:highlight w:val="none"/>
                      <w:vertAlign w:val="baseline"/>
                      <w:lang w:val="en-US" w:eastAsia="zh-CN"/>
                    </w:rPr>
                    <w:t>300</w:t>
                  </w:r>
                </w:p>
              </w:tc>
              <w:tc>
                <w:tcPr>
                  <w:tcW w:w="1623" w:type="dxa"/>
                  <w:tcBorders>
                    <w:tl2br w:val="nil"/>
                    <w:tr2bl w:val="nil"/>
                  </w:tcBorders>
                  <w:shd w:val="clear" w:color="auto" w:fill="auto"/>
                  <w:noWrap w:val="0"/>
                  <w:vAlign w:val="center"/>
                </w:tcPr>
                <w:p>
                  <w:pPr>
                    <w:keepNext w:val="0"/>
                    <w:keepLines w:val="0"/>
                    <w:widowControl w:val="0"/>
                    <w:suppressLineNumbers w:val="0"/>
                    <w:spacing w:line="320" w:lineRule="exact"/>
                    <w:jc w:val="center"/>
                    <w:textAlignment w:val="auto"/>
                    <w:rPr>
                      <w:rFonts w:hint="default" w:ascii="Times New Roman" w:hAnsi="Times New Roman" w:eastAsia="宋体" w:cs="Times New Roman"/>
                      <w:b w:val="0"/>
                      <w:bCs w:val="0"/>
                      <w:caps w:val="0"/>
                      <w:color w:val="FF0000"/>
                      <w:kern w:val="2"/>
                      <w:sz w:val="20"/>
                      <w:szCs w:val="20"/>
                      <w:highlight w:val="none"/>
                      <w:vertAlign w:val="baseline"/>
                      <w:lang w:val="en-US" w:eastAsia="zh-CN" w:bidi="ar-SA"/>
                    </w:rPr>
                  </w:pPr>
                  <w:r>
                    <w:rPr>
                      <w:rFonts w:hint="eastAsia" w:cs="Times New Roman"/>
                      <w:b w:val="0"/>
                      <w:bCs w:val="0"/>
                      <w:caps w:val="0"/>
                      <w:color w:val="FF0000"/>
                      <w:kern w:val="2"/>
                      <w:sz w:val="20"/>
                      <w:szCs w:val="20"/>
                      <w:highlight w:val="none"/>
                      <w:vertAlign w:val="baseline"/>
                      <w:lang w:val="en-US" w:eastAsia="zh-CN" w:bidi="ar-SA"/>
                    </w:rPr>
                    <w:t>2.557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caps w:val="0"/>
                      <w:color w:val="FF0000"/>
                      <w:kern w:val="2"/>
                      <w:sz w:val="20"/>
                      <w:szCs w:val="20"/>
                      <w:highlight w:val="none"/>
                      <w:vertAlign w:val="baseline"/>
                      <w:lang w:val="en-US" w:eastAsia="zh-CN" w:bidi="ar-SA"/>
                    </w:rPr>
                  </w:pPr>
                  <w:r>
                    <w:rPr>
                      <w:rFonts w:hint="eastAsia" w:ascii="Times New Roman" w:hAnsi="Times New Roman" w:eastAsia="宋体" w:cs="Times New Roman"/>
                      <w:caps w:val="0"/>
                      <w:color w:val="FF0000"/>
                      <w:sz w:val="20"/>
                      <w:szCs w:val="20"/>
                      <w:highlight w:val="none"/>
                      <w:vertAlign w:val="baseline"/>
                      <w:lang w:val="en-US" w:eastAsia="zh-CN"/>
                    </w:rPr>
                    <w:t>氨氮</w:t>
                  </w:r>
                </w:p>
              </w:tc>
              <w:tc>
                <w:tcPr>
                  <w:tcW w:w="100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val="0"/>
                      <w:bCs w:val="0"/>
                      <w:caps w:val="0"/>
                      <w:color w:val="FF0000"/>
                      <w:sz w:val="20"/>
                      <w:szCs w:val="20"/>
                      <w:highlight w:val="none"/>
                      <w:vertAlign w:val="baseline"/>
                      <w:lang w:val="en-US" w:eastAsia="zh-CN"/>
                    </w:rPr>
                  </w:pPr>
                </w:p>
              </w:tc>
              <w:tc>
                <w:tcPr>
                  <w:tcW w:w="10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45</w:t>
                  </w:r>
                </w:p>
              </w:tc>
              <w:tc>
                <w:tcPr>
                  <w:tcW w:w="9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300</w:t>
                  </w:r>
                </w:p>
              </w:tc>
              <w:tc>
                <w:tcPr>
                  <w:tcW w:w="1623" w:type="dxa"/>
                  <w:tcBorders>
                    <w:tl2br w:val="nil"/>
                    <w:tr2bl w:val="nil"/>
                  </w:tcBorders>
                  <w:noWrap w:val="0"/>
                  <w:vAlign w:val="center"/>
                </w:tcPr>
                <w:p>
                  <w:pPr>
                    <w:keepNext w:val="0"/>
                    <w:keepLines w:val="0"/>
                    <w:widowControl w:val="0"/>
                    <w:suppressLineNumbers w:val="0"/>
                    <w:spacing w:line="320" w:lineRule="exact"/>
                    <w:jc w:val="center"/>
                    <w:textAlignment w:val="auto"/>
                    <w:rPr>
                      <w:rFonts w:hint="default" w:ascii="Times New Roman" w:hAnsi="Times New Roman" w:eastAsia="宋体" w:cs="Times New Roman"/>
                      <w:b w:val="0"/>
                      <w:bCs w:val="0"/>
                      <w:caps w:val="0"/>
                      <w:color w:val="FF0000"/>
                      <w:sz w:val="20"/>
                      <w:szCs w:val="20"/>
                      <w:highlight w:val="none"/>
                      <w:lang w:val="en-US" w:eastAsia="zh-CN"/>
                    </w:rPr>
                  </w:pPr>
                  <w:r>
                    <w:rPr>
                      <w:rFonts w:hint="eastAsia" w:cs="Times New Roman"/>
                      <w:b w:val="0"/>
                      <w:bCs w:val="0"/>
                      <w:caps w:val="0"/>
                      <w:color w:val="FF0000"/>
                      <w:sz w:val="20"/>
                      <w:szCs w:val="20"/>
                      <w:highlight w:val="none"/>
                      <w:lang w:val="en-US" w:eastAsia="zh-CN"/>
                    </w:rPr>
                    <w:t>0.2877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b w:val="0"/>
                      <w:bCs w:val="0"/>
                      <w:color w:val="FF0000"/>
                      <w:sz w:val="20"/>
                      <w:szCs w:val="20"/>
                      <w:lang w:val="en-US" w:eastAsia="zh-CN"/>
                    </w:rPr>
                    <w:t>TP</w:t>
                  </w:r>
                </w:p>
              </w:tc>
              <w:tc>
                <w:tcPr>
                  <w:tcW w:w="100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p>
              </w:tc>
              <w:tc>
                <w:tcPr>
                  <w:tcW w:w="10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ascii="Times New Roman" w:hAnsi="Times New Roman" w:eastAsia="宋体" w:cs="Times New Roman"/>
                      <w:b w:val="0"/>
                      <w:bCs w:val="0"/>
                      <w:caps w:val="0"/>
                      <w:color w:val="FF0000"/>
                      <w:sz w:val="20"/>
                      <w:szCs w:val="20"/>
                      <w:highlight w:val="none"/>
                      <w:vertAlign w:val="baseline"/>
                      <w:lang w:val="en-US" w:eastAsia="zh-CN"/>
                    </w:rPr>
                    <w:t>8</w:t>
                  </w:r>
                </w:p>
              </w:tc>
              <w:tc>
                <w:tcPr>
                  <w:tcW w:w="9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300</w:t>
                  </w:r>
                </w:p>
              </w:tc>
              <w:tc>
                <w:tcPr>
                  <w:tcW w:w="1623" w:type="dxa"/>
                  <w:tcBorders>
                    <w:tl2br w:val="nil"/>
                    <w:tr2bl w:val="nil"/>
                  </w:tcBorders>
                  <w:noWrap w:val="0"/>
                  <w:vAlign w:val="center"/>
                </w:tcPr>
                <w:p>
                  <w:pPr>
                    <w:keepNext w:val="0"/>
                    <w:keepLines w:val="0"/>
                    <w:widowControl w:val="0"/>
                    <w:suppressLineNumbers w:val="0"/>
                    <w:spacing w:line="320" w:lineRule="exact"/>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0.0512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97"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val="0"/>
                      <w:bCs w:val="0"/>
                      <w:caps w:val="0"/>
                      <w:color w:val="FF0000"/>
                      <w:sz w:val="20"/>
                      <w:szCs w:val="20"/>
                      <w:highlight w:val="none"/>
                      <w:vertAlign w:val="baseline"/>
                      <w:lang w:val="en-US" w:eastAsia="zh-CN"/>
                    </w:rPr>
                  </w:pPr>
                  <w:r>
                    <w:rPr>
                      <w:rFonts w:hint="eastAsia"/>
                      <w:b w:val="0"/>
                      <w:bCs w:val="0"/>
                      <w:color w:val="FF0000"/>
                      <w:sz w:val="20"/>
                      <w:szCs w:val="20"/>
                      <w:lang w:val="en-US" w:eastAsia="zh-CN"/>
                    </w:rPr>
                    <w:t>TN</w:t>
                  </w:r>
                </w:p>
              </w:tc>
              <w:tc>
                <w:tcPr>
                  <w:tcW w:w="1000"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eastAsia" w:ascii="Times New Roman" w:hAnsi="Times New Roman" w:eastAsia="宋体" w:cs="Times New Roman"/>
                      <w:b w:val="0"/>
                      <w:bCs w:val="0"/>
                      <w:caps w:val="0"/>
                      <w:color w:val="FF0000"/>
                      <w:sz w:val="20"/>
                      <w:szCs w:val="20"/>
                      <w:highlight w:val="none"/>
                      <w:vertAlign w:val="baseline"/>
                      <w:lang w:val="en-US" w:eastAsia="zh-CN"/>
                    </w:rPr>
                  </w:pPr>
                </w:p>
              </w:tc>
              <w:tc>
                <w:tcPr>
                  <w:tcW w:w="1000"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firstLine="0" w:firstLineChars="0"/>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ascii="Times New Roman" w:hAnsi="Times New Roman" w:eastAsia="宋体" w:cs="Times New Roman"/>
                      <w:b w:val="0"/>
                      <w:bCs w:val="0"/>
                      <w:caps w:val="0"/>
                      <w:color w:val="FF0000"/>
                      <w:sz w:val="20"/>
                      <w:szCs w:val="20"/>
                      <w:highlight w:val="none"/>
                      <w:vertAlign w:val="baseline"/>
                      <w:lang w:val="en-US" w:eastAsia="zh-CN"/>
                    </w:rPr>
                    <w:t>70</w:t>
                  </w:r>
                </w:p>
              </w:tc>
              <w:tc>
                <w:tcPr>
                  <w:tcW w:w="999"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leftChars="0" w:right="0" w:firstLine="0" w:firstLineChars="0"/>
                    <w:jc w:val="center"/>
                    <w:textAlignment w:val="auto"/>
                    <w:rPr>
                      <w:rFonts w:hint="eastAsia"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300</w:t>
                  </w:r>
                </w:p>
              </w:tc>
              <w:tc>
                <w:tcPr>
                  <w:tcW w:w="1623" w:type="dxa"/>
                  <w:tcBorders>
                    <w:tl2br w:val="nil"/>
                    <w:tr2bl w:val="nil"/>
                  </w:tcBorders>
                  <w:noWrap w:val="0"/>
                  <w:vAlign w:val="center"/>
                </w:tcPr>
                <w:p>
                  <w:pPr>
                    <w:keepNext w:val="0"/>
                    <w:keepLines w:val="0"/>
                    <w:widowControl w:val="0"/>
                    <w:suppressLineNumbers w:val="0"/>
                    <w:spacing w:line="320" w:lineRule="exact"/>
                    <w:jc w:val="center"/>
                    <w:textAlignment w:val="auto"/>
                    <w:rPr>
                      <w:rFonts w:hint="default" w:ascii="Times New Roman" w:hAnsi="Times New Roman" w:eastAsia="宋体" w:cs="Times New Roman"/>
                      <w:b w:val="0"/>
                      <w:bCs w:val="0"/>
                      <w:caps w:val="0"/>
                      <w:color w:val="FF0000"/>
                      <w:sz w:val="20"/>
                      <w:szCs w:val="20"/>
                      <w:highlight w:val="none"/>
                      <w:vertAlign w:val="baseline"/>
                      <w:lang w:val="en-US" w:eastAsia="zh-CN"/>
                    </w:rPr>
                  </w:pPr>
                  <w:r>
                    <w:rPr>
                      <w:rFonts w:hint="eastAsia" w:cs="Times New Roman"/>
                      <w:b w:val="0"/>
                      <w:bCs w:val="0"/>
                      <w:caps w:val="0"/>
                      <w:color w:val="FF0000"/>
                      <w:sz w:val="20"/>
                      <w:szCs w:val="20"/>
                      <w:highlight w:val="none"/>
                      <w:vertAlign w:val="baseline"/>
                      <w:lang w:val="en-US" w:eastAsia="zh-CN"/>
                    </w:rPr>
                    <w:t>0.4476</w:t>
                  </w:r>
                </w:p>
              </w:tc>
            </w:tr>
          </w:tbl>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FF0000"/>
                <w:sz w:val="21"/>
                <w:szCs w:val="21"/>
                <w:lang w:val="en-US" w:eastAsia="zh-CN"/>
              </w:rPr>
            </w:pPr>
            <w:r>
              <w:rPr>
                <w:rFonts w:hint="eastAsia" w:ascii="Times New Roman" w:hAnsi="Times New Roman" w:eastAsia="宋体" w:cs="Times New Roman"/>
                <w:b w:val="0"/>
                <w:bCs w:val="0"/>
                <w:color w:val="FF0000"/>
                <w:sz w:val="21"/>
                <w:szCs w:val="21"/>
                <w:lang w:val="en-US" w:eastAsia="zh-CN"/>
              </w:rPr>
              <w:t>（3）排污申报总量核算对比统计</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FF0000"/>
                <w:sz w:val="21"/>
                <w:szCs w:val="21"/>
                <w:lang w:val="en-US" w:eastAsia="zh-CN"/>
              </w:rPr>
            </w:pPr>
            <w:r>
              <w:rPr>
                <w:rFonts w:hint="eastAsia" w:ascii="Times New Roman" w:hAnsi="Times New Roman" w:eastAsia="宋体" w:cs="Times New Roman"/>
                <w:b w:val="0"/>
                <w:bCs w:val="0"/>
                <w:color w:val="FF0000"/>
                <w:sz w:val="21"/>
                <w:szCs w:val="21"/>
                <w:lang w:val="en-US" w:eastAsia="zh-CN"/>
              </w:rPr>
              <w:t>按照“总量控制要求包括地方政府或环保部门发文确定的企业总量控制指标、环评文件及其批复中确定的总量控制指标等地方政府或环保部门与排污许可证申领企业以一定形式确认的总量控制指标”要求取严，根据上述计算方式取严，确定本项目建成后全厂排污许可申报量，结果经对比，本报告中核算结果小于排污许可核算量，故本报告所选系数合适。</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FF0000"/>
                <w:sz w:val="21"/>
                <w:szCs w:val="21"/>
                <w:lang w:val="en-US" w:eastAsia="zh-CN"/>
              </w:rPr>
            </w:pPr>
            <w:r>
              <w:rPr>
                <w:rFonts w:hint="eastAsia" w:ascii="Times New Roman" w:hAnsi="Times New Roman" w:eastAsia="宋体" w:cs="Times New Roman"/>
                <w:b w:val="0"/>
                <w:bCs w:val="0"/>
                <w:color w:val="FF0000"/>
                <w:sz w:val="21"/>
                <w:szCs w:val="21"/>
                <w:lang w:val="en-US" w:eastAsia="zh-CN"/>
              </w:rPr>
              <w:t>3、排污许可管理类型</w:t>
            </w:r>
          </w:p>
          <w:p>
            <w:pPr>
              <w:pStyle w:val="835"/>
              <w:pageBreakBefore w:val="0"/>
              <w:kinsoku/>
              <w:wordWrap/>
              <w:overflowPunct/>
              <w:topLinePunct w:val="0"/>
              <w:autoSpaceDE/>
              <w:autoSpaceDN/>
              <w:bidi w:val="0"/>
              <w:spacing w:line="360" w:lineRule="auto"/>
              <w:ind w:firstLine="420" w:firstLineChars="200"/>
              <w:textAlignment w:val="auto"/>
              <w:rPr>
                <w:rFonts w:hint="default" w:eastAsia="宋体"/>
                <w:color w:val="FF0000"/>
                <w:sz w:val="21"/>
                <w:szCs w:val="21"/>
                <w:lang w:val="en-US" w:eastAsia="zh-CN"/>
              </w:rPr>
            </w:pPr>
            <w:r>
              <w:rPr>
                <w:rFonts w:hint="eastAsia"/>
                <w:color w:val="FF0000"/>
                <w:sz w:val="21"/>
                <w:szCs w:val="21"/>
              </w:rPr>
              <w:t>本项目行业类别为</w:t>
            </w:r>
            <w:r>
              <w:rPr>
                <w:rFonts w:hint="eastAsia"/>
                <w:color w:val="FF0000"/>
                <w:szCs w:val="21"/>
              </w:rPr>
              <w:t>C1789其他产业用纺织制成品制造</w:t>
            </w:r>
            <w:r>
              <w:rPr>
                <w:rFonts w:hint="eastAsia"/>
                <w:color w:val="FF0000"/>
                <w:sz w:val="21"/>
                <w:szCs w:val="21"/>
              </w:rPr>
              <w:t>，对照《固定污染源排污许可分类管理名录》（2019 年版），</w:t>
            </w:r>
            <w:r>
              <w:rPr>
                <w:rFonts w:hint="eastAsia"/>
                <w:color w:val="FF0000"/>
                <w:sz w:val="21"/>
                <w:szCs w:val="21"/>
                <w:lang w:val="en-US" w:eastAsia="zh-CN"/>
              </w:rPr>
              <w:t>十二、纺织业17产业用纺织制成品制造178，需对照通用工序判定，对照五十一、通用工序109锅炉，本项目属于除纳入重点排污单位名录的，单台且合计出力20吨/小时（14兆瓦）以下的锅炉（不含电热锅炉），为登记管理。</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FF0000"/>
                <w:sz w:val="21"/>
                <w:szCs w:val="21"/>
                <w:lang w:val="en-US" w:eastAsia="zh-CN"/>
              </w:rPr>
            </w:pPr>
            <w:r>
              <w:rPr>
                <w:rFonts w:hint="eastAsia" w:ascii="Times New Roman" w:hAnsi="Times New Roman" w:eastAsia="宋体" w:cs="Times New Roman"/>
                <w:b w:val="0"/>
                <w:bCs w:val="0"/>
                <w:color w:val="FF0000"/>
                <w:sz w:val="21"/>
                <w:szCs w:val="21"/>
                <w:lang w:val="en-US" w:eastAsia="zh-CN"/>
              </w:rPr>
              <w:t>4、平衡方案</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Times New Roman" w:hAnsi="Times New Roman" w:eastAsia="宋体" w:cs="Times New Roman"/>
                <w:b w:val="0"/>
                <w:bCs w:val="0"/>
                <w:color w:val="FF0000"/>
                <w:sz w:val="21"/>
                <w:szCs w:val="21"/>
                <w:lang w:val="en-US" w:eastAsia="zh-CN"/>
              </w:rPr>
            </w:pPr>
            <w:r>
              <w:rPr>
                <w:rFonts w:hint="eastAsia" w:ascii="Times New Roman" w:hAnsi="Times New Roman" w:eastAsia="宋体" w:cs="Times New Roman"/>
                <w:b w:val="0"/>
                <w:bCs w:val="0"/>
                <w:color w:val="FF0000"/>
                <w:sz w:val="21"/>
                <w:szCs w:val="21"/>
                <w:lang w:val="en-US" w:eastAsia="zh-CN"/>
              </w:rPr>
              <w:t>根据《南通市如皋生态环境局关于建设项目总量平衡相关问题的函》以及《关于进一步优化建设项目排污总量指标管理提升环评审批效能的意见（试行）》（通环办〔2023〕132号），本项目为新建项目，排污许可管理类型为登记管理，因此本项目无需实施总量平衡。</w:t>
            </w:r>
          </w:p>
          <w:p>
            <w:pPr>
              <w:pStyle w:val="835"/>
              <w:pageBreakBefore w:val="0"/>
              <w:kinsoku/>
              <w:wordWrap/>
              <w:overflowPunct/>
              <w:topLinePunct w:val="0"/>
              <w:autoSpaceDE/>
              <w:autoSpaceDN/>
              <w:bidi w:val="0"/>
              <w:spacing w:line="360" w:lineRule="auto"/>
              <w:ind w:firstLine="420" w:firstLineChars="200"/>
              <w:textAlignment w:val="auto"/>
              <w:rPr>
                <w:rFonts w:hint="eastAsia"/>
                <w:color w:val="FF0000"/>
                <w:sz w:val="21"/>
                <w:szCs w:val="21"/>
              </w:rPr>
            </w:pPr>
          </w:p>
          <w:p>
            <w:pPr>
              <w:pStyle w:val="835"/>
              <w:ind w:firstLine="0" w:firstLineChars="0"/>
              <w:rPr>
                <w:rFonts w:hint="eastAsia"/>
                <w:color w:val="auto"/>
                <w:sz w:val="21"/>
                <w:szCs w:val="21"/>
              </w:rPr>
            </w:pPr>
          </w:p>
        </w:tc>
      </w:tr>
    </w:tbl>
    <w:p>
      <w:pPr>
        <w:pStyle w:val="82"/>
        <w:jc w:val="center"/>
        <w:outlineLvl w:val="0"/>
        <w:rPr>
          <w:rFonts w:ascii="Times New Roman" w:hAnsi="Times New Roman"/>
          <w:snapToGrid w:val="0"/>
          <w:color w:val="auto"/>
          <w:sz w:val="30"/>
          <w:szCs w:val="30"/>
        </w:rPr>
      </w:pPr>
      <w:r>
        <w:rPr>
          <w:rFonts w:ascii="Times New Roman" w:hAnsi="Times New Roman"/>
          <w:snapToGrid w:val="0"/>
          <w:color w:val="auto"/>
          <w:sz w:val="36"/>
          <w:szCs w:val="36"/>
        </w:rPr>
        <w:br w:type="page"/>
      </w:r>
      <w:r>
        <w:rPr>
          <w:rFonts w:ascii="Times New Roman" w:hAnsi="Times New Roman"/>
          <w:snapToGrid w:val="0"/>
          <w:color w:val="auto"/>
          <w:sz w:val="30"/>
          <w:szCs w:val="30"/>
        </w:rPr>
        <w:t>四、主要环境影响和保护措施</w:t>
      </w: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8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46" w:hRule="atLeast"/>
          <w:jc w:val="center"/>
        </w:trPr>
        <w:tc>
          <w:tcPr>
            <w:tcW w:w="416" w:type="dxa"/>
            <w:tcMar>
              <w:left w:w="113" w:type="dxa"/>
              <w:right w:w="113" w:type="dxa"/>
            </w:tcMar>
            <w:vAlign w:val="center"/>
          </w:tcPr>
          <w:p>
            <w:pPr>
              <w:pStyle w:val="82"/>
              <w:adjustRightInd w:val="0"/>
              <w:snapToGrid w:val="0"/>
              <w:spacing w:before="0" w:beforeAutospacing="0" w:after="0" w:afterAutospacing="0"/>
              <w:jc w:val="center"/>
              <w:rPr>
                <w:rFonts w:ascii="Times New Roman" w:hAnsi="Times New Roman"/>
                <w:bCs/>
                <w:color w:val="auto"/>
                <w:kern w:val="2"/>
                <w:sz w:val="21"/>
                <w:szCs w:val="21"/>
                <w:lang w:val="en-US"/>
              </w:rPr>
            </w:pPr>
            <w:r>
              <w:rPr>
                <w:rFonts w:ascii="Times New Roman" w:hAnsi="Times New Roman"/>
                <w:color w:val="auto"/>
                <w:kern w:val="2"/>
                <w:sz w:val="21"/>
                <w:szCs w:val="21"/>
                <w:lang w:val="en-US"/>
              </w:rPr>
              <w:t>施工期环境保护措施</w:t>
            </w:r>
          </w:p>
        </w:tc>
        <w:tc>
          <w:tcPr>
            <w:tcW w:w="9355" w:type="dxa"/>
            <w:vAlign w:val="center"/>
          </w:tcPr>
          <w:p>
            <w:pPr>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rFonts w:hint="eastAsia" w:ascii="Times New Roman" w:hAnsi="Times New Roman" w:eastAsia="宋体" w:cs="Times New Roman"/>
                <w:b/>
                <w:bCs/>
                <w:color w:val="auto"/>
                <w:kern w:val="0"/>
                <w:szCs w:val="21"/>
              </w:rPr>
            </w:pPr>
            <w:r>
              <w:rPr>
                <w:rFonts w:hint="eastAsia" w:ascii="Times New Roman" w:hAnsi="Times New Roman" w:eastAsia="宋体" w:cs="Times New Roman"/>
                <w:b/>
                <w:bCs/>
                <w:color w:val="auto"/>
                <w:kern w:val="0"/>
                <w:szCs w:val="21"/>
              </w:rPr>
              <w:t>（1）废气防治措施</w:t>
            </w:r>
          </w:p>
          <w:p>
            <w:pPr>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bCs/>
                <w:color w:val="auto"/>
                <w:spacing w:val="-10"/>
                <w:szCs w:val="21"/>
              </w:rPr>
            </w:pPr>
            <w:r>
              <w:rPr>
                <w:rFonts w:hint="eastAsia" w:ascii="Times New Roman" w:hAnsi="Times New Roman" w:eastAsia="宋体" w:cs="Times New Roman"/>
                <w:color w:val="auto"/>
                <w:kern w:val="0"/>
                <w:szCs w:val="21"/>
              </w:rPr>
              <w:t>本项目租赁现有生产用房进行生产，不需新建厂房，施工期无土建作业，仅进行厂房内进行设备安装调试等，施工期对环境基本无影响。</w:t>
            </w:r>
          </w:p>
        </w:tc>
      </w:tr>
    </w:tbl>
    <w:p>
      <w:pPr>
        <w:rPr>
          <w:color w:val="auto"/>
        </w:rPr>
      </w:pPr>
    </w:p>
    <w:p>
      <w:pPr>
        <w:rPr>
          <w:color w:val="auto"/>
        </w:rPr>
        <w:sectPr>
          <w:pgSz w:w="11907" w:h="16840"/>
          <w:pgMar w:top="1418" w:right="1418" w:bottom="1418" w:left="1418" w:header="851" w:footer="851" w:gutter="0"/>
          <w:pgBorders>
            <w:top w:val="none" w:sz="0" w:space="0"/>
            <w:left w:val="none" w:sz="0" w:space="0"/>
            <w:bottom w:val="none" w:sz="0" w:space="0"/>
            <w:right w:val="none" w:sz="0" w:space="0"/>
          </w:pgBorders>
          <w:cols w:space="720" w:num="1"/>
          <w:docGrid w:linePitch="312" w:charSpace="0"/>
        </w:sectPr>
      </w:pP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8"/>
        <w:gridCol w:w="834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99" w:hRule="atLeast"/>
          <w:jc w:val="center"/>
        </w:trPr>
        <w:tc>
          <w:tcPr>
            <w:tcW w:w="699" w:type="dxa"/>
            <w:tcMar>
              <w:left w:w="113" w:type="dxa"/>
              <w:right w:w="113" w:type="dxa"/>
            </w:tcMar>
            <w:vAlign w:val="center"/>
          </w:tcPr>
          <w:p>
            <w:pPr>
              <w:adjustRightInd w:val="0"/>
              <w:snapToGrid w:val="0"/>
              <w:jc w:val="center"/>
              <w:rPr>
                <w:bCs/>
                <w:color w:val="auto"/>
                <w:szCs w:val="21"/>
              </w:rPr>
            </w:pPr>
            <w:r>
              <w:rPr>
                <w:bCs/>
                <w:color w:val="auto"/>
                <w:szCs w:val="21"/>
              </w:rPr>
              <w:t>运营期环境影响和保护措施</w:t>
            </w:r>
          </w:p>
        </w:tc>
        <w:tc>
          <w:tcPr>
            <w:tcW w:w="8126" w:type="dxa"/>
            <w:vAlign w:val="center"/>
          </w:tcPr>
          <w:p>
            <w:pPr>
              <w:autoSpaceDE w:val="0"/>
              <w:autoSpaceDN w:val="0"/>
              <w:adjustRightInd w:val="0"/>
              <w:snapToGrid w:val="0"/>
              <w:spacing w:line="400" w:lineRule="exact"/>
              <w:ind w:firstLine="422" w:firstLineChars="200"/>
              <w:rPr>
                <w:rFonts w:hint="eastAsia"/>
                <w:b/>
                <w:bCs/>
                <w:color w:val="auto"/>
                <w:kern w:val="0"/>
                <w:szCs w:val="21"/>
                <w:lang w:val="en-US" w:eastAsia="zh-CN"/>
              </w:rPr>
            </w:pPr>
            <w:bookmarkStart w:id="16" w:name="_Hlk86923520"/>
            <w:r>
              <w:rPr>
                <w:rFonts w:hint="eastAsia"/>
                <w:b/>
                <w:bCs/>
                <w:color w:val="auto"/>
                <w:kern w:val="0"/>
                <w:szCs w:val="21"/>
                <w:lang w:val="en-US" w:eastAsia="zh-CN"/>
              </w:rPr>
              <w:t>1、废气</w:t>
            </w:r>
          </w:p>
          <w:p>
            <w:pPr>
              <w:autoSpaceDE w:val="0"/>
              <w:autoSpaceDN w:val="0"/>
              <w:adjustRightInd w:val="0"/>
              <w:snapToGrid w:val="0"/>
              <w:spacing w:line="400" w:lineRule="exact"/>
              <w:ind w:firstLine="422" w:firstLineChars="200"/>
              <w:rPr>
                <w:rFonts w:hint="eastAsia"/>
                <w:b/>
                <w:bCs/>
                <w:color w:val="auto"/>
                <w:kern w:val="0"/>
                <w:szCs w:val="21"/>
                <w:lang w:val="en-US" w:eastAsia="zh-CN"/>
              </w:rPr>
            </w:pPr>
            <w:r>
              <w:rPr>
                <w:rFonts w:hint="eastAsia"/>
                <w:b/>
                <w:bCs/>
                <w:color w:val="auto"/>
                <w:kern w:val="0"/>
                <w:szCs w:val="21"/>
                <w:lang w:val="en-US" w:eastAsia="zh-CN"/>
              </w:rPr>
              <w:t>（1）</w:t>
            </w:r>
            <w:r>
              <w:rPr>
                <w:rFonts w:hint="default" w:ascii="Times New Roman" w:hAnsi="Times New Roman" w:eastAsia="宋体" w:cs="Times New Roman"/>
                <w:b/>
                <w:bCs/>
                <w:color w:val="auto"/>
                <w:sz w:val="21"/>
                <w:szCs w:val="21"/>
                <w:lang w:val="en-US" w:eastAsia="zh-CN"/>
              </w:rPr>
              <w:t>废气污染物排放源情况</w:t>
            </w:r>
          </w:p>
          <w:p>
            <w:pPr>
              <w:autoSpaceDE w:val="0"/>
              <w:autoSpaceDN w:val="0"/>
              <w:adjustRightInd w:val="0"/>
              <w:snapToGrid w:val="0"/>
              <w:spacing w:line="400" w:lineRule="exact"/>
              <w:ind w:firstLine="420" w:firstLineChars="200"/>
              <w:rPr>
                <w:rFonts w:hint="eastAsia"/>
                <w:color w:val="auto"/>
                <w:kern w:val="0"/>
                <w:szCs w:val="21"/>
                <w:lang w:val="en-US" w:eastAsia="zh-CN"/>
              </w:rPr>
            </w:pPr>
            <w:r>
              <w:rPr>
                <w:rFonts w:hint="eastAsia"/>
                <w:color w:val="auto"/>
                <w:kern w:val="0"/>
                <w:szCs w:val="21"/>
                <w:lang w:val="en-US" w:eastAsia="zh-CN"/>
              </w:rPr>
              <w:t>本项目废气主要为拉毛废气G1、定型废气G2、刷呢废气G3、剪毛废气G4、烫光废气G5、摇粒废气G6、蒸呢废气G7和生物质燃烧废气G8、G9。</w:t>
            </w:r>
          </w:p>
          <w:p>
            <w:pPr>
              <w:autoSpaceDE w:val="0"/>
              <w:autoSpaceDN w:val="0"/>
              <w:adjustRightInd w:val="0"/>
              <w:snapToGrid w:val="0"/>
              <w:spacing w:line="400" w:lineRule="exact"/>
              <w:ind w:firstLine="420" w:firstLineChars="200"/>
              <w:rPr>
                <w:rFonts w:hint="eastAsia"/>
                <w:color w:val="FF0000"/>
                <w:kern w:val="0"/>
                <w:szCs w:val="21"/>
                <w:lang w:val="en-US" w:eastAsia="zh-CN"/>
              </w:rPr>
            </w:pPr>
            <w:bookmarkStart w:id="17" w:name="_Hlk86923320"/>
            <w:r>
              <w:rPr>
                <w:rFonts w:hint="eastAsia"/>
                <w:color w:val="FF0000"/>
                <w:kern w:val="0"/>
                <w:szCs w:val="21"/>
                <w:lang w:val="en-US" w:eastAsia="zh-CN"/>
              </w:rPr>
              <w:t>①拉毛废气G1、刷呢废气G3、剪毛废气G4、烫光废气G5、摇粒废气G6</w:t>
            </w:r>
          </w:p>
          <w:p>
            <w:pPr>
              <w:autoSpaceDE w:val="0"/>
              <w:autoSpaceDN w:val="0"/>
              <w:adjustRightInd w:val="0"/>
              <w:snapToGrid w:val="0"/>
              <w:spacing w:line="400" w:lineRule="exact"/>
              <w:ind w:firstLine="420" w:firstLineChars="200"/>
              <w:rPr>
                <w:ins w:id="4" w:author="zx" w:date="2026-04-30T00:32:26Z"/>
                <w:rFonts w:hint="eastAsia"/>
                <w:color w:val="FF0000"/>
                <w:kern w:val="0"/>
                <w:szCs w:val="21"/>
              </w:rPr>
            </w:pPr>
            <w:r>
              <w:rPr>
                <w:rFonts w:hint="eastAsia"/>
                <w:color w:val="FF0000"/>
                <w:kern w:val="0"/>
                <w:szCs w:val="21"/>
              </w:rPr>
              <w:t>经查实，源强核算指南、排污许可、系数手册无上述废气产生系数，</w:t>
            </w:r>
            <w:r>
              <w:rPr>
                <w:rFonts w:hint="eastAsia"/>
                <w:color w:val="FF0000"/>
                <w:kern w:val="0"/>
                <w:szCs w:val="21"/>
                <w:lang w:val="en-US" w:eastAsia="zh-CN"/>
              </w:rPr>
              <w:t>根据企业提供资料，</w:t>
            </w:r>
            <w:r>
              <w:rPr>
                <w:rFonts w:hint="eastAsia"/>
                <w:color w:val="FF0000"/>
                <w:kern w:val="0"/>
                <w:szCs w:val="21"/>
              </w:rPr>
              <w:t>拉毛、刷呢、剪毛、烫光、揺粒过程中颗粒物产生量以坯布量的0.05%计</w:t>
            </w:r>
            <w:r>
              <w:rPr>
                <w:rFonts w:hint="eastAsia" w:ascii="Times New Roman" w:hAnsi="Times New Roman" w:eastAsia="宋体" w:cs="Times New Roman"/>
                <w:color w:val="FF0000"/>
                <w:kern w:val="0"/>
                <w:szCs w:val="21"/>
                <w:lang w:eastAsia="zh-CN"/>
              </w:rPr>
              <w:t>（</w:t>
            </w:r>
            <w:r>
              <w:rPr>
                <w:rFonts w:hint="eastAsia" w:ascii="Times New Roman" w:hAnsi="Times New Roman" w:eastAsia="宋体" w:cs="Times New Roman"/>
                <w:color w:val="FF0000"/>
                <w:kern w:val="0"/>
                <w:szCs w:val="21"/>
                <w:lang w:val="en-US" w:eastAsia="zh-CN"/>
              </w:rPr>
              <w:t>本项目原料用布3100t/</w:t>
            </w:r>
            <w:r>
              <w:rPr>
                <w:rFonts w:hint="eastAsia" w:ascii="Times New Roman" w:hAnsi="Times New Roman" w:eastAsia="宋体" w:cs="Times New Roman"/>
                <w:color w:val="FF0000"/>
                <w:lang w:val="en-US" w:eastAsia="zh-CN"/>
              </w:rPr>
              <w:t>a</w:t>
            </w:r>
            <w:r>
              <w:rPr>
                <w:rFonts w:hint="eastAsia" w:ascii="Times New Roman" w:hAnsi="Times New Roman" w:eastAsia="宋体" w:cs="Times New Roman"/>
                <w:color w:val="FF0000"/>
                <w:lang w:eastAsia="zh-CN"/>
              </w:rPr>
              <w:t>）</w:t>
            </w:r>
            <w:r>
              <w:rPr>
                <w:rFonts w:hint="eastAsia"/>
                <w:color w:val="FF0000"/>
                <w:kern w:val="0"/>
                <w:szCs w:val="21"/>
              </w:rPr>
              <w:t>，本项目</w:t>
            </w:r>
            <w:r>
              <w:rPr>
                <w:rFonts w:hint="eastAsia"/>
                <w:color w:val="FF0000"/>
                <w:kern w:val="0"/>
                <w:szCs w:val="21"/>
                <w:lang w:val="en-US" w:eastAsia="zh-CN"/>
              </w:rPr>
              <w:t>类比该项目产污系数，颗粒物</w:t>
            </w:r>
            <w:r>
              <w:rPr>
                <w:rFonts w:hint="eastAsia"/>
                <w:color w:val="FF0000"/>
                <w:kern w:val="0"/>
                <w:szCs w:val="21"/>
              </w:rPr>
              <w:t>产生量为7.7t/a。拉毛机、刷呢机、剪毛机、烫光机、揺粒机进行封闭生产，布料进出口为空气进气口，产生的废气经封闭车间</w:t>
            </w:r>
            <w:r>
              <w:rPr>
                <w:color w:val="FF0000"/>
                <w:szCs w:val="21"/>
              </w:rPr>
              <w:t>负压抽风</w:t>
            </w:r>
            <w:r>
              <w:rPr>
                <w:rFonts w:hint="eastAsia"/>
                <w:color w:val="FF0000"/>
                <w:szCs w:val="21"/>
              </w:rPr>
              <w:t>+集气罩</w:t>
            </w:r>
            <w:r>
              <w:rPr>
                <w:color w:val="FF0000"/>
                <w:szCs w:val="21"/>
              </w:rPr>
              <w:t>收集，捕集率9</w:t>
            </w:r>
            <w:r>
              <w:rPr>
                <w:rFonts w:hint="eastAsia"/>
                <w:color w:val="FF0000"/>
                <w:szCs w:val="21"/>
              </w:rPr>
              <w:t>9</w:t>
            </w:r>
            <w:r>
              <w:rPr>
                <w:color w:val="FF0000"/>
                <w:szCs w:val="21"/>
              </w:rPr>
              <w:t>%</w:t>
            </w:r>
            <w:r>
              <w:rPr>
                <w:rFonts w:hint="eastAsia"/>
                <w:color w:val="FF0000"/>
                <w:kern w:val="0"/>
                <w:szCs w:val="21"/>
              </w:rPr>
              <w:t>，收集后送</w:t>
            </w:r>
            <w:r>
              <w:rPr>
                <w:rFonts w:hint="eastAsia"/>
                <w:color w:val="FF0000"/>
                <w:kern w:val="0"/>
                <w:szCs w:val="21"/>
                <w:lang w:val="en-US" w:eastAsia="zh-CN"/>
              </w:rPr>
              <w:t>布袋除尘</w:t>
            </w:r>
            <w:r>
              <w:rPr>
                <w:rFonts w:hint="eastAsia"/>
                <w:color w:val="FF0000"/>
                <w:kern w:val="0"/>
                <w:szCs w:val="21"/>
              </w:rPr>
              <w:t>装置收集处理，处理效率为</w:t>
            </w:r>
            <w:r>
              <w:rPr>
                <w:rFonts w:hint="eastAsia"/>
                <w:color w:val="FF0000"/>
                <w:kern w:val="0"/>
                <w:szCs w:val="21"/>
                <w:lang w:val="en-US" w:eastAsia="zh-CN"/>
              </w:rPr>
              <w:t>99</w:t>
            </w:r>
            <w:r>
              <w:rPr>
                <w:rFonts w:hint="eastAsia"/>
                <w:color w:val="FF0000"/>
                <w:kern w:val="0"/>
                <w:szCs w:val="21"/>
              </w:rPr>
              <w:t>%，则拉毛、刷呢、剪毛、烫光、揺粒过程有组织颗粒物排放量为</w:t>
            </w:r>
            <w:r>
              <w:rPr>
                <w:rFonts w:hint="eastAsia"/>
                <w:color w:val="FF0000"/>
                <w:kern w:val="0"/>
                <w:szCs w:val="21"/>
                <w:lang w:val="en-US" w:eastAsia="zh-CN"/>
              </w:rPr>
              <w:t>0.076</w:t>
            </w:r>
            <w:r>
              <w:rPr>
                <w:rFonts w:hint="eastAsia"/>
                <w:color w:val="FF0000"/>
                <w:kern w:val="0"/>
                <w:szCs w:val="21"/>
              </w:rPr>
              <w:t>t/a，则无组织颗粒物排放量为0.077t/a。</w:t>
            </w:r>
          </w:p>
          <w:p>
            <w:pPr>
              <w:autoSpaceDE w:val="0"/>
              <w:autoSpaceDN w:val="0"/>
              <w:adjustRightInd w:val="0"/>
              <w:snapToGrid w:val="0"/>
              <w:spacing w:line="400" w:lineRule="exact"/>
              <w:ind w:firstLine="420" w:firstLineChars="200"/>
              <w:rPr>
                <w:rFonts w:hint="eastAsia"/>
                <w:color w:val="FF0000"/>
                <w:kern w:val="0"/>
                <w:szCs w:val="21"/>
                <w:lang w:val="en-US" w:eastAsia="zh-CN"/>
              </w:rPr>
            </w:pPr>
            <w:r>
              <w:rPr>
                <w:rFonts w:hint="eastAsia"/>
                <w:color w:val="FF0000"/>
                <w:kern w:val="0"/>
                <w:szCs w:val="21"/>
                <w:lang w:val="en-US" w:eastAsia="zh-CN"/>
              </w:rPr>
              <w:t>②定型废气G2、蒸呢废气G7</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蒸呢特指利用‌湿热蒸汽‌对毛织物（及仿毛织物）进行定型处理的专有工艺，也属于定型工艺。本项目定型工序产生颗粒物、油烟（以非甲烷总烃计），本项目为羊毛布料。本项目颗粒物参照《排放源统计调查产排污核算方法和系数手册》中《1723毛染整精加工行业系数手册》，羊毛布料定型过程中颗粒物排污系数为80克/吨产品，本项目产品量约为3080t/a，则定型过程中颗粒物产生量约为0.246t/a。本项目通过密闭管道收集废气，废气收集效率取95%，通过水喷淋+静电净化装置处理。参考《“喷淋洗涤+湿式电除尘技术”在定型机废气治理中的性能研究》（陈瑶姬等）：“喷淋塔除尘效率较高，在不同实验条件下，除尘效率均可达80%以上”，本项目去除效率取80%，则定型过程有组织颗粒物排放量为0.047t/a，无组织颗粒物排放量为0.0025t/a。</w:t>
            </w:r>
          </w:p>
          <w:bookmarkEnd w:id="17"/>
          <w:p>
            <w:pPr>
              <w:autoSpaceDE w:val="0"/>
              <w:autoSpaceDN w:val="0"/>
              <w:adjustRightInd w:val="0"/>
              <w:snapToGrid w:val="0"/>
              <w:spacing w:line="400" w:lineRule="exact"/>
              <w:ind w:firstLine="420" w:firstLineChars="200"/>
              <w:rPr>
                <w:color w:val="FF0000"/>
                <w:kern w:val="0"/>
                <w:szCs w:val="21"/>
              </w:rPr>
            </w:pPr>
            <w:r>
              <w:rPr>
                <w:rFonts w:hint="eastAsia"/>
                <w:color w:val="FF0000"/>
                <w:kern w:val="0"/>
                <w:szCs w:val="21"/>
              </w:rPr>
              <w:t>本项目定型过程有机废气主要来自织物表面残留的油脂</w:t>
            </w:r>
            <w:r>
              <w:rPr>
                <w:rFonts w:hint="eastAsia"/>
                <w:color w:val="FF0000"/>
                <w:kern w:val="0"/>
                <w:szCs w:val="21"/>
                <w:lang w:val="en-US" w:eastAsia="zh-CN"/>
              </w:rPr>
              <w:t>高温定型</w:t>
            </w:r>
            <w:r>
              <w:rPr>
                <w:rFonts w:hint="default"/>
                <w:color w:val="FF0000"/>
                <w:kern w:val="0"/>
                <w:szCs w:val="21"/>
              </w:rPr>
              <w:t>‌</w:t>
            </w:r>
            <w:r>
              <w:rPr>
                <w:rFonts w:hint="eastAsia"/>
                <w:color w:val="FF0000"/>
                <w:kern w:val="0"/>
                <w:szCs w:val="21"/>
              </w:rPr>
              <w:t>产生的挥发性有机废气，以非甲烷总烃表征。</w:t>
            </w:r>
            <w:r>
              <w:rPr>
                <w:rFonts w:hint="eastAsia"/>
                <w:color w:val="FF0000"/>
                <w:kern w:val="0"/>
                <w:szCs w:val="21"/>
                <w:lang w:val="en-US" w:eastAsia="zh-CN"/>
              </w:rPr>
              <w:t>本项目羊毛布料含油率为0.0526%，经计算，定型和蒸呢过程产生的非甲烷总烃量约为1.62t/a，</w:t>
            </w:r>
            <w:r>
              <w:rPr>
                <w:rFonts w:hint="eastAsia"/>
                <w:color w:val="FF0000"/>
                <w:kern w:val="0"/>
                <w:szCs w:val="21"/>
              </w:rPr>
              <w:t>参照浙江省《纺织染整工业大气污染物排放标准》编制说明：“定型废气中的油雾废气水喷淋+静电净化装置平均去除率约80%”，本项目建设方采购先进的定型机设备，配套静电净化装置，本项目去除效率取80%</w:t>
            </w:r>
            <w:r>
              <w:rPr>
                <w:rFonts w:hint="eastAsia"/>
                <w:color w:val="FF0000"/>
                <w:kern w:val="0"/>
                <w:szCs w:val="21"/>
                <w:lang w:eastAsia="zh-CN"/>
              </w:rPr>
              <w:t>，</w:t>
            </w:r>
            <w:r>
              <w:rPr>
                <w:rFonts w:hint="eastAsia"/>
                <w:color w:val="FF0000"/>
                <w:kern w:val="0"/>
                <w:szCs w:val="21"/>
              </w:rPr>
              <w:t>据此估算，本项目定型废气有组织非甲烷总烃废气量</w:t>
            </w:r>
            <w:r>
              <w:rPr>
                <w:rFonts w:hint="eastAsia"/>
                <w:color w:val="FF0000"/>
                <w:kern w:val="0"/>
                <w:szCs w:val="21"/>
                <w:lang w:val="en-US" w:eastAsia="zh-CN"/>
              </w:rPr>
              <w:t>0.308</w:t>
            </w:r>
            <w:r>
              <w:rPr>
                <w:rFonts w:hint="eastAsia"/>
                <w:color w:val="FF0000"/>
                <w:kern w:val="0"/>
                <w:szCs w:val="21"/>
              </w:rPr>
              <w:t>t/a，未被收集的</w:t>
            </w:r>
            <w:r>
              <w:rPr>
                <w:rFonts w:hint="eastAsia"/>
                <w:color w:val="FF0000"/>
                <w:kern w:val="0"/>
                <w:szCs w:val="21"/>
                <w:lang w:val="en-US" w:eastAsia="zh-CN"/>
              </w:rPr>
              <w:t>0.081</w:t>
            </w:r>
            <w:r>
              <w:rPr>
                <w:rFonts w:hint="eastAsia"/>
                <w:color w:val="FF0000"/>
                <w:kern w:val="0"/>
                <w:szCs w:val="21"/>
              </w:rPr>
              <w:t>t/a无组织排放。</w:t>
            </w:r>
          </w:p>
          <w:p>
            <w:pPr>
              <w:autoSpaceDE w:val="0"/>
              <w:autoSpaceDN w:val="0"/>
              <w:adjustRightInd w:val="0"/>
              <w:snapToGrid w:val="0"/>
              <w:spacing w:line="400" w:lineRule="exact"/>
              <w:ind w:firstLine="420" w:firstLineChars="200"/>
              <w:rPr>
                <w:rFonts w:hint="eastAsia"/>
                <w:color w:val="FF0000"/>
              </w:rPr>
            </w:pPr>
            <w:r>
              <w:rPr>
                <w:rFonts w:hint="eastAsia"/>
                <w:color w:val="auto"/>
                <w:kern w:val="0"/>
                <w:szCs w:val="21"/>
                <w:lang w:val="en-US" w:eastAsia="zh-CN"/>
              </w:rPr>
              <w:t>风量核算：本项目共2台定型机和3台蒸呢机，参考《挥发性有机物治理实用手册（第二版）》（生态环境部大气环境司、生态环境部环境规划院编制）中通过式烘干室，断面控制风速取值范围为0.5~1.0m/s，本项目风速取0.5m/s，断面尺寸为1.5m×0.5m，则单台风量Q计算为：Q=控制风速×横截面面积=0.5m/s×0.75m</w:t>
            </w:r>
            <w:r>
              <w:rPr>
                <w:rFonts w:hint="eastAsia"/>
                <w:color w:val="auto"/>
                <w:kern w:val="0"/>
                <w:szCs w:val="21"/>
                <w:vertAlign w:val="superscript"/>
                <w:lang w:val="en-US" w:eastAsia="zh-CN"/>
              </w:rPr>
              <w:t>2</w:t>
            </w:r>
            <w:r>
              <w:rPr>
                <w:rFonts w:hint="eastAsia"/>
                <w:color w:val="auto"/>
                <w:kern w:val="0"/>
                <w:szCs w:val="21"/>
                <w:lang w:val="en-US" w:eastAsia="zh-CN"/>
              </w:rPr>
              <w:t>×3600=1350m</w:t>
            </w:r>
            <w:r>
              <w:rPr>
                <w:rFonts w:hint="eastAsia"/>
                <w:color w:val="auto"/>
                <w:kern w:val="0"/>
                <w:szCs w:val="21"/>
                <w:vertAlign w:val="superscript"/>
                <w:lang w:val="en-US" w:eastAsia="zh-CN"/>
              </w:rPr>
              <w:t>3</w:t>
            </w:r>
            <w:r>
              <w:rPr>
                <w:rFonts w:hint="eastAsia"/>
                <w:color w:val="auto"/>
                <w:kern w:val="0"/>
                <w:szCs w:val="21"/>
                <w:lang w:val="en-US" w:eastAsia="zh-CN"/>
              </w:rPr>
              <w:t>/h，考虑风压损失、管道距离等因素，单台定型机风量取1500m</w:t>
            </w:r>
            <w:r>
              <w:rPr>
                <w:rFonts w:hint="eastAsia"/>
                <w:color w:val="auto"/>
                <w:kern w:val="0"/>
                <w:szCs w:val="21"/>
                <w:vertAlign w:val="superscript"/>
                <w:lang w:val="en-US" w:eastAsia="zh-CN"/>
              </w:rPr>
              <w:t>3</w:t>
            </w:r>
            <w:r>
              <w:rPr>
                <w:rFonts w:hint="eastAsia"/>
                <w:color w:val="auto"/>
                <w:kern w:val="0"/>
                <w:szCs w:val="21"/>
                <w:lang w:val="en-US" w:eastAsia="zh-CN"/>
              </w:rPr>
              <w:t>/h，2台定型机和3台蒸呢机合并一个排气筒（风量共7500m</w:t>
            </w:r>
            <w:r>
              <w:rPr>
                <w:rFonts w:hint="eastAsia"/>
                <w:color w:val="auto"/>
                <w:kern w:val="0"/>
                <w:szCs w:val="21"/>
                <w:vertAlign w:val="superscript"/>
                <w:lang w:val="en-US" w:eastAsia="zh-CN"/>
              </w:rPr>
              <w:t>3</w:t>
            </w:r>
            <w:r>
              <w:rPr>
                <w:rFonts w:hint="eastAsia"/>
                <w:color w:val="auto"/>
                <w:kern w:val="0"/>
                <w:szCs w:val="21"/>
                <w:lang w:val="en-US" w:eastAsia="zh-CN"/>
              </w:rPr>
              <w:t>/h）。</w:t>
            </w:r>
          </w:p>
          <w:p>
            <w:pPr>
              <w:autoSpaceDE w:val="0"/>
              <w:autoSpaceDN w:val="0"/>
              <w:adjustRightInd w:val="0"/>
              <w:snapToGrid w:val="0"/>
              <w:spacing w:line="400" w:lineRule="exact"/>
              <w:ind w:firstLine="420" w:firstLineChars="200"/>
              <w:rPr>
                <w:rFonts w:hint="eastAsia"/>
                <w:color w:val="FF0000"/>
                <w:kern w:val="0"/>
                <w:szCs w:val="21"/>
                <w:highlight w:val="none"/>
                <w:lang w:val="en-US" w:eastAsia="zh-CN"/>
              </w:rPr>
            </w:pPr>
            <w:r>
              <w:rPr>
                <w:rFonts w:hint="eastAsia"/>
                <w:color w:val="FF0000"/>
                <w:kern w:val="0"/>
                <w:szCs w:val="21"/>
                <w:highlight w:val="none"/>
                <w:lang w:val="en-US" w:eastAsia="zh-CN"/>
              </w:rPr>
              <w:t>③生物质</w:t>
            </w:r>
            <w:r>
              <w:rPr>
                <w:rFonts w:hint="eastAsia" w:cs="Times New Roman"/>
                <w:bCs/>
                <w:color w:val="FF0000"/>
                <w:szCs w:val="21"/>
                <w:lang w:val="en-US" w:eastAsia="zh-CN"/>
              </w:rPr>
              <w:t>蒸汽锅炉</w:t>
            </w:r>
            <w:r>
              <w:rPr>
                <w:rFonts w:hint="eastAsia"/>
                <w:color w:val="FF0000"/>
                <w:kern w:val="0"/>
                <w:szCs w:val="21"/>
                <w:highlight w:val="none"/>
                <w:lang w:val="en-US" w:eastAsia="zh-CN"/>
              </w:rPr>
              <w:t>废气G8</w:t>
            </w:r>
          </w:p>
          <w:p>
            <w:pPr>
              <w:autoSpaceDE w:val="0"/>
              <w:autoSpaceDN w:val="0"/>
              <w:adjustRightInd w:val="0"/>
              <w:snapToGrid w:val="0"/>
              <w:spacing w:line="400" w:lineRule="exact"/>
              <w:ind w:firstLine="420" w:firstLineChars="200"/>
              <w:rPr>
                <w:rFonts w:hint="eastAsia"/>
                <w:color w:val="FF0000"/>
                <w:kern w:val="0"/>
                <w:szCs w:val="21"/>
                <w:highlight w:val="none"/>
                <w:lang w:val="en-US" w:eastAsia="zh-CN"/>
              </w:rPr>
            </w:pPr>
            <w:r>
              <w:rPr>
                <w:rFonts w:hint="eastAsia"/>
                <w:color w:val="FF0000"/>
                <w:kern w:val="0"/>
                <w:szCs w:val="21"/>
                <w:lang w:val="en-US" w:eastAsia="zh-CN"/>
              </w:rPr>
              <w:t>根据建设方提供数据，本项目购置</w:t>
            </w:r>
            <w:r>
              <w:rPr>
                <w:rFonts w:hint="eastAsia" w:cs="Times New Roman"/>
                <w:bCs/>
                <w:color w:val="FF0000"/>
                <w:szCs w:val="21"/>
                <w:lang w:val="en-US" w:eastAsia="zh-CN"/>
              </w:rPr>
              <w:t>一台6t/h生物质蒸汽锅炉，</w:t>
            </w:r>
            <w:r>
              <w:rPr>
                <w:rFonts w:hint="eastAsia"/>
                <w:color w:val="FF0000"/>
                <w:kern w:val="0"/>
                <w:szCs w:val="21"/>
                <w:lang w:val="en-US" w:eastAsia="zh-CN"/>
              </w:rPr>
              <w:t>采用生物质颗粒作为燃料，主要燃烧</w:t>
            </w:r>
            <w:r>
              <w:rPr>
                <w:rFonts w:hint="eastAsia"/>
                <w:color w:val="FF0000"/>
                <w:lang w:val="en-US" w:eastAsia="zh-CN"/>
              </w:rPr>
              <w:t>加热</w:t>
            </w:r>
            <w:r>
              <w:rPr>
                <w:rFonts w:hint="eastAsia"/>
                <w:color w:val="FF0000"/>
                <w:kern w:val="0"/>
                <w:szCs w:val="21"/>
                <w:lang w:val="en-US" w:eastAsia="zh-CN"/>
              </w:rPr>
              <w:t>介质为纯水，</w:t>
            </w:r>
            <w:r>
              <w:rPr>
                <w:rFonts w:hint="eastAsia" w:ascii="Times New Roman" w:hAnsi="Times New Roman" w:eastAsia="宋体" w:cs="Times New Roman"/>
                <w:color w:val="FF0000"/>
                <w:kern w:val="0"/>
                <w:szCs w:val="21"/>
                <w:lang w:val="en-US" w:eastAsia="zh-CN"/>
              </w:rPr>
              <w:t>在满负荷运行时，每小时的燃料消耗量通常在</w:t>
            </w:r>
            <w:r>
              <w:rPr>
                <w:rFonts w:hint="eastAsia" w:cs="Times New Roman"/>
                <w:color w:val="FF0000"/>
                <w:kern w:val="0"/>
                <w:szCs w:val="21"/>
                <w:lang w:val="en-US" w:eastAsia="zh-CN"/>
              </w:rPr>
              <w:t>0.9~1.0t</w:t>
            </w:r>
            <w:r>
              <w:rPr>
                <w:rFonts w:hint="eastAsia" w:ascii="Times New Roman" w:hAnsi="Times New Roman" w:eastAsia="宋体" w:cs="Times New Roman"/>
                <w:color w:val="FF0000"/>
                <w:kern w:val="0"/>
                <w:szCs w:val="21"/>
                <w:lang w:val="en-US" w:eastAsia="zh-CN"/>
              </w:rPr>
              <w:t>，经计算本项目</w:t>
            </w:r>
            <w:r>
              <w:rPr>
                <w:rFonts w:hint="eastAsia"/>
                <w:color w:val="FF0000"/>
                <w:kern w:val="0"/>
                <w:szCs w:val="21"/>
                <w:highlight w:val="none"/>
                <w:lang w:val="en-US" w:eastAsia="zh-CN"/>
              </w:rPr>
              <w:t>生物质</w:t>
            </w:r>
            <w:r>
              <w:rPr>
                <w:rFonts w:hint="eastAsia" w:cs="Times New Roman"/>
                <w:bCs/>
                <w:color w:val="FF0000"/>
                <w:szCs w:val="21"/>
                <w:lang w:val="en-US" w:eastAsia="zh-CN"/>
              </w:rPr>
              <w:t>蒸汽锅炉</w:t>
            </w:r>
            <w:r>
              <w:rPr>
                <w:rFonts w:hint="eastAsia"/>
                <w:color w:val="FF0000"/>
                <w:kern w:val="0"/>
                <w:szCs w:val="21"/>
                <w:lang w:val="en-US" w:eastAsia="zh-CN"/>
              </w:rPr>
              <w:t>燃料年用量为7000t，锅炉工作时间约为7200h/a。</w:t>
            </w:r>
          </w:p>
          <w:p>
            <w:pPr>
              <w:autoSpaceDE w:val="0"/>
              <w:autoSpaceDN w:val="0"/>
              <w:adjustRightInd w:val="0"/>
              <w:snapToGrid w:val="0"/>
              <w:spacing w:line="400" w:lineRule="exact"/>
              <w:jc w:val="center"/>
              <w:rPr>
                <w:b/>
                <w:bCs/>
                <w:color w:val="FF0000"/>
                <w:kern w:val="2"/>
                <w:sz w:val="21"/>
                <w:szCs w:val="21"/>
              </w:rPr>
            </w:pPr>
            <w:r>
              <w:rPr>
                <w:rFonts w:hint="eastAsia"/>
                <w:b/>
                <w:bCs/>
                <w:color w:val="FF0000"/>
                <w:kern w:val="2"/>
                <w:sz w:val="21"/>
                <w:szCs w:val="21"/>
              </w:rPr>
              <w:t>表4-</w:t>
            </w:r>
            <w:r>
              <w:rPr>
                <w:rFonts w:hint="eastAsia"/>
                <w:b/>
                <w:bCs/>
                <w:color w:val="FF0000"/>
                <w:kern w:val="2"/>
                <w:sz w:val="21"/>
                <w:szCs w:val="21"/>
                <w:lang w:val="en-US" w:eastAsia="zh-CN"/>
              </w:rPr>
              <w:t>1</w:t>
            </w:r>
            <w:r>
              <w:rPr>
                <w:rFonts w:hint="eastAsia"/>
                <w:b/>
                <w:bCs/>
                <w:color w:val="FF0000"/>
                <w:kern w:val="2"/>
                <w:sz w:val="21"/>
                <w:szCs w:val="21"/>
              </w:rPr>
              <w:t xml:space="preserve">  生物质锅炉工业的废气产排污系数</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626"/>
              <w:gridCol w:w="4066"/>
              <w:gridCol w:w="12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污染指标</w:t>
                  </w:r>
                </w:p>
              </w:tc>
              <w:tc>
                <w:tcPr>
                  <w:tcW w:w="100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产污系数</w:t>
                  </w:r>
                </w:p>
              </w:tc>
              <w:tc>
                <w:tcPr>
                  <w:tcW w:w="250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核算依据</w:t>
                  </w:r>
                </w:p>
              </w:tc>
              <w:tc>
                <w:tcPr>
                  <w:tcW w:w="76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工业废气量</w:t>
                  </w:r>
                </w:p>
              </w:tc>
              <w:tc>
                <w:tcPr>
                  <w:tcW w:w="1000"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rFonts w:hint="eastAsia"/>
                      <w:color w:val="FF0000"/>
                      <w:kern w:val="2"/>
                      <w:sz w:val="20"/>
                      <w:szCs w:val="20"/>
                    </w:rPr>
                    <w:t>6240</w:t>
                  </w:r>
                </w:p>
              </w:tc>
              <w:tc>
                <w:tcPr>
                  <w:tcW w:w="2500" w:type="pct"/>
                  <w:vMerge w:val="restar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eastAsia="宋体"/>
                      <w:color w:val="FF0000"/>
                      <w:kern w:val="2"/>
                      <w:sz w:val="20"/>
                      <w:szCs w:val="20"/>
                      <w:lang w:eastAsia="zh-CN"/>
                    </w:rPr>
                  </w:pPr>
                  <w:r>
                    <w:rPr>
                      <w:color w:val="FF0000"/>
                      <w:kern w:val="2"/>
                      <w:sz w:val="20"/>
                      <w:szCs w:val="20"/>
                    </w:rPr>
                    <w:t>《排放源统计调查产排污核算方法和系数手册》“4430工业锅炉（热力生产和供应行业）产污系数表-</w:t>
                  </w:r>
                  <w:r>
                    <w:rPr>
                      <w:rFonts w:hint="eastAsia"/>
                      <w:color w:val="FF0000"/>
                      <w:kern w:val="2"/>
                      <w:sz w:val="20"/>
                      <w:szCs w:val="20"/>
                    </w:rPr>
                    <w:t>生物质工业</w:t>
                  </w:r>
                  <w:r>
                    <w:rPr>
                      <w:color w:val="FF0000"/>
                      <w:kern w:val="2"/>
                      <w:sz w:val="20"/>
                      <w:szCs w:val="20"/>
                    </w:rPr>
                    <w:t>锅炉”</w:t>
                  </w:r>
                  <w:r>
                    <w:rPr>
                      <w:rFonts w:hint="eastAsia"/>
                      <w:color w:val="FF0000"/>
                      <w:kern w:val="2"/>
                      <w:sz w:val="20"/>
                      <w:szCs w:val="20"/>
                      <w:lang w:eastAsia="zh-CN"/>
                    </w:rPr>
                    <w:t>、《排污许可证申请与核发技术规范锅炉》（</w:t>
                  </w:r>
                  <w:r>
                    <w:rPr>
                      <w:rFonts w:hint="eastAsia"/>
                      <w:color w:val="FF0000"/>
                      <w:kern w:val="2"/>
                      <w:sz w:val="20"/>
                      <w:szCs w:val="20"/>
                      <w:lang w:val="en-US" w:eastAsia="zh-CN"/>
                    </w:rPr>
                    <w:t>HJ953-2018）</w:t>
                  </w:r>
                </w:p>
              </w:tc>
              <w:tc>
                <w:tcPr>
                  <w:tcW w:w="760"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Nm</w:t>
                  </w:r>
                  <w:r>
                    <w:rPr>
                      <w:color w:val="FF0000"/>
                      <w:kern w:val="2"/>
                      <w:sz w:val="20"/>
                      <w:szCs w:val="20"/>
                      <w:vertAlign w:val="superscript"/>
                    </w:rPr>
                    <w:t>3</w:t>
                  </w:r>
                  <w:r>
                    <w:rPr>
                      <w:color w:val="FF0000"/>
                      <w:kern w:val="2"/>
                      <w:sz w:val="20"/>
                      <w:szCs w:val="20"/>
                    </w:rPr>
                    <w:t>/t-原料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颗粒物</w:t>
                  </w:r>
                </w:p>
              </w:tc>
              <w:tc>
                <w:tcPr>
                  <w:tcW w:w="100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0"/>
                      <w:szCs w:val="20"/>
                      <w:lang w:val="en-US"/>
                    </w:rPr>
                  </w:pPr>
                  <w:r>
                    <w:rPr>
                      <w:rFonts w:hint="eastAsia"/>
                      <w:color w:val="FF0000"/>
                      <w:kern w:val="2"/>
                      <w:sz w:val="20"/>
                      <w:szCs w:val="20"/>
                      <w:lang w:val="en-US" w:eastAsia="zh-CN"/>
                    </w:rPr>
                    <w:t>0.5</w:t>
                  </w:r>
                </w:p>
              </w:tc>
              <w:tc>
                <w:tcPr>
                  <w:tcW w:w="250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p>
              </w:tc>
              <w:tc>
                <w:tcPr>
                  <w:tcW w:w="7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kg/t-原料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SO</w:t>
                  </w:r>
                  <w:r>
                    <w:rPr>
                      <w:color w:val="FF0000"/>
                      <w:kern w:val="2"/>
                      <w:sz w:val="20"/>
                      <w:szCs w:val="20"/>
                      <w:vertAlign w:val="subscript"/>
                    </w:rPr>
                    <w:t>2</w:t>
                  </w:r>
                </w:p>
              </w:tc>
              <w:tc>
                <w:tcPr>
                  <w:tcW w:w="100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rFonts w:hint="eastAsia"/>
                      <w:color w:val="FF0000"/>
                      <w:kern w:val="2"/>
                      <w:sz w:val="20"/>
                      <w:szCs w:val="20"/>
                    </w:rPr>
                    <w:t>17</w:t>
                  </w:r>
                  <w:r>
                    <w:rPr>
                      <w:color w:val="FF0000"/>
                      <w:kern w:val="2"/>
                      <w:sz w:val="20"/>
                      <w:szCs w:val="20"/>
                    </w:rPr>
                    <w:t>S</w:t>
                  </w:r>
                  <w:r>
                    <w:rPr>
                      <w:rFonts w:hint="eastAsia"/>
                      <w:color w:val="FF0000"/>
                      <w:kern w:val="2"/>
                      <w:sz w:val="20"/>
                      <w:szCs w:val="20"/>
                    </w:rPr>
                    <w:t>①</w:t>
                  </w:r>
                </w:p>
              </w:tc>
              <w:tc>
                <w:tcPr>
                  <w:tcW w:w="250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p>
              </w:tc>
              <w:tc>
                <w:tcPr>
                  <w:tcW w:w="7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kg/t-原料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NO</w:t>
                  </w:r>
                  <w:r>
                    <w:rPr>
                      <w:rFonts w:hint="eastAsia"/>
                      <w:color w:val="FF0000"/>
                      <w:kern w:val="2"/>
                      <w:sz w:val="20"/>
                      <w:szCs w:val="20"/>
                    </w:rPr>
                    <w:t>x</w:t>
                  </w:r>
                </w:p>
              </w:tc>
              <w:tc>
                <w:tcPr>
                  <w:tcW w:w="100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FF0000"/>
                      <w:kern w:val="2"/>
                      <w:sz w:val="20"/>
                      <w:szCs w:val="20"/>
                      <w:lang w:val="en-US" w:eastAsia="zh-CN"/>
                    </w:rPr>
                  </w:pPr>
                  <w:r>
                    <w:rPr>
                      <w:rFonts w:hint="eastAsia"/>
                      <w:color w:val="FF0000"/>
                      <w:kern w:val="2"/>
                      <w:sz w:val="20"/>
                      <w:szCs w:val="20"/>
                      <w:lang w:val="en-US" w:eastAsia="zh-CN"/>
                    </w:rPr>
                    <w:t>0.71</w:t>
                  </w:r>
                </w:p>
              </w:tc>
              <w:tc>
                <w:tcPr>
                  <w:tcW w:w="250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p>
              </w:tc>
              <w:tc>
                <w:tcPr>
                  <w:tcW w:w="7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kg/t-原料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含硫量（S%）是指</w:t>
                  </w:r>
                  <w:r>
                    <w:rPr>
                      <w:rFonts w:hint="eastAsia"/>
                      <w:color w:val="FF0000"/>
                      <w:kern w:val="2"/>
                      <w:sz w:val="20"/>
                      <w:szCs w:val="20"/>
                    </w:rPr>
                    <w:t>生物质</w:t>
                  </w:r>
                  <w:r>
                    <w:rPr>
                      <w:color w:val="FF0000"/>
                      <w:kern w:val="2"/>
                      <w:sz w:val="20"/>
                      <w:szCs w:val="20"/>
                    </w:rPr>
                    <w:t>收到基硫含量，以质量百分数的形式表示。</w:t>
                  </w:r>
                </w:p>
              </w:tc>
            </w:tr>
          </w:tbl>
          <w:p>
            <w:pPr>
              <w:autoSpaceDE w:val="0"/>
              <w:autoSpaceDN w:val="0"/>
              <w:adjustRightInd w:val="0"/>
              <w:snapToGrid w:val="0"/>
              <w:spacing w:line="400" w:lineRule="exact"/>
              <w:ind w:firstLine="420" w:firstLineChars="200"/>
              <w:rPr>
                <w:rFonts w:hint="eastAsia"/>
                <w:color w:val="FF0000"/>
                <w:kern w:val="0"/>
                <w:szCs w:val="21"/>
                <w:highlight w:val="none"/>
                <w:lang w:val="en-US" w:eastAsia="zh-CN"/>
              </w:rPr>
            </w:pPr>
            <w:r>
              <w:rPr>
                <w:rFonts w:hint="eastAsia"/>
                <w:color w:val="FF0000"/>
                <w:kern w:val="0"/>
                <w:szCs w:val="21"/>
                <w:lang w:val="en-US" w:eastAsia="zh-CN"/>
              </w:rPr>
              <w:t>根据企业提供资料，</w:t>
            </w:r>
            <w:r>
              <w:rPr>
                <w:rFonts w:hint="eastAsia"/>
                <w:color w:val="FF0000"/>
                <w:kern w:val="2"/>
                <w:sz w:val="21"/>
                <w:szCs w:val="21"/>
              </w:rPr>
              <w:t>本项目生物质工业锅炉含硫量S为0</w:t>
            </w:r>
            <w:r>
              <w:rPr>
                <w:color w:val="FF0000"/>
                <w:kern w:val="2"/>
                <w:sz w:val="21"/>
                <w:szCs w:val="21"/>
              </w:rPr>
              <w:t>.0</w:t>
            </w:r>
            <w:r>
              <w:rPr>
                <w:rFonts w:hint="eastAsia"/>
                <w:color w:val="FF0000"/>
                <w:kern w:val="2"/>
                <w:sz w:val="21"/>
                <w:szCs w:val="21"/>
                <w:lang w:val="en-US" w:eastAsia="zh-CN"/>
              </w:rPr>
              <w:t>2%</w:t>
            </w:r>
            <w:r>
              <w:rPr>
                <w:rFonts w:hint="eastAsia"/>
                <w:color w:val="FF0000"/>
                <w:kern w:val="2"/>
                <w:sz w:val="21"/>
                <w:szCs w:val="21"/>
              </w:rPr>
              <w:t>，因此本项目生物质</w:t>
            </w:r>
            <w:r>
              <w:rPr>
                <w:rFonts w:hint="eastAsia"/>
                <w:color w:val="FF0000"/>
                <w:kern w:val="2"/>
                <w:sz w:val="21"/>
                <w:szCs w:val="21"/>
                <w:lang w:val="en-US" w:eastAsia="zh-CN"/>
              </w:rPr>
              <w:t>蒸汽</w:t>
            </w:r>
            <w:r>
              <w:rPr>
                <w:rFonts w:hint="eastAsia"/>
                <w:color w:val="FF0000"/>
                <w:kern w:val="2"/>
                <w:sz w:val="21"/>
                <w:szCs w:val="21"/>
              </w:rPr>
              <w:t>锅炉燃烧废气污染物产生量为：工业废气量</w:t>
            </w:r>
            <w:r>
              <w:rPr>
                <w:rFonts w:hint="eastAsia"/>
                <w:color w:val="FF0000"/>
                <w:kern w:val="2"/>
                <w:sz w:val="21"/>
                <w:szCs w:val="21"/>
                <w:lang w:val="en-US" w:eastAsia="zh-CN"/>
              </w:rPr>
              <w:t>4493</w:t>
            </w:r>
            <w:r>
              <w:rPr>
                <w:rFonts w:hint="eastAsia"/>
                <w:color w:val="FF0000"/>
                <w:kern w:val="2"/>
                <w:sz w:val="21"/>
                <w:szCs w:val="21"/>
              </w:rPr>
              <w:t>万Nm</w:t>
            </w:r>
            <w:r>
              <w:rPr>
                <w:color w:val="FF0000"/>
                <w:kern w:val="2"/>
                <w:sz w:val="21"/>
                <w:szCs w:val="21"/>
                <w:vertAlign w:val="superscript"/>
              </w:rPr>
              <w:t>3</w:t>
            </w:r>
            <w:r>
              <w:rPr>
                <w:rFonts w:hint="eastAsia"/>
                <w:color w:val="FF0000"/>
                <w:kern w:val="2"/>
                <w:sz w:val="21"/>
                <w:szCs w:val="21"/>
              </w:rPr>
              <w:t>（</w:t>
            </w:r>
            <w:r>
              <w:rPr>
                <w:rFonts w:hint="eastAsia"/>
                <w:color w:val="FF0000"/>
                <w:kern w:val="2"/>
                <w:sz w:val="21"/>
                <w:szCs w:val="21"/>
                <w:lang w:val="en-US" w:eastAsia="zh-CN"/>
              </w:rPr>
              <w:t>6240</w:t>
            </w:r>
            <w:r>
              <w:rPr>
                <w:rFonts w:hint="eastAsia"/>
                <w:color w:val="FF0000"/>
                <w:kern w:val="2"/>
                <w:sz w:val="21"/>
                <w:szCs w:val="21"/>
              </w:rPr>
              <w:t>m</w:t>
            </w:r>
            <w:r>
              <w:rPr>
                <w:color w:val="FF0000"/>
                <w:kern w:val="2"/>
                <w:sz w:val="21"/>
                <w:szCs w:val="21"/>
                <w:vertAlign w:val="superscript"/>
              </w:rPr>
              <w:t>3</w:t>
            </w:r>
            <w:r>
              <w:rPr>
                <w:color w:val="FF0000"/>
                <w:kern w:val="2"/>
                <w:sz w:val="21"/>
                <w:szCs w:val="21"/>
              </w:rPr>
              <w:t>/</w:t>
            </w:r>
            <w:r>
              <w:rPr>
                <w:rFonts w:hint="eastAsia"/>
                <w:color w:val="FF0000"/>
                <w:kern w:val="2"/>
                <w:sz w:val="21"/>
                <w:szCs w:val="21"/>
              </w:rPr>
              <w:t>h）、颗粒物</w:t>
            </w:r>
            <w:r>
              <w:rPr>
                <w:rFonts w:hint="eastAsia"/>
                <w:color w:val="FF0000"/>
                <w:kern w:val="2"/>
                <w:sz w:val="21"/>
                <w:szCs w:val="21"/>
                <w:lang w:val="en-US" w:eastAsia="zh-CN"/>
              </w:rPr>
              <w:t>3.5</w:t>
            </w:r>
            <w:r>
              <w:rPr>
                <w:rFonts w:hint="eastAsia"/>
                <w:color w:val="FF0000"/>
                <w:kern w:val="2"/>
                <w:sz w:val="21"/>
                <w:szCs w:val="21"/>
              </w:rPr>
              <w:t>t/a、SO</w:t>
            </w:r>
            <w:r>
              <w:rPr>
                <w:color w:val="FF0000"/>
                <w:kern w:val="2"/>
                <w:sz w:val="21"/>
                <w:szCs w:val="21"/>
                <w:vertAlign w:val="subscript"/>
              </w:rPr>
              <w:t>2</w:t>
            </w:r>
            <w:r>
              <w:rPr>
                <w:rFonts w:hint="eastAsia"/>
                <w:color w:val="FF0000"/>
                <w:kern w:val="2"/>
                <w:sz w:val="21"/>
                <w:szCs w:val="21"/>
                <w:vertAlign w:val="subscript"/>
                <w:lang w:val="en-US" w:eastAsia="zh-CN"/>
              </w:rPr>
              <w:t xml:space="preserve"> </w:t>
            </w:r>
            <w:r>
              <w:rPr>
                <w:rFonts w:hint="eastAsia"/>
                <w:color w:val="FF0000"/>
                <w:kern w:val="2"/>
                <w:sz w:val="21"/>
                <w:szCs w:val="21"/>
                <w:vertAlign w:val="baseline"/>
                <w:lang w:val="en-US" w:eastAsia="zh-CN"/>
              </w:rPr>
              <w:t>2.38</w:t>
            </w:r>
            <w:r>
              <w:rPr>
                <w:rFonts w:hint="eastAsia"/>
                <w:color w:val="FF0000"/>
                <w:kern w:val="2"/>
                <w:sz w:val="21"/>
                <w:szCs w:val="21"/>
              </w:rPr>
              <w:t>t/a、NO</w:t>
            </w:r>
            <w:r>
              <w:rPr>
                <w:rFonts w:hint="eastAsia"/>
                <w:color w:val="FF0000"/>
                <w:kern w:val="2"/>
                <w:sz w:val="21"/>
                <w:szCs w:val="21"/>
                <w:vertAlign w:val="subscript"/>
              </w:rPr>
              <w:t>x</w:t>
            </w:r>
            <w:r>
              <w:rPr>
                <w:rFonts w:hint="eastAsia"/>
                <w:color w:val="FF0000"/>
                <w:kern w:val="2"/>
                <w:sz w:val="21"/>
                <w:szCs w:val="21"/>
                <w:vertAlign w:val="subscript"/>
                <w:lang w:val="en-US" w:eastAsia="zh-CN"/>
              </w:rPr>
              <w:t xml:space="preserve"> </w:t>
            </w:r>
            <w:r>
              <w:rPr>
                <w:rFonts w:hint="eastAsia"/>
                <w:color w:val="FF0000"/>
                <w:kern w:val="2"/>
                <w:sz w:val="21"/>
                <w:szCs w:val="21"/>
                <w:lang w:val="en-US" w:eastAsia="zh-CN"/>
              </w:rPr>
              <w:t>4.97</w:t>
            </w:r>
            <w:r>
              <w:rPr>
                <w:rFonts w:hint="eastAsia"/>
                <w:color w:val="FF0000"/>
                <w:kern w:val="2"/>
                <w:sz w:val="21"/>
                <w:szCs w:val="21"/>
              </w:rPr>
              <w:t>t/a。</w:t>
            </w:r>
          </w:p>
          <w:p>
            <w:pPr>
              <w:autoSpaceDE w:val="0"/>
              <w:autoSpaceDN w:val="0"/>
              <w:adjustRightInd w:val="0"/>
              <w:snapToGrid w:val="0"/>
              <w:spacing w:line="400" w:lineRule="exact"/>
              <w:ind w:firstLine="420" w:firstLineChars="200"/>
              <w:rPr>
                <w:rFonts w:hint="eastAsia"/>
                <w:color w:val="FF0000"/>
                <w:kern w:val="2"/>
                <w:sz w:val="21"/>
                <w:szCs w:val="21"/>
              </w:rPr>
            </w:pPr>
            <w:r>
              <w:rPr>
                <w:color w:val="FF0000"/>
                <w:kern w:val="2"/>
                <w:sz w:val="21"/>
                <w:szCs w:val="21"/>
              </w:rPr>
              <w:t>本项目采用</w:t>
            </w:r>
            <w:r>
              <w:rPr>
                <w:rFonts w:hint="eastAsia"/>
                <w:color w:val="FF0000"/>
                <w:kern w:val="2"/>
                <w:sz w:val="21"/>
                <w:szCs w:val="21"/>
                <w:highlight w:val="none"/>
              </w:rPr>
              <w:t>低氮</w:t>
            </w:r>
            <w:r>
              <w:rPr>
                <w:color w:val="FF0000"/>
                <w:kern w:val="2"/>
                <w:sz w:val="21"/>
                <w:szCs w:val="21"/>
                <w:highlight w:val="none"/>
              </w:rPr>
              <w:t>燃烧</w:t>
            </w:r>
            <w:r>
              <w:rPr>
                <w:color w:val="FF0000"/>
                <w:kern w:val="2"/>
                <w:sz w:val="21"/>
                <w:szCs w:val="21"/>
              </w:rPr>
              <w:t>，</w:t>
            </w:r>
            <w:r>
              <w:rPr>
                <w:rFonts w:hint="eastAsia"/>
                <w:color w:val="FF0000"/>
                <w:kern w:val="2"/>
                <w:sz w:val="21"/>
                <w:szCs w:val="21"/>
                <w:lang w:val="en-US" w:eastAsia="zh-CN"/>
              </w:rPr>
              <w:t>蒸汽锅炉废气经一套低氮燃烧+SNCR+石灰喷雾干燥+余热回收+旋风除尘+布袋除尘+水幕除尘</w:t>
            </w:r>
            <w:r>
              <w:rPr>
                <w:color w:val="FF0000"/>
                <w:kern w:val="2"/>
                <w:sz w:val="21"/>
                <w:szCs w:val="21"/>
              </w:rPr>
              <w:t>处理后</w:t>
            </w:r>
            <w:r>
              <w:rPr>
                <w:rFonts w:hint="eastAsia"/>
                <w:color w:val="FF0000"/>
                <w:kern w:val="2"/>
                <w:sz w:val="21"/>
                <w:szCs w:val="21"/>
                <w:lang w:val="en-US" w:eastAsia="zh-CN"/>
              </w:rPr>
              <w:t>合并</w:t>
            </w:r>
            <w:r>
              <w:rPr>
                <w:color w:val="FF0000"/>
                <w:kern w:val="2"/>
                <w:sz w:val="21"/>
                <w:szCs w:val="21"/>
              </w:rPr>
              <w:t>通过</w:t>
            </w:r>
            <w:r>
              <w:rPr>
                <w:rFonts w:hint="eastAsia"/>
                <w:color w:val="FF0000"/>
                <w:kern w:val="2"/>
                <w:sz w:val="21"/>
                <w:szCs w:val="21"/>
                <w:lang w:val="en-US" w:eastAsia="zh-CN"/>
              </w:rPr>
              <w:t>35</w:t>
            </w:r>
            <w:r>
              <w:rPr>
                <w:color w:val="FF0000"/>
                <w:kern w:val="2"/>
                <w:sz w:val="21"/>
                <w:szCs w:val="21"/>
              </w:rPr>
              <w:t>m高</w:t>
            </w:r>
            <w:r>
              <w:rPr>
                <w:rFonts w:hint="eastAsia"/>
                <w:color w:val="FF0000"/>
                <w:kern w:val="2"/>
                <w:sz w:val="21"/>
                <w:szCs w:val="21"/>
                <w:lang w:val="en-US" w:eastAsia="zh-CN"/>
              </w:rPr>
              <w:t>DA002</w:t>
            </w:r>
            <w:r>
              <w:rPr>
                <w:color w:val="FF0000"/>
                <w:kern w:val="2"/>
                <w:sz w:val="21"/>
                <w:szCs w:val="21"/>
              </w:rPr>
              <w:t>排气筒高空排放</w:t>
            </w:r>
            <w:r>
              <w:rPr>
                <w:rFonts w:hint="eastAsia"/>
                <w:color w:val="FF0000"/>
                <w:kern w:val="2"/>
                <w:sz w:val="21"/>
                <w:szCs w:val="21"/>
              </w:rPr>
              <w:t>。</w:t>
            </w:r>
          </w:p>
          <w:p>
            <w:pPr>
              <w:autoSpaceDE w:val="0"/>
              <w:autoSpaceDN w:val="0"/>
              <w:adjustRightInd w:val="0"/>
              <w:snapToGrid w:val="0"/>
              <w:spacing w:line="400" w:lineRule="exact"/>
              <w:ind w:firstLine="420" w:firstLineChars="200"/>
              <w:rPr>
                <w:rFonts w:hint="eastAsia"/>
                <w:color w:val="FF0000"/>
                <w:kern w:val="2"/>
                <w:sz w:val="21"/>
                <w:szCs w:val="21"/>
                <w:lang w:eastAsia="zh-CN"/>
              </w:rPr>
            </w:pPr>
            <w:r>
              <w:rPr>
                <w:rFonts w:hint="eastAsia"/>
                <w:color w:val="FF0000"/>
                <w:kern w:val="2"/>
                <w:sz w:val="21"/>
                <w:szCs w:val="21"/>
                <w:lang w:val="en-US" w:eastAsia="zh-CN"/>
              </w:rPr>
              <w:t>参考《生物质燃料锅炉低氮燃烧技术研究进展》（郭勇等）：“低氮燃烧技术研究，甄天雷</w:t>
            </w:r>
            <w:r>
              <w:rPr>
                <w:rFonts w:hint="default"/>
                <w:color w:val="FF0000"/>
                <w:kern w:val="2"/>
                <w:sz w:val="21"/>
                <w:szCs w:val="21"/>
                <w:lang w:val="en-US" w:eastAsia="zh-CN"/>
              </w:rPr>
              <w:t>等开展生物质再燃脱硝特性实验。研究表明，杨木屑、花生壳、玉米秆及稻壳均为较好的再燃燃料，脱硝率可达60%~70%</w:t>
            </w:r>
            <w:r>
              <w:rPr>
                <w:rFonts w:hint="eastAsia"/>
                <w:color w:val="FF0000"/>
                <w:kern w:val="2"/>
                <w:sz w:val="21"/>
                <w:szCs w:val="21"/>
                <w:lang w:val="en-US" w:eastAsia="zh-CN"/>
              </w:rPr>
              <w:t>”，本项目保守考虑低氮燃烧对氮氧化物的去除效率为60%，参考《</w:t>
            </w:r>
            <w:r>
              <w:rPr>
                <w:rFonts w:hint="default"/>
                <w:color w:val="FF0000"/>
                <w:kern w:val="2"/>
                <w:sz w:val="21"/>
                <w:szCs w:val="21"/>
                <w:lang w:val="en-US" w:eastAsia="zh-CN"/>
              </w:rPr>
              <w:t>生物质锅炉脱硝技术发展现状分析</w:t>
            </w:r>
            <w:r>
              <w:rPr>
                <w:rFonts w:hint="eastAsia"/>
                <w:color w:val="FF0000"/>
                <w:kern w:val="2"/>
                <w:sz w:val="21"/>
                <w:szCs w:val="21"/>
                <w:lang w:val="en-US" w:eastAsia="zh-CN"/>
              </w:rPr>
              <w:t>》（</w:t>
            </w:r>
            <w:r>
              <w:rPr>
                <w:rFonts w:hint="default"/>
                <w:color w:val="FF0000"/>
                <w:kern w:val="2"/>
                <w:sz w:val="21"/>
                <w:szCs w:val="21"/>
                <w:lang w:val="en-US" w:eastAsia="zh-CN"/>
              </w:rPr>
              <w:t>王献民</w:t>
            </w:r>
            <w:r>
              <w:rPr>
                <w:rFonts w:hint="eastAsia"/>
                <w:color w:val="FF0000"/>
                <w:kern w:val="2"/>
                <w:sz w:val="21"/>
                <w:szCs w:val="21"/>
                <w:lang w:val="en-US" w:eastAsia="zh-CN"/>
              </w:rPr>
              <w:t>编）：“非催化还原技术（SNCR）该技术具有投资省、运行费用</w:t>
            </w:r>
            <w:r>
              <w:rPr>
                <w:rFonts w:hint="default"/>
                <w:color w:val="FF0000"/>
                <w:kern w:val="2"/>
                <w:sz w:val="21"/>
                <w:szCs w:val="21"/>
                <w:lang w:val="en-US" w:eastAsia="zh-CN"/>
              </w:rPr>
              <w:t>低以及操作简便等优势，但是脱硝效率较低</w:t>
            </w:r>
            <w:r>
              <w:rPr>
                <w:rFonts w:hint="eastAsia"/>
                <w:color w:val="FF0000"/>
                <w:kern w:val="2"/>
                <w:sz w:val="21"/>
                <w:szCs w:val="21"/>
                <w:lang w:val="en-US" w:eastAsia="zh-CN"/>
              </w:rPr>
              <w:t>，</w:t>
            </w:r>
            <w:r>
              <w:rPr>
                <w:rFonts w:hint="default"/>
                <w:color w:val="FF0000"/>
                <w:kern w:val="2"/>
                <w:sz w:val="21"/>
                <w:szCs w:val="21"/>
                <w:lang w:val="en-US" w:eastAsia="zh-CN"/>
              </w:rPr>
              <w:t>一般在50%</w:t>
            </w:r>
            <w:r>
              <w:rPr>
                <w:rFonts w:hint="eastAsia"/>
                <w:color w:val="FF0000"/>
                <w:kern w:val="2"/>
                <w:sz w:val="21"/>
                <w:szCs w:val="21"/>
                <w:lang w:val="en-US" w:eastAsia="zh-CN"/>
              </w:rPr>
              <w:t>”</w:t>
            </w:r>
            <w:r>
              <w:rPr>
                <w:rFonts w:hint="eastAsia"/>
                <w:color w:val="FF0000"/>
                <w:szCs w:val="18"/>
              </w:rPr>
              <w:t>SNCR</w:t>
            </w:r>
            <w:r>
              <w:rPr>
                <w:rFonts w:hint="eastAsia"/>
                <w:color w:val="FF0000"/>
                <w:szCs w:val="18"/>
                <w:lang w:val="en-US" w:eastAsia="zh-CN"/>
              </w:rPr>
              <w:t>对层燃炉</w:t>
            </w:r>
            <w:r>
              <w:rPr>
                <w:rFonts w:hint="eastAsia"/>
                <w:color w:val="FF0000"/>
                <w:szCs w:val="18"/>
              </w:rPr>
              <w:t>脱硝对氮氧化物的去除效率为</w:t>
            </w:r>
            <w:r>
              <w:rPr>
                <w:rFonts w:hint="eastAsia"/>
                <w:color w:val="FF0000"/>
                <w:szCs w:val="18"/>
                <w:lang w:val="en-US" w:eastAsia="zh-CN"/>
              </w:rPr>
              <w:t>50</w:t>
            </w:r>
            <w:r>
              <w:rPr>
                <w:rFonts w:hint="eastAsia"/>
                <w:color w:val="FF0000"/>
                <w:szCs w:val="18"/>
              </w:rPr>
              <w:t>%</w:t>
            </w:r>
            <w:r>
              <w:rPr>
                <w:rFonts w:hint="eastAsia"/>
                <w:color w:val="FF0000"/>
                <w:szCs w:val="18"/>
                <w:lang w:eastAsia="zh-CN"/>
              </w:rPr>
              <w:t>，</w:t>
            </w:r>
            <w:r>
              <w:rPr>
                <w:rFonts w:hint="eastAsia"/>
                <w:color w:val="FF0000"/>
                <w:szCs w:val="18"/>
              </w:rPr>
              <w:t>则低氮燃烧+SNCR脱硝对NOx的去除效率以</w:t>
            </w:r>
            <w:r>
              <w:rPr>
                <w:rFonts w:hint="eastAsia"/>
                <w:color w:val="FF0000"/>
                <w:szCs w:val="18"/>
                <w:lang w:val="en-US" w:eastAsia="zh-CN"/>
              </w:rPr>
              <w:t>80</w:t>
            </w:r>
            <w:r>
              <w:rPr>
                <w:rFonts w:hint="eastAsia"/>
                <w:color w:val="FF0000"/>
                <w:szCs w:val="18"/>
              </w:rPr>
              <w:t>%计</w:t>
            </w:r>
            <w:r>
              <w:rPr>
                <w:rFonts w:hint="eastAsia"/>
                <w:color w:val="FF0000"/>
                <w:kern w:val="2"/>
                <w:sz w:val="21"/>
                <w:szCs w:val="21"/>
                <w:lang w:eastAsia="zh-CN"/>
              </w:rPr>
              <w:t>；</w:t>
            </w:r>
          </w:p>
          <w:p>
            <w:pPr>
              <w:autoSpaceDE w:val="0"/>
              <w:autoSpaceDN w:val="0"/>
              <w:adjustRightInd w:val="0"/>
              <w:snapToGrid w:val="0"/>
              <w:spacing w:line="400" w:lineRule="exact"/>
              <w:ind w:firstLine="420" w:firstLineChars="200"/>
              <w:rPr>
                <w:rFonts w:hint="eastAsia"/>
                <w:color w:val="FF0000"/>
                <w:kern w:val="2"/>
                <w:sz w:val="21"/>
                <w:szCs w:val="21"/>
                <w:lang w:eastAsia="zh-CN"/>
              </w:rPr>
            </w:pPr>
            <w:r>
              <w:rPr>
                <w:rFonts w:hint="eastAsia" w:ascii="Times New Roman" w:hAnsi="Times New Roman" w:eastAsia="宋体" w:cs="Times New Roman"/>
                <w:color w:val="FF0000"/>
                <w:szCs w:val="18"/>
                <w:lang w:val="en-US" w:eastAsia="zh-CN"/>
              </w:rPr>
              <w:t>根据</w:t>
            </w:r>
            <w:r>
              <w:rPr>
                <w:rFonts w:hint="eastAsia" w:ascii="Times New Roman" w:hAnsi="Times New Roman" w:eastAsia="宋体" w:cs="Times New Roman"/>
                <w:color w:val="FF0000"/>
                <w:szCs w:val="18"/>
              </w:rPr>
              <w:t>《排放源统计调查产排污核算方法和系数手册》“4430工业锅炉（热力生产和供应行业）产污系数表-生物质工业锅炉”</w:t>
            </w:r>
            <w:r>
              <w:rPr>
                <w:rFonts w:hint="eastAsia" w:ascii="Times New Roman" w:hAnsi="Times New Roman" w:eastAsia="宋体" w:cs="Times New Roman"/>
                <w:color w:val="FF0000"/>
                <w:szCs w:val="18"/>
                <w:lang w:eastAsia="zh-CN"/>
              </w:rPr>
              <w:t>，</w:t>
            </w:r>
            <w:r>
              <w:rPr>
                <w:rFonts w:hint="eastAsia"/>
                <w:color w:val="FF0000"/>
                <w:kern w:val="2"/>
                <w:sz w:val="21"/>
                <w:szCs w:val="21"/>
              </w:rPr>
              <w:t>多管旋风除尘法对颗粒物去除效率取</w:t>
            </w:r>
            <w:r>
              <w:rPr>
                <w:rFonts w:hint="eastAsia"/>
                <w:color w:val="FF0000"/>
                <w:kern w:val="2"/>
                <w:sz w:val="21"/>
                <w:szCs w:val="21"/>
                <w:lang w:val="en-US" w:eastAsia="zh-CN"/>
              </w:rPr>
              <w:t>70</w:t>
            </w:r>
            <w:r>
              <w:rPr>
                <w:rFonts w:hint="eastAsia"/>
                <w:color w:val="FF0000"/>
                <w:kern w:val="2"/>
                <w:sz w:val="21"/>
                <w:szCs w:val="21"/>
              </w:rPr>
              <w:t>%，</w:t>
            </w:r>
            <w:r>
              <w:rPr>
                <w:rFonts w:hint="eastAsia"/>
                <w:color w:val="FF0000"/>
                <w:kern w:val="2"/>
                <w:sz w:val="21"/>
                <w:szCs w:val="21"/>
                <w:lang w:val="en-US" w:eastAsia="zh-CN"/>
              </w:rPr>
              <w:t>水幕除尘</w:t>
            </w:r>
            <w:r>
              <w:rPr>
                <w:rFonts w:hint="eastAsia"/>
                <w:color w:val="FF0000"/>
                <w:kern w:val="2"/>
                <w:sz w:val="21"/>
                <w:szCs w:val="21"/>
              </w:rPr>
              <w:t>对颗粒物去除效率取</w:t>
            </w:r>
            <w:r>
              <w:rPr>
                <w:rFonts w:hint="eastAsia"/>
                <w:color w:val="FF0000"/>
                <w:kern w:val="2"/>
                <w:sz w:val="21"/>
                <w:szCs w:val="21"/>
                <w:lang w:val="en-US" w:eastAsia="zh-CN"/>
              </w:rPr>
              <w:t>87</w:t>
            </w:r>
            <w:r>
              <w:rPr>
                <w:rFonts w:hint="eastAsia"/>
                <w:color w:val="FF0000"/>
                <w:kern w:val="2"/>
                <w:sz w:val="21"/>
                <w:szCs w:val="21"/>
              </w:rPr>
              <w:t>%，袋式除尘器去除效率取9</w:t>
            </w:r>
            <w:r>
              <w:rPr>
                <w:rFonts w:hint="eastAsia"/>
                <w:color w:val="FF0000"/>
                <w:kern w:val="2"/>
                <w:sz w:val="21"/>
                <w:szCs w:val="21"/>
                <w:lang w:val="en-US" w:eastAsia="zh-CN"/>
              </w:rPr>
              <w:t>9.7</w:t>
            </w:r>
            <w:r>
              <w:rPr>
                <w:rFonts w:hint="eastAsia"/>
                <w:color w:val="FF0000"/>
                <w:kern w:val="2"/>
                <w:sz w:val="21"/>
                <w:szCs w:val="21"/>
              </w:rPr>
              <w:t>%，本项目旋风除尘+袋式除尘</w:t>
            </w:r>
            <w:r>
              <w:rPr>
                <w:rFonts w:hint="eastAsia"/>
                <w:color w:val="FF0000"/>
                <w:kern w:val="2"/>
                <w:sz w:val="21"/>
                <w:szCs w:val="21"/>
                <w:lang w:val="en-US" w:eastAsia="zh-CN"/>
              </w:rPr>
              <w:t>+水幕除尘</w:t>
            </w:r>
            <w:r>
              <w:rPr>
                <w:rFonts w:hint="eastAsia"/>
                <w:color w:val="FF0000"/>
                <w:kern w:val="2"/>
                <w:sz w:val="21"/>
                <w:szCs w:val="21"/>
              </w:rPr>
              <w:t>器去除效率合计为99.</w:t>
            </w:r>
            <w:r>
              <w:rPr>
                <w:rFonts w:hint="eastAsia"/>
                <w:color w:val="FF0000"/>
                <w:kern w:val="2"/>
                <w:sz w:val="21"/>
                <w:szCs w:val="21"/>
                <w:lang w:val="en-US" w:eastAsia="zh-CN"/>
              </w:rPr>
              <w:t>98</w:t>
            </w:r>
            <w:r>
              <w:rPr>
                <w:rFonts w:hint="eastAsia"/>
                <w:color w:val="FF0000"/>
                <w:kern w:val="2"/>
                <w:sz w:val="21"/>
                <w:szCs w:val="21"/>
              </w:rPr>
              <w:t>%</w:t>
            </w:r>
            <w:r>
              <w:rPr>
                <w:rFonts w:hint="eastAsia"/>
                <w:color w:val="FF0000"/>
                <w:kern w:val="2"/>
                <w:sz w:val="21"/>
                <w:szCs w:val="21"/>
                <w:lang w:eastAsia="zh-CN"/>
              </w:rPr>
              <w:t>；</w:t>
            </w:r>
          </w:p>
          <w:p>
            <w:pPr>
              <w:autoSpaceDE w:val="0"/>
              <w:autoSpaceDN w:val="0"/>
              <w:adjustRightInd w:val="0"/>
              <w:snapToGrid w:val="0"/>
              <w:spacing w:line="400" w:lineRule="exact"/>
              <w:ind w:firstLine="420" w:firstLineChars="200"/>
              <w:rPr>
                <w:rFonts w:hint="eastAsia"/>
                <w:color w:val="FF0000"/>
                <w:kern w:val="2"/>
                <w:sz w:val="21"/>
                <w:szCs w:val="21"/>
              </w:rPr>
            </w:pPr>
            <w:r>
              <w:rPr>
                <w:rFonts w:hint="eastAsia"/>
                <w:color w:val="FF0000"/>
                <w:kern w:val="2"/>
                <w:sz w:val="21"/>
                <w:szCs w:val="21"/>
                <w:lang w:val="en-US" w:eastAsia="zh-CN"/>
              </w:rPr>
              <w:t>石灰喷雾干燥法（半干法）对</w:t>
            </w:r>
            <w:r>
              <w:rPr>
                <w:rFonts w:hint="eastAsia"/>
                <w:color w:val="FF0000"/>
                <w:kern w:val="2"/>
                <w:sz w:val="21"/>
                <w:szCs w:val="21"/>
              </w:rPr>
              <w:t>SO</w:t>
            </w:r>
            <w:r>
              <w:rPr>
                <w:rFonts w:hint="eastAsia"/>
                <w:color w:val="FF0000"/>
                <w:kern w:val="2"/>
                <w:sz w:val="21"/>
                <w:szCs w:val="21"/>
                <w:vertAlign w:val="subscript"/>
              </w:rPr>
              <w:t>2</w:t>
            </w:r>
            <w:r>
              <w:rPr>
                <w:rFonts w:hint="eastAsia"/>
                <w:color w:val="FF0000"/>
                <w:kern w:val="2"/>
                <w:sz w:val="21"/>
                <w:szCs w:val="21"/>
                <w:lang w:val="en-US" w:eastAsia="zh-CN"/>
              </w:rPr>
              <w:t>去除率参考层燃炉-所有规模中喷雾干燥法技术治理效率为70%，</w:t>
            </w:r>
            <w:r>
              <w:rPr>
                <w:rFonts w:hint="eastAsia"/>
                <w:color w:val="FF0000"/>
                <w:kern w:val="2"/>
                <w:sz w:val="21"/>
                <w:szCs w:val="21"/>
              </w:rPr>
              <w:t>则生物质</w:t>
            </w:r>
            <w:r>
              <w:rPr>
                <w:rFonts w:hint="eastAsia"/>
                <w:color w:val="FF0000"/>
                <w:kern w:val="2"/>
                <w:sz w:val="21"/>
                <w:szCs w:val="21"/>
                <w:lang w:val="en-US" w:eastAsia="zh-CN"/>
              </w:rPr>
              <w:t>蒸汽</w:t>
            </w:r>
            <w:r>
              <w:rPr>
                <w:rFonts w:hint="eastAsia"/>
                <w:color w:val="FF0000"/>
                <w:kern w:val="2"/>
                <w:sz w:val="21"/>
                <w:szCs w:val="21"/>
              </w:rPr>
              <w:t>锅炉有组织颗粒物排放量为</w:t>
            </w:r>
            <w:r>
              <w:rPr>
                <w:rFonts w:hint="eastAsia"/>
                <w:color w:val="FF0000"/>
                <w:kern w:val="2"/>
                <w:sz w:val="21"/>
                <w:szCs w:val="21"/>
                <w:lang w:val="en-US" w:eastAsia="zh-CN"/>
              </w:rPr>
              <w:t>0.0007</w:t>
            </w:r>
            <w:r>
              <w:rPr>
                <w:rFonts w:hint="eastAsia"/>
                <w:color w:val="FF0000"/>
                <w:kern w:val="2"/>
                <w:sz w:val="21"/>
                <w:szCs w:val="21"/>
              </w:rPr>
              <w:t>t/a，有组织SO</w:t>
            </w:r>
            <w:r>
              <w:rPr>
                <w:rFonts w:hint="eastAsia"/>
                <w:color w:val="FF0000"/>
                <w:kern w:val="2"/>
                <w:sz w:val="21"/>
                <w:szCs w:val="21"/>
                <w:vertAlign w:val="subscript"/>
              </w:rPr>
              <w:t>2</w:t>
            </w:r>
            <w:r>
              <w:rPr>
                <w:rFonts w:hint="eastAsia"/>
                <w:color w:val="FF0000"/>
                <w:kern w:val="2"/>
                <w:sz w:val="21"/>
                <w:szCs w:val="21"/>
              </w:rPr>
              <w:t>排放量为</w:t>
            </w:r>
            <w:r>
              <w:rPr>
                <w:rFonts w:hint="eastAsia"/>
                <w:color w:val="FF0000"/>
                <w:kern w:val="2"/>
                <w:sz w:val="21"/>
                <w:szCs w:val="21"/>
                <w:lang w:val="en-US" w:eastAsia="zh-CN"/>
              </w:rPr>
              <w:t>0.714</w:t>
            </w:r>
            <w:r>
              <w:rPr>
                <w:rFonts w:hint="eastAsia"/>
                <w:color w:val="FF0000"/>
                <w:kern w:val="2"/>
                <w:sz w:val="21"/>
                <w:szCs w:val="21"/>
              </w:rPr>
              <w:t>t/a，有组织NO</w:t>
            </w:r>
            <w:r>
              <w:rPr>
                <w:rFonts w:hint="eastAsia"/>
                <w:color w:val="FF0000"/>
                <w:kern w:val="2"/>
                <w:sz w:val="21"/>
                <w:szCs w:val="21"/>
                <w:vertAlign w:val="subscript"/>
              </w:rPr>
              <w:t>x</w:t>
            </w:r>
            <w:r>
              <w:rPr>
                <w:rFonts w:hint="eastAsia"/>
                <w:color w:val="FF0000"/>
                <w:kern w:val="2"/>
                <w:sz w:val="21"/>
                <w:szCs w:val="21"/>
              </w:rPr>
              <w:t>排放量为</w:t>
            </w:r>
            <w:r>
              <w:rPr>
                <w:rFonts w:hint="eastAsia"/>
                <w:color w:val="FF0000"/>
                <w:kern w:val="2"/>
                <w:sz w:val="21"/>
                <w:szCs w:val="21"/>
                <w:lang w:val="en-US" w:eastAsia="zh-CN"/>
              </w:rPr>
              <w:t>0.994</w:t>
            </w:r>
            <w:r>
              <w:rPr>
                <w:rFonts w:hint="eastAsia"/>
                <w:color w:val="FF0000"/>
                <w:kern w:val="2"/>
                <w:sz w:val="21"/>
                <w:szCs w:val="21"/>
              </w:rPr>
              <w:t>t/a。</w:t>
            </w:r>
          </w:p>
          <w:p>
            <w:pPr>
              <w:autoSpaceDE w:val="0"/>
              <w:autoSpaceDN w:val="0"/>
              <w:adjustRightInd w:val="0"/>
              <w:snapToGrid w:val="0"/>
              <w:spacing w:line="400" w:lineRule="exact"/>
              <w:ind w:firstLine="420" w:firstLineChars="200"/>
              <w:rPr>
                <w:rFonts w:hint="eastAsia"/>
                <w:color w:val="FF0000"/>
                <w:kern w:val="2"/>
                <w:sz w:val="21"/>
                <w:szCs w:val="21"/>
              </w:rPr>
            </w:pPr>
            <w:r>
              <w:rPr>
                <w:rFonts w:hint="eastAsia"/>
                <w:color w:val="FF0000"/>
                <w:kern w:val="2"/>
                <w:sz w:val="21"/>
                <w:szCs w:val="21"/>
              </w:rPr>
              <w:t>风量核算：生物质锅炉年工作时间为7200h，经计算风量为</w:t>
            </w:r>
            <w:r>
              <w:rPr>
                <w:rFonts w:hint="eastAsia"/>
                <w:color w:val="FF0000"/>
                <w:kern w:val="2"/>
                <w:sz w:val="21"/>
                <w:szCs w:val="21"/>
                <w:lang w:val="en-US" w:eastAsia="zh-CN"/>
              </w:rPr>
              <w:t>6240</w:t>
            </w:r>
            <w:r>
              <w:rPr>
                <w:rFonts w:hint="eastAsia"/>
                <w:color w:val="FF0000"/>
                <w:kern w:val="2"/>
                <w:sz w:val="21"/>
                <w:szCs w:val="21"/>
              </w:rPr>
              <w:t>m</w:t>
            </w:r>
            <w:r>
              <w:rPr>
                <w:rFonts w:hint="eastAsia"/>
                <w:color w:val="FF0000"/>
                <w:kern w:val="2"/>
                <w:sz w:val="21"/>
                <w:szCs w:val="21"/>
                <w:vertAlign w:val="superscript"/>
              </w:rPr>
              <w:t>3</w:t>
            </w:r>
            <w:r>
              <w:rPr>
                <w:rFonts w:hint="eastAsia"/>
                <w:color w:val="FF0000"/>
                <w:kern w:val="2"/>
                <w:sz w:val="21"/>
                <w:szCs w:val="21"/>
                <w:vertAlign w:val="baseline"/>
                <w:lang w:val="en-US" w:eastAsia="zh-CN"/>
              </w:rPr>
              <w:t>/h</w:t>
            </w:r>
            <w:r>
              <w:rPr>
                <w:rFonts w:hint="eastAsia"/>
                <w:color w:val="FF0000"/>
                <w:kern w:val="2"/>
                <w:sz w:val="21"/>
                <w:szCs w:val="21"/>
              </w:rPr>
              <w:t>，考虑风压损失、管道距离等因素，风机风量取</w:t>
            </w:r>
            <w:r>
              <w:rPr>
                <w:rFonts w:hint="eastAsia"/>
                <w:color w:val="FF0000"/>
                <w:kern w:val="2"/>
                <w:sz w:val="21"/>
                <w:szCs w:val="21"/>
                <w:lang w:val="en-US" w:eastAsia="zh-CN"/>
              </w:rPr>
              <w:t>70</w:t>
            </w:r>
            <w:r>
              <w:rPr>
                <w:rFonts w:hint="eastAsia"/>
                <w:color w:val="FF0000"/>
                <w:kern w:val="2"/>
                <w:sz w:val="21"/>
                <w:szCs w:val="21"/>
              </w:rPr>
              <w:t>00m</w:t>
            </w:r>
            <w:r>
              <w:rPr>
                <w:rFonts w:hint="eastAsia"/>
                <w:color w:val="FF0000"/>
                <w:kern w:val="2"/>
                <w:sz w:val="21"/>
                <w:szCs w:val="21"/>
                <w:vertAlign w:val="superscript"/>
              </w:rPr>
              <w:t>3</w:t>
            </w:r>
            <w:r>
              <w:rPr>
                <w:rFonts w:hint="eastAsia"/>
                <w:color w:val="FF0000"/>
                <w:kern w:val="2"/>
                <w:sz w:val="21"/>
                <w:szCs w:val="21"/>
                <w:vertAlign w:val="baseline"/>
                <w:lang w:val="en-US" w:eastAsia="zh-CN"/>
              </w:rPr>
              <w:t>/h</w:t>
            </w:r>
            <w:r>
              <w:rPr>
                <w:rFonts w:hint="eastAsia"/>
                <w:color w:val="FF0000"/>
                <w:kern w:val="2"/>
                <w:sz w:val="21"/>
                <w:szCs w:val="21"/>
              </w:rPr>
              <w:t>。</w:t>
            </w:r>
          </w:p>
          <w:p>
            <w:pPr>
              <w:autoSpaceDE w:val="0"/>
              <w:autoSpaceDN w:val="0"/>
              <w:adjustRightInd w:val="0"/>
              <w:snapToGrid w:val="0"/>
              <w:spacing w:line="400" w:lineRule="exact"/>
              <w:ind w:firstLine="420" w:firstLineChars="200"/>
              <w:rPr>
                <w:rFonts w:hint="default"/>
                <w:color w:val="FF0000"/>
                <w:kern w:val="0"/>
                <w:szCs w:val="21"/>
                <w:highlight w:val="none"/>
                <w:lang w:val="en-US" w:eastAsia="zh-CN"/>
              </w:rPr>
            </w:pPr>
            <w:r>
              <w:rPr>
                <w:rFonts w:hint="eastAsia"/>
                <w:color w:val="FF0000"/>
                <w:kern w:val="0"/>
                <w:szCs w:val="21"/>
                <w:highlight w:val="none"/>
                <w:lang w:val="en-US" w:eastAsia="zh-CN"/>
              </w:rPr>
              <w:t>④生物质导热油炉废气G9</w:t>
            </w:r>
          </w:p>
          <w:p>
            <w:pPr>
              <w:autoSpaceDE w:val="0"/>
              <w:autoSpaceDN w:val="0"/>
              <w:adjustRightInd w:val="0"/>
              <w:snapToGrid w:val="0"/>
              <w:spacing w:line="400" w:lineRule="exact"/>
              <w:ind w:firstLine="420" w:firstLineChars="200"/>
              <w:rPr>
                <w:rFonts w:hint="eastAsia"/>
                <w:color w:val="FF0000"/>
                <w:kern w:val="0"/>
                <w:szCs w:val="21"/>
                <w:lang w:val="en-US" w:eastAsia="zh-CN"/>
              </w:rPr>
            </w:pPr>
            <w:r>
              <w:rPr>
                <w:rFonts w:hint="eastAsia"/>
                <w:color w:val="FF0000"/>
                <w:kern w:val="0"/>
                <w:szCs w:val="21"/>
                <w:lang w:val="en-US" w:eastAsia="zh-CN"/>
              </w:rPr>
              <w:t>根据建设方提供数据，本项目一台360</w:t>
            </w:r>
            <w:r>
              <w:rPr>
                <w:rFonts w:hint="eastAsia" w:ascii="Times New Roman" w:hAnsi="Times New Roman" w:eastAsia="宋体" w:cs="Times New Roman"/>
                <w:bCs/>
                <w:color w:val="FF0000"/>
                <w:szCs w:val="21"/>
                <w:lang w:val="en-US" w:eastAsia="zh-CN"/>
              </w:rPr>
              <w:t>万大卡/h导热油炉</w:t>
            </w:r>
            <w:r>
              <w:rPr>
                <w:rFonts w:hint="eastAsia" w:cs="Times New Roman"/>
                <w:bCs/>
                <w:color w:val="FF0000"/>
                <w:szCs w:val="21"/>
                <w:lang w:val="en-US" w:eastAsia="zh-CN"/>
              </w:rPr>
              <w:t>（6t/h），</w:t>
            </w:r>
            <w:r>
              <w:rPr>
                <w:rFonts w:hint="eastAsia"/>
                <w:color w:val="FF0000"/>
                <w:kern w:val="0"/>
                <w:szCs w:val="21"/>
                <w:lang w:val="en-US" w:eastAsia="zh-CN"/>
              </w:rPr>
              <w:t>采用生物质颗粒作为燃料，主要燃烧</w:t>
            </w:r>
            <w:r>
              <w:rPr>
                <w:rFonts w:hint="eastAsia"/>
                <w:color w:val="FF0000"/>
                <w:lang w:val="en-US" w:eastAsia="zh-CN"/>
              </w:rPr>
              <w:t>加热</w:t>
            </w:r>
            <w:r>
              <w:rPr>
                <w:rFonts w:hint="eastAsia"/>
                <w:color w:val="FF0000"/>
                <w:kern w:val="0"/>
                <w:szCs w:val="21"/>
                <w:lang w:val="en-US" w:eastAsia="zh-CN"/>
              </w:rPr>
              <w:t>介质为导热油，</w:t>
            </w:r>
            <w:r>
              <w:rPr>
                <w:rFonts w:hint="eastAsia" w:ascii="Times New Roman" w:hAnsi="Times New Roman" w:eastAsia="宋体" w:cs="Times New Roman"/>
                <w:color w:val="FF0000"/>
                <w:kern w:val="0"/>
                <w:szCs w:val="21"/>
                <w:lang w:val="en-US" w:eastAsia="zh-CN"/>
              </w:rPr>
              <w:t>在满负荷运行时，每小时的燃料消耗量通常在1000~1200kg，经计算本项目</w:t>
            </w:r>
            <w:r>
              <w:rPr>
                <w:rFonts w:hint="eastAsia"/>
                <w:color w:val="FF0000"/>
                <w:kern w:val="0"/>
                <w:szCs w:val="21"/>
                <w:highlight w:val="none"/>
                <w:lang w:val="en-US" w:eastAsia="zh-CN"/>
              </w:rPr>
              <w:t>生物质导热油炉</w:t>
            </w:r>
            <w:r>
              <w:rPr>
                <w:rFonts w:hint="eastAsia"/>
                <w:color w:val="FF0000"/>
                <w:kern w:val="0"/>
                <w:szCs w:val="21"/>
                <w:lang w:val="en-US" w:eastAsia="zh-CN"/>
              </w:rPr>
              <w:t>生物质燃料年用量为7000t，锅炉工作时间约为7200h/a。</w:t>
            </w:r>
          </w:p>
          <w:p>
            <w:pPr>
              <w:autoSpaceDE w:val="0"/>
              <w:autoSpaceDN w:val="0"/>
              <w:adjustRightInd w:val="0"/>
              <w:snapToGrid w:val="0"/>
              <w:spacing w:line="400" w:lineRule="exact"/>
              <w:ind w:firstLine="420" w:firstLineChars="200"/>
              <w:rPr>
                <w:color w:val="FF0000"/>
                <w:kern w:val="2"/>
                <w:sz w:val="21"/>
                <w:szCs w:val="21"/>
              </w:rPr>
            </w:pPr>
            <w:r>
              <w:rPr>
                <w:rFonts w:hint="eastAsia"/>
                <w:color w:val="FF0000"/>
                <w:kern w:val="2"/>
                <w:sz w:val="21"/>
                <w:szCs w:val="21"/>
              </w:rPr>
              <w:t>本项目生物质燃烧工业废气量、颗粒物、SO</w:t>
            </w:r>
            <w:r>
              <w:rPr>
                <w:color w:val="FF0000"/>
                <w:kern w:val="2"/>
                <w:sz w:val="21"/>
                <w:szCs w:val="21"/>
                <w:vertAlign w:val="subscript"/>
              </w:rPr>
              <w:t>2</w:t>
            </w:r>
            <w:r>
              <w:rPr>
                <w:rFonts w:hint="eastAsia"/>
                <w:color w:val="FF0000"/>
                <w:kern w:val="2"/>
                <w:sz w:val="21"/>
                <w:szCs w:val="21"/>
              </w:rPr>
              <w:t>、NOx产生量根据</w:t>
            </w:r>
            <w:r>
              <w:rPr>
                <w:color w:val="FF0000"/>
                <w:kern w:val="2"/>
                <w:sz w:val="21"/>
                <w:szCs w:val="21"/>
              </w:rPr>
              <w:t>《排放源统计调查产排污核算方法和系数手册》中“4430</w:t>
            </w:r>
            <w:r>
              <w:rPr>
                <w:rFonts w:hint="eastAsia"/>
                <w:color w:val="FF0000"/>
                <w:kern w:val="2"/>
                <w:sz w:val="21"/>
                <w:szCs w:val="21"/>
              </w:rPr>
              <w:t>工业锅炉（热力生产和供应行业）产污系数表-生物质工业锅炉</w:t>
            </w:r>
            <w:r>
              <w:rPr>
                <w:color w:val="FF0000"/>
                <w:kern w:val="2"/>
                <w:sz w:val="21"/>
                <w:szCs w:val="21"/>
              </w:rPr>
              <w:t>”</w:t>
            </w:r>
            <w:r>
              <w:rPr>
                <w:rFonts w:hint="eastAsia"/>
                <w:color w:val="FF0000"/>
                <w:kern w:val="2"/>
                <w:sz w:val="21"/>
                <w:szCs w:val="21"/>
              </w:rPr>
              <w:t>进行核算，具体产排污系数详见表4-</w:t>
            </w:r>
            <w:r>
              <w:rPr>
                <w:rFonts w:hint="eastAsia"/>
                <w:color w:val="FF0000"/>
                <w:kern w:val="2"/>
                <w:sz w:val="21"/>
                <w:szCs w:val="21"/>
                <w:lang w:val="en-US" w:eastAsia="zh-CN"/>
              </w:rPr>
              <w:t>2</w:t>
            </w:r>
            <w:r>
              <w:rPr>
                <w:rFonts w:hint="eastAsia"/>
                <w:color w:val="FF0000"/>
                <w:kern w:val="2"/>
                <w:sz w:val="21"/>
                <w:szCs w:val="21"/>
              </w:rPr>
              <w:t>。</w:t>
            </w:r>
          </w:p>
          <w:p>
            <w:pPr>
              <w:autoSpaceDE w:val="0"/>
              <w:autoSpaceDN w:val="0"/>
              <w:adjustRightInd w:val="0"/>
              <w:snapToGrid w:val="0"/>
              <w:spacing w:line="400" w:lineRule="exact"/>
              <w:jc w:val="center"/>
              <w:rPr>
                <w:b/>
                <w:bCs/>
                <w:color w:val="FF0000"/>
                <w:kern w:val="2"/>
                <w:sz w:val="21"/>
                <w:szCs w:val="21"/>
              </w:rPr>
            </w:pPr>
            <w:r>
              <w:rPr>
                <w:rFonts w:hint="eastAsia"/>
                <w:b/>
                <w:bCs/>
                <w:color w:val="FF0000"/>
                <w:kern w:val="2"/>
                <w:sz w:val="21"/>
                <w:szCs w:val="21"/>
              </w:rPr>
              <w:t>表4-</w:t>
            </w:r>
            <w:r>
              <w:rPr>
                <w:rFonts w:hint="eastAsia"/>
                <w:b/>
                <w:bCs/>
                <w:color w:val="FF0000"/>
                <w:kern w:val="2"/>
                <w:sz w:val="21"/>
                <w:szCs w:val="21"/>
                <w:lang w:val="en-US" w:eastAsia="zh-CN"/>
              </w:rPr>
              <w:t>2</w:t>
            </w:r>
            <w:r>
              <w:rPr>
                <w:rFonts w:hint="eastAsia"/>
                <w:b/>
                <w:bCs/>
                <w:color w:val="FF0000"/>
                <w:kern w:val="2"/>
                <w:sz w:val="21"/>
                <w:szCs w:val="21"/>
              </w:rPr>
              <w:t xml:space="preserve">  生物质锅炉工业的废气产排污系数</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4"/>
              <w:gridCol w:w="1626"/>
              <w:gridCol w:w="4066"/>
              <w:gridCol w:w="123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污染指标</w:t>
                  </w:r>
                </w:p>
              </w:tc>
              <w:tc>
                <w:tcPr>
                  <w:tcW w:w="100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产污系数</w:t>
                  </w:r>
                </w:p>
              </w:tc>
              <w:tc>
                <w:tcPr>
                  <w:tcW w:w="250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核算依据</w:t>
                  </w:r>
                </w:p>
              </w:tc>
              <w:tc>
                <w:tcPr>
                  <w:tcW w:w="760" w:type="pct"/>
                  <w:tcBorders>
                    <w:bottom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b/>
                      <w:bCs/>
                      <w:color w:val="FF0000"/>
                      <w:kern w:val="2"/>
                      <w:sz w:val="20"/>
                      <w:szCs w:val="20"/>
                    </w:rPr>
                  </w:pPr>
                  <w:r>
                    <w:rPr>
                      <w:b/>
                      <w:bCs/>
                      <w:color w:val="FF0000"/>
                      <w:kern w:val="2"/>
                      <w:sz w:val="20"/>
                      <w:szCs w:val="20"/>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工业废气量</w:t>
                  </w:r>
                </w:p>
              </w:tc>
              <w:tc>
                <w:tcPr>
                  <w:tcW w:w="1000"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rFonts w:hint="eastAsia"/>
                      <w:color w:val="FF0000"/>
                      <w:kern w:val="2"/>
                      <w:sz w:val="20"/>
                      <w:szCs w:val="20"/>
                    </w:rPr>
                    <w:t>6240</w:t>
                  </w:r>
                </w:p>
              </w:tc>
              <w:tc>
                <w:tcPr>
                  <w:tcW w:w="2500" w:type="pct"/>
                  <w:vMerge w:val="restar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《排放源统计调查产排污核算方法和系数手册》“4430工业锅炉（热力生产和供应行业）产污系数表-</w:t>
                  </w:r>
                  <w:r>
                    <w:rPr>
                      <w:rFonts w:hint="eastAsia"/>
                      <w:color w:val="FF0000"/>
                      <w:kern w:val="2"/>
                      <w:sz w:val="20"/>
                      <w:szCs w:val="20"/>
                    </w:rPr>
                    <w:t>生物质工业</w:t>
                  </w:r>
                  <w:r>
                    <w:rPr>
                      <w:color w:val="FF0000"/>
                      <w:kern w:val="2"/>
                      <w:sz w:val="20"/>
                      <w:szCs w:val="20"/>
                    </w:rPr>
                    <w:t>锅炉”</w:t>
                  </w:r>
                  <w:r>
                    <w:rPr>
                      <w:rFonts w:hint="eastAsia"/>
                      <w:color w:val="FF0000"/>
                      <w:kern w:val="2"/>
                      <w:sz w:val="20"/>
                      <w:szCs w:val="20"/>
                      <w:lang w:eastAsia="zh-CN"/>
                    </w:rPr>
                    <w:t>、《排污许可证申请与核发技术规范锅炉》（</w:t>
                  </w:r>
                  <w:r>
                    <w:rPr>
                      <w:rFonts w:hint="eastAsia"/>
                      <w:color w:val="FF0000"/>
                      <w:kern w:val="2"/>
                      <w:sz w:val="20"/>
                      <w:szCs w:val="20"/>
                      <w:lang w:val="en-US" w:eastAsia="zh-CN"/>
                    </w:rPr>
                    <w:t>HJ953-2018）</w:t>
                  </w:r>
                </w:p>
              </w:tc>
              <w:tc>
                <w:tcPr>
                  <w:tcW w:w="760" w:type="pct"/>
                  <w:tcBorders>
                    <w:top w:val="single" w:color="auto" w:sz="12" w:space="0"/>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Nm</w:t>
                  </w:r>
                  <w:r>
                    <w:rPr>
                      <w:color w:val="FF0000"/>
                      <w:kern w:val="2"/>
                      <w:sz w:val="20"/>
                      <w:szCs w:val="20"/>
                      <w:vertAlign w:val="superscript"/>
                    </w:rPr>
                    <w:t>3</w:t>
                  </w:r>
                  <w:r>
                    <w:rPr>
                      <w:color w:val="FF0000"/>
                      <w:kern w:val="2"/>
                      <w:sz w:val="20"/>
                      <w:szCs w:val="20"/>
                    </w:rPr>
                    <w:t>/t-原料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颗粒物</w:t>
                  </w:r>
                </w:p>
              </w:tc>
              <w:tc>
                <w:tcPr>
                  <w:tcW w:w="100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color w:val="FF0000"/>
                      <w:kern w:val="2"/>
                      <w:sz w:val="20"/>
                      <w:szCs w:val="20"/>
                      <w:lang w:val="en-US"/>
                    </w:rPr>
                  </w:pPr>
                  <w:r>
                    <w:rPr>
                      <w:rFonts w:hint="eastAsia"/>
                      <w:color w:val="FF0000"/>
                      <w:kern w:val="2"/>
                      <w:sz w:val="20"/>
                      <w:szCs w:val="20"/>
                      <w:lang w:val="en-US" w:eastAsia="zh-CN"/>
                    </w:rPr>
                    <w:t>0.5</w:t>
                  </w:r>
                </w:p>
              </w:tc>
              <w:tc>
                <w:tcPr>
                  <w:tcW w:w="250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p>
              </w:tc>
              <w:tc>
                <w:tcPr>
                  <w:tcW w:w="7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kg/t-原料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SO</w:t>
                  </w:r>
                  <w:r>
                    <w:rPr>
                      <w:color w:val="FF0000"/>
                      <w:kern w:val="2"/>
                      <w:sz w:val="20"/>
                      <w:szCs w:val="20"/>
                      <w:vertAlign w:val="subscript"/>
                    </w:rPr>
                    <w:t>2</w:t>
                  </w:r>
                </w:p>
              </w:tc>
              <w:tc>
                <w:tcPr>
                  <w:tcW w:w="100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rFonts w:hint="eastAsia"/>
                      <w:color w:val="FF0000"/>
                      <w:kern w:val="2"/>
                      <w:sz w:val="20"/>
                      <w:szCs w:val="20"/>
                    </w:rPr>
                    <w:t>17</w:t>
                  </w:r>
                  <w:r>
                    <w:rPr>
                      <w:color w:val="FF0000"/>
                      <w:kern w:val="2"/>
                      <w:sz w:val="20"/>
                      <w:szCs w:val="20"/>
                    </w:rPr>
                    <w:t>S</w:t>
                  </w:r>
                  <w:r>
                    <w:rPr>
                      <w:rFonts w:hint="eastAsia"/>
                      <w:color w:val="FF0000"/>
                      <w:kern w:val="2"/>
                      <w:sz w:val="20"/>
                      <w:szCs w:val="20"/>
                    </w:rPr>
                    <w:t>①</w:t>
                  </w:r>
                </w:p>
              </w:tc>
              <w:tc>
                <w:tcPr>
                  <w:tcW w:w="250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p>
              </w:tc>
              <w:tc>
                <w:tcPr>
                  <w:tcW w:w="7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kg/t-原料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NO</w:t>
                  </w:r>
                  <w:r>
                    <w:rPr>
                      <w:rFonts w:hint="eastAsia"/>
                      <w:color w:val="FF0000"/>
                      <w:kern w:val="2"/>
                      <w:sz w:val="20"/>
                      <w:szCs w:val="20"/>
                    </w:rPr>
                    <w:t>x</w:t>
                  </w:r>
                </w:p>
              </w:tc>
              <w:tc>
                <w:tcPr>
                  <w:tcW w:w="100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FF0000"/>
                      <w:kern w:val="2"/>
                      <w:sz w:val="20"/>
                      <w:szCs w:val="20"/>
                      <w:lang w:val="en-US" w:eastAsia="zh-CN"/>
                    </w:rPr>
                  </w:pPr>
                  <w:r>
                    <w:rPr>
                      <w:rFonts w:hint="eastAsia"/>
                      <w:color w:val="FF0000"/>
                      <w:kern w:val="2"/>
                      <w:sz w:val="20"/>
                      <w:szCs w:val="20"/>
                      <w:lang w:val="en-US" w:eastAsia="zh-CN"/>
                    </w:rPr>
                    <w:t>0.71</w:t>
                  </w:r>
                </w:p>
              </w:tc>
              <w:tc>
                <w:tcPr>
                  <w:tcW w:w="2500" w:type="pct"/>
                  <w:vMerge w:val="continue"/>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p>
              </w:tc>
              <w:tc>
                <w:tcPr>
                  <w:tcW w:w="760" w:type="pct"/>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kg/t-原料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FF0000"/>
                      <w:kern w:val="2"/>
                      <w:sz w:val="20"/>
                      <w:szCs w:val="20"/>
                    </w:rPr>
                  </w:pPr>
                  <w:r>
                    <w:rPr>
                      <w:color w:val="FF0000"/>
                      <w:kern w:val="2"/>
                      <w:sz w:val="20"/>
                      <w:szCs w:val="20"/>
                    </w:rPr>
                    <w:t>含硫量（S%）是指</w:t>
                  </w:r>
                  <w:r>
                    <w:rPr>
                      <w:rFonts w:hint="eastAsia"/>
                      <w:color w:val="FF0000"/>
                      <w:kern w:val="2"/>
                      <w:sz w:val="20"/>
                      <w:szCs w:val="20"/>
                    </w:rPr>
                    <w:t>生物质</w:t>
                  </w:r>
                  <w:r>
                    <w:rPr>
                      <w:color w:val="FF0000"/>
                      <w:kern w:val="2"/>
                      <w:sz w:val="20"/>
                      <w:szCs w:val="20"/>
                    </w:rPr>
                    <w:t>收到基硫含量，以质量百分数的形式表示。</w:t>
                  </w:r>
                </w:p>
              </w:tc>
            </w:tr>
          </w:tbl>
          <w:p>
            <w:pPr>
              <w:autoSpaceDE w:val="0"/>
              <w:autoSpaceDN w:val="0"/>
              <w:adjustRightInd w:val="0"/>
              <w:snapToGrid w:val="0"/>
              <w:spacing w:line="400" w:lineRule="exact"/>
              <w:ind w:firstLine="420" w:firstLineChars="200"/>
              <w:rPr>
                <w:rFonts w:hint="eastAsia"/>
                <w:color w:val="FF0000"/>
                <w:kern w:val="0"/>
                <w:szCs w:val="21"/>
                <w:highlight w:val="none"/>
                <w:lang w:val="en-US" w:eastAsia="zh-CN"/>
              </w:rPr>
            </w:pPr>
            <w:r>
              <w:rPr>
                <w:rFonts w:hint="eastAsia"/>
                <w:color w:val="FF0000"/>
                <w:kern w:val="0"/>
                <w:szCs w:val="21"/>
                <w:lang w:val="en-US" w:eastAsia="zh-CN"/>
              </w:rPr>
              <w:t>根据企业提供资料，</w:t>
            </w:r>
            <w:r>
              <w:rPr>
                <w:rFonts w:hint="eastAsia"/>
                <w:color w:val="FF0000"/>
                <w:kern w:val="2"/>
                <w:sz w:val="21"/>
                <w:szCs w:val="21"/>
              </w:rPr>
              <w:t>本项目生物质工业锅炉含硫量S为0</w:t>
            </w:r>
            <w:r>
              <w:rPr>
                <w:color w:val="FF0000"/>
                <w:kern w:val="2"/>
                <w:sz w:val="21"/>
                <w:szCs w:val="21"/>
              </w:rPr>
              <w:t>.0</w:t>
            </w:r>
            <w:r>
              <w:rPr>
                <w:rFonts w:hint="eastAsia"/>
                <w:color w:val="FF0000"/>
                <w:kern w:val="2"/>
                <w:sz w:val="21"/>
                <w:szCs w:val="21"/>
                <w:lang w:val="en-US" w:eastAsia="zh-CN"/>
              </w:rPr>
              <w:t>2%</w:t>
            </w:r>
            <w:r>
              <w:rPr>
                <w:rFonts w:hint="eastAsia"/>
                <w:color w:val="FF0000"/>
                <w:kern w:val="2"/>
                <w:sz w:val="21"/>
                <w:szCs w:val="21"/>
              </w:rPr>
              <w:t>，因此本项目生物质</w:t>
            </w:r>
            <w:r>
              <w:rPr>
                <w:rFonts w:hint="eastAsia"/>
                <w:color w:val="FF0000"/>
                <w:kern w:val="2"/>
                <w:sz w:val="21"/>
                <w:szCs w:val="21"/>
                <w:lang w:val="en-US" w:eastAsia="zh-CN"/>
              </w:rPr>
              <w:t>导热油炉</w:t>
            </w:r>
            <w:r>
              <w:rPr>
                <w:rFonts w:hint="eastAsia"/>
                <w:color w:val="FF0000"/>
                <w:kern w:val="2"/>
                <w:sz w:val="21"/>
                <w:szCs w:val="21"/>
              </w:rPr>
              <w:t>燃烧废气污染物产生量为：工业废气量</w:t>
            </w:r>
            <w:r>
              <w:rPr>
                <w:rFonts w:hint="eastAsia"/>
                <w:color w:val="FF0000"/>
                <w:kern w:val="2"/>
                <w:sz w:val="21"/>
                <w:szCs w:val="21"/>
                <w:lang w:val="en-US" w:eastAsia="zh-CN"/>
              </w:rPr>
              <w:t>4493</w:t>
            </w:r>
            <w:r>
              <w:rPr>
                <w:rFonts w:hint="eastAsia"/>
                <w:color w:val="FF0000"/>
                <w:kern w:val="2"/>
                <w:sz w:val="21"/>
                <w:szCs w:val="21"/>
              </w:rPr>
              <w:t>万Nm</w:t>
            </w:r>
            <w:r>
              <w:rPr>
                <w:color w:val="FF0000"/>
                <w:kern w:val="2"/>
                <w:sz w:val="21"/>
                <w:szCs w:val="21"/>
                <w:vertAlign w:val="superscript"/>
              </w:rPr>
              <w:t>3</w:t>
            </w:r>
            <w:r>
              <w:rPr>
                <w:rFonts w:hint="eastAsia"/>
                <w:color w:val="FF0000"/>
                <w:kern w:val="2"/>
                <w:sz w:val="21"/>
                <w:szCs w:val="21"/>
              </w:rPr>
              <w:t>（</w:t>
            </w:r>
            <w:r>
              <w:rPr>
                <w:rFonts w:hint="eastAsia"/>
                <w:color w:val="FF0000"/>
                <w:kern w:val="2"/>
                <w:sz w:val="21"/>
                <w:szCs w:val="21"/>
                <w:lang w:val="en-US" w:eastAsia="zh-CN"/>
              </w:rPr>
              <w:t>6240</w:t>
            </w:r>
            <w:r>
              <w:rPr>
                <w:rFonts w:hint="eastAsia"/>
                <w:color w:val="FF0000"/>
                <w:kern w:val="2"/>
                <w:sz w:val="21"/>
                <w:szCs w:val="21"/>
              </w:rPr>
              <w:t>m</w:t>
            </w:r>
            <w:r>
              <w:rPr>
                <w:color w:val="FF0000"/>
                <w:kern w:val="2"/>
                <w:sz w:val="21"/>
                <w:szCs w:val="21"/>
                <w:vertAlign w:val="superscript"/>
              </w:rPr>
              <w:t>3</w:t>
            </w:r>
            <w:r>
              <w:rPr>
                <w:color w:val="FF0000"/>
                <w:kern w:val="2"/>
                <w:sz w:val="21"/>
                <w:szCs w:val="21"/>
              </w:rPr>
              <w:t>/</w:t>
            </w:r>
            <w:r>
              <w:rPr>
                <w:rFonts w:hint="eastAsia"/>
                <w:color w:val="FF0000"/>
                <w:kern w:val="2"/>
                <w:sz w:val="21"/>
                <w:szCs w:val="21"/>
              </w:rPr>
              <w:t>h）、颗粒物</w:t>
            </w:r>
            <w:r>
              <w:rPr>
                <w:rFonts w:hint="eastAsia"/>
                <w:color w:val="FF0000"/>
                <w:kern w:val="2"/>
                <w:sz w:val="21"/>
                <w:szCs w:val="21"/>
                <w:lang w:val="en-US" w:eastAsia="zh-CN"/>
              </w:rPr>
              <w:t>3.5</w:t>
            </w:r>
            <w:r>
              <w:rPr>
                <w:rFonts w:hint="eastAsia"/>
                <w:color w:val="FF0000"/>
                <w:kern w:val="2"/>
                <w:sz w:val="21"/>
                <w:szCs w:val="21"/>
              </w:rPr>
              <w:t>t/a、SO</w:t>
            </w:r>
            <w:r>
              <w:rPr>
                <w:color w:val="FF0000"/>
                <w:kern w:val="2"/>
                <w:sz w:val="21"/>
                <w:szCs w:val="21"/>
                <w:vertAlign w:val="subscript"/>
              </w:rPr>
              <w:t>2</w:t>
            </w:r>
            <w:r>
              <w:rPr>
                <w:rFonts w:hint="eastAsia"/>
                <w:color w:val="FF0000"/>
                <w:kern w:val="2"/>
                <w:sz w:val="21"/>
                <w:szCs w:val="21"/>
                <w:vertAlign w:val="subscript"/>
                <w:lang w:val="en-US" w:eastAsia="zh-CN"/>
              </w:rPr>
              <w:t xml:space="preserve"> </w:t>
            </w:r>
            <w:r>
              <w:rPr>
                <w:rFonts w:hint="eastAsia"/>
                <w:color w:val="FF0000"/>
                <w:kern w:val="2"/>
                <w:sz w:val="21"/>
                <w:szCs w:val="21"/>
                <w:vertAlign w:val="baseline"/>
                <w:lang w:val="en-US" w:eastAsia="zh-CN"/>
              </w:rPr>
              <w:t>2.38</w:t>
            </w:r>
            <w:r>
              <w:rPr>
                <w:rFonts w:hint="eastAsia"/>
                <w:color w:val="FF0000"/>
                <w:kern w:val="2"/>
                <w:sz w:val="21"/>
                <w:szCs w:val="21"/>
              </w:rPr>
              <w:t>t/a、NO</w:t>
            </w:r>
            <w:r>
              <w:rPr>
                <w:rFonts w:hint="eastAsia"/>
                <w:color w:val="FF0000"/>
                <w:kern w:val="2"/>
                <w:sz w:val="21"/>
                <w:szCs w:val="21"/>
                <w:vertAlign w:val="subscript"/>
              </w:rPr>
              <w:t>x</w:t>
            </w:r>
            <w:r>
              <w:rPr>
                <w:rFonts w:hint="eastAsia"/>
                <w:color w:val="FF0000"/>
                <w:kern w:val="2"/>
                <w:sz w:val="21"/>
                <w:szCs w:val="21"/>
                <w:vertAlign w:val="subscript"/>
                <w:lang w:val="en-US" w:eastAsia="zh-CN"/>
              </w:rPr>
              <w:t xml:space="preserve"> </w:t>
            </w:r>
            <w:r>
              <w:rPr>
                <w:rFonts w:hint="eastAsia"/>
                <w:color w:val="FF0000"/>
                <w:kern w:val="2"/>
                <w:sz w:val="21"/>
                <w:szCs w:val="21"/>
                <w:lang w:val="en-US" w:eastAsia="zh-CN"/>
              </w:rPr>
              <w:t>4.97</w:t>
            </w:r>
            <w:r>
              <w:rPr>
                <w:rFonts w:hint="eastAsia"/>
                <w:color w:val="FF0000"/>
                <w:kern w:val="2"/>
                <w:sz w:val="21"/>
                <w:szCs w:val="21"/>
              </w:rPr>
              <w:t>t/a。</w:t>
            </w:r>
          </w:p>
          <w:p>
            <w:pPr>
              <w:autoSpaceDE w:val="0"/>
              <w:autoSpaceDN w:val="0"/>
              <w:adjustRightInd w:val="0"/>
              <w:snapToGrid w:val="0"/>
              <w:spacing w:line="400" w:lineRule="exact"/>
              <w:ind w:firstLine="420" w:firstLineChars="200"/>
              <w:rPr>
                <w:rFonts w:hint="eastAsia"/>
                <w:color w:val="FF0000"/>
                <w:kern w:val="2"/>
                <w:sz w:val="21"/>
                <w:szCs w:val="21"/>
              </w:rPr>
            </w:pPr>
            <w:r>
              <w:rPr>
                <w:color w:val="FF0000"/>
                <w:kern w:val="2"/>
                <w:sz w:val="21"/>
                <w:szCs w:val="21"/>
              </w:rPr>
              <w:t>本项目采用</w:t>
            </w:r>
            <w:r>
              <w:rPr>
                <w:rFonts w:hint="eastAsia"/>
                <w:color w:val="FF0000"/>
                <w:kern w:val="2"/>
                <w:sz w:val="21"/>
                <w:szCs w:val="21"/>
              </w:rPr>
              <w:t>低氮</w:t>
            </w:r>
            <w:r>
              <w:rPr>
                <w:color w:val="FF0000"/>
                <w:kern w:val="2"/>
                <w:sz w:val="21"/>
                <w:szCs w:val="21"/>
              </w:rPr>
              <w:t>燃烧，</w:t>
            </w:r>
            <w:r>
              <w:rPr>
                <w:rFonts w:hint="eastAsia"/>
                <w:color w:val="FF0000"/>
                <w:kern w:val="2"/>
                <w:sz w:val="21"/>
                <w:szCs w:val="21"/>
                <w:lang w:val="en-US" w:eastAsia="zh-CN"/>
              </w:rPr>
              <w:t>导热油炉废气经一套低氮燃烧+SNCR+石灰喷雾干燥+余热回收+旋风除尘+布袋除尘+水幕除尘</w:t>
            </w:r>
            <w:r>
              <w:rPr>
                <w:color w:val="FF0000"/>
                <w:kern w:val="2"/>
                <w:sz w:val="21"/>
                <w:szCs w:val="21"/>
              </w:rPr>
              <w:t>处理后</w:t>
            </w:r>
            <w:r>
              <w:rPr>
                <w:rFonts w:hint="eastAsia"/>
                <w:color w:val="FF0000"/>
                <w:kern w:val="2"/>
                <w:sz w:val="21"/>
                <w:szCs w:val="21"/>
                <w:lang w:val="en-US" w:eastAsia="zh-CN"/>
              </w:rPr>
              <w:t>合并</w:t>
            </w:r>
            <w:r>
              <w:rPr>
                <w:color w:val="FF0000"/>
                <w:kern w:val="2"/>
                <w:sz w:val="21"/>
                <w:szCs w:val="21"/>
              </w:rPr>
              <w:t>通过</w:t>
            </w:r>
            <w:r>
              <w:rPr>
                <w:rFonts w:hint="eastAsia"/>
                <w:color w:val="FF0000"/>
                <w:kern w:val="2"/>
                <w:sz w:val="21"/>
                <w:szCs w:val="21"/>
                <w:lang w:val="en-US" w:eastAsia="zh-CN"/>
              </w:rPr>
              <w:t>35</w:t>
            </w:r>
            <w:r>
              <w:rPr>
                <w:color w:val="FF0000"/>
                <w:kern w:val="2"/>
                <w:sz w:val="21"/>
                <w:szCs w:val="21"/>
              </w:rPr>
              <w:t>m高</w:t>
            </w:r>
            <w:r>
              <w:rPr>
                <w:rFonts w:hint="eastAsia"/>
                <w:color w:val="FF0000"/>
                <w:kern w:val="2"/>
                <w:sz w:val="21"/>
                <w:szCs w:val="21"/>
                <w:lang w:val="en-US" w:eastAsia="zh-CN"/>
              </w:rPr>
              <w:t>DA003</w:t>
            </w:r>
            <w:r>
              <w:rPr>
                <w:color w:val="FF0000"/>
                <w:kern w:val="2"/>
                <w:sz w:val="21"/>
                <w:szCs w:val="21"/>
              </w:rPr>
              <w:t>排气筒高空排放</w:t>
            </w:r>
            <w:r>
              <w:rPr>
                <w:rFonts w:hint="eastAsia"/>
                <w:color w:val="FF0000"/>
                <w:kern w:val="2"/>
                <w:sz w:val="21"/>
                <w:szCs w:val="21"/>
              </w:rPr>
              <w:t>。</w:t>
            </w:r>
          </w:p>
          <w:p>
            <w:pPr>
              <w:autoSpaceDE w:val="0"/>
              <w:autoSpaceDN w:val="0"/>
              <w:adjustRightInd w:val="0"/>
              <w:snapToGrid w:val="0"/>
              <w:spacing w:line="400" w:lineRule="exact"/>
              <w:ind w:firstLine="420" w:firstLineChars="200"/>
              <w:rPr>
                <w:rFonts w:hint="eastAsia"/>
                <w:color w:val="FF0000"/>
                <w:kern w:val="2"/>
                <w:sz w:val="21"/>
                <w:szCs w:val="21"/>
                <w:lang w:eastAsia="zh-CN"/>
              </w:rPr>
            </w:pPr>
            <w:r>
              <w:rPr>
                <w:rFonts w:hint="eastAsia"/>
                <w:color w:val="FF0000"/>
                <w:kern w:val="2"/>
                <w:sz w:val="21"/>
                <w:szCs w:val="21"/>
                <w:lang w:val="en-US" w:eastAsia="zh-CN"/>
              </w:rPr>
              <w:t>参考《生物质燃料锅炉低氮燃烧技术研究进展》（郭勇等）：“低氮燃烧技术研究，甄天雷</w:t>
            </w:r>
            <w:r>
              <w:rPr>
                <w:rFonts w:hint="default"/>
                <w:color w:val="FF0000"/>
                <w:kern w:val="2"/>
                <w:sz w:val="21"/>
                <w:szCs w:val="21"/>
                <w:lang w:val="en-US" w:eastAsia="zh-CN"/>
              </w:rPr>
              <w:t>等开展生物质再燃脱硝 特性实验。研究表明，杨木屑、花生壳、玉米秆及稻壳 均为较好的再燃燃料，脱硝率可达60%~70%</w:t>
            </w:r>
            <w:r>
              <w:rPr>
                <w:rFonts w:hint="eastAsia"/>
                <w:color w:val="FF0000"/>
                <w:kern w:val="2"/>
                <w:sz w:val="21"/>
                <w:szCs w:val="21"/>
                <w:lang w:val="en-US" w:eastAsia="zh-CN"/>
              </w:rPr>
              <w:t>”，本项目保守考虑低氮燃烧对氮氧化物的去除效率为60%，参考《</w:t>
            </w:r>
            <w:r>
              <w:rPr>
                <w:rFonts w:hint="default"/>
                <w:color w:val="FF0000"/>
                <w:kern w:val="2"/>
                <w:sz w:val="21"/>
                <w:szCs w:val="21"/>
                <w:lang w:val="en-US" w:eastAsia="zh-CN"/>
              </w:rPr>
              <w:t>生物质锅炉脱硝技术发展现状分析</w:t>
            </w:r>
            <w:r>
              <w:rPr>
                <w:rFonts w:hint="eastAsia"/>
                <w:color w:val="FF0000"/>
                <w:kern w:val="2"/>
                <w:sz w:val="21"/>
                <w:szCs w:val="21"/>
                <w:lang w:val="en-US" w:eastAsia="zh-CN"/>
              </w:rPr>
              <w:t>》（</w:t>
            </w:r>
            <w:r>
              <w:rPr>
                <w:rFonts w:hint="default"/>
                <w:color w:val="FF0000"/>
                <w:kern w:val="2"/>
                <w:sz w:val="21"/>
                <w:szCs w:val="21"/>
                <w:lang w:val="en-US" w:eastAsia="zh-CN"/>
              </w:rPr>
              <w:t>王献民</w:t>
            </w:r>
            <w:r>
              <w:rPr>
                <w:rFonts w:hint="eastAsia"/>
                <w:color w:val="FF0000"/>
                <w:kern w:val="2"/>
                <w:sz w:val="21"/>
                <w:szCs w:val="21"/>
                <w:lang w:val="en-US" w:eastAsia="zh-CN"/>
              </w:rPr>
              <w:t>编）：“非催化还原技术（SNCR）该技术具有投资省、运行费用</w:t>
            </w:r>
            <w:r>
              <w:rPr>
                <w:rFonts w:hint="default"/>
                <w:color w:val="FF0000"/>
                <w:kern w:val="2"/>
                <w:sz w:val="21"/>
                <w:szCs w:val="21"/>
                <w:lang w:val="en-US" w:eastAsia="zh-CN"/>
              </w:rPr>
              <w:t>低以及操作简便等优势，但是脱硝效率较低</w:t>
            </w:r>
            <w:r>
              <w:rPr>
                <w:rFonts w:hint="eastAsia"/>
                <w:color w:val="FF0000"/>
                <w:kern w:val="2"/>
                <w:sz w:val="21"/>
                <w:szCs w:val="21"/>
                <w:lang w:val="en-US" w:eastAsia="zh-CN"/>
              </w:rPr>
              <w:t>，</w:t>
            </w:r>
            <w:r>
              <w:rPr>
                <w:rFonts w:hint="default"/>
                <w:color w:val="FF0000"/>
                <w:kern w:val="2"/>
                <w:sz w:val="21"/>
                <w:szCs w:val="21"/>
                <w:lang w:val="en-US" w:eastAsia="zh-CN"/>
              </w:rPr>
              <w:t>一般在50%</w:t>
            </w:r>
            <w:r>
              <w:rPr>
                <w:rFonts w:hint="eastAsia"/>
                <w:color w:val="FF0000"/>
                <w:kern w:val="2"/>
                <w:sz w:val="21"/>
                <w:szCs w:val="21"/>
                <w:lang w:val="en-US" w:eastAsia="zh-CN"/>
              </w:rPr>
              <w:t>”</w:t>
            </w:r>
            <w:r>
              <w:rPr>
                <w:rFonts w:hint="eastAsia"/>
                <w:color w:val="FF0000"/>
                <w:szCs w:val="18"/>
              </w:rPr>
              <w:t>SNCR</w:t>
            </w:r>
            <w:r>
              <w:rPr>
                <w:rFonts w:hint="eastAsia"/>
                <w:color w:val="FF0000"/>
                <w:szCs w:val="18"/>
                <w:lang w:val="en-US" w:eastAsia="zh-CN"/>
              </w:rPr>
              <w:t>对层燃炉</w:t>
            </w:r>
            <w:r>
              <w:rPr>
                <w:rFonts w:hint="eastAsia"/>
                <w:color w:val="FF0000"/>
                <w:szCs w:val="18"/>
              </w:rPr>
              <w:t>脱硝对氮氧化物的去除效率为</w:t>
            </w:r>
            <w:r>
              <w:rPr>
                <w:rFonts w:hint="eastAsia"/>
                <w:color w:val="FF0000"/>
                <w:szCs w:val="18"/>
                <w:lang w:val="en-US" w:eastAsia="zh-CN"/>
              </w:rPr>
              <w:t>50</w:t>
            </w:r>
            <w:r>
              <w:rPr>
                <w:rFonts w:hint="eastAsia"/>
                <w:color w:val="FF0000"/>
                <w:szCs w:val="18"/>
              </w:rPr>
              <w:t>%</w:t>
            </w:r>
            <w:r>
              <w:rPr>
                <w:rFonts w:hint="eastAsia"/>
                <w:color w:val="FF0000"/>
                <w:szCs w:val="18"/>
                <w:lang w:eastAsia="zh-CN"/>
              </w:rPr>
              <w:t>，</w:t>
            </w:r>
            <w:r>
              <w:rPr>
                <w:rFonts w:hint="eastAsia"/>
                <w:color w:val="FF0000"/>
                <w:szCs w:val="18"/>
              </w:rPr>
              <w:t>则低氮燃烧+SNCR脱硝对NOx的去除效率以</w:t>
            </w:r>
            <w:r>
              <w:rPr>
                <w:rFonts w:hint="eastAsia"/>
                <w:color w:val="FF0000"/>
                <w:szCs w:val="18"/>
                <w:lang w:val="en-US" w:eastAsia="zh-CN"/>
              </w:rPr>
              <w:t>80</w:t>
            </w:r>
            <w:r>
              <w:rPr>
                <w:rFonts w:hint="eastAsia"/>
                <w:color w:val="FF0000"/>
                <w:szCs w:val="18"/>
              </w:rPr>
              <w:t>%计</w:t>
            </w:r>
            <w:r>
              <w:rPr>
                <w:rFonts w:hint="eastAsia"/>
                <w:color w:val="FF0000"/>
                <w:kern w:val="2"/>
                <w:sz w:val="21"/>
                <w:szCs w:val="21"/>
                <w:lang w:eastAsia="zh-CN"/>
              </w:rPr>
              <w:t>；</w:t>
            </w:r>
          </w:p>
          <w:p>
            <w:pPr>
              <w:autoSpaceDE w:val="0"/>
              <w:autoSpaceDN w:val="0"/>
              <w:adjustRightInd w:val="0"/>
              <w:snapToGrid w:val="0"/>
              <w:spacing w:line="400" w:lineRule="exact"/>
              <w:ind w:firstLine="420" w:firstLineChars="200"/>
              <w:rPr>
                <w:rFonts w:hint="eastAsia"/>
                <w:color w:val="FF0000"/>
                <w:kern w:val="2"/>
                <w:sz w:val="21"/>
                <w:szCs w:val="21"/>
                <w:lang w:eastAsia="zh-CN"/>
              </w:rPr>
            </w:pPr>
            <w:r>
              <w:rPr>
                <w:rFonts w:hint="eastAsia" w:ascii="Times New Roman" w:hAnsi="Times New Roman" w:eastAsia="宋体" w:cs="Times New Roman"/>
                <w:color w:val="FF0000"/>
                <w:kern w:val="2"/>
                <w:sz w:val="21"/>
                <w:szCs w:val="21"/>
                <w:lang w:val="en-US" w:eastAsia="zh-CN"/>
              </w:rPr>
              <w:t>根据</w:t>
            </w:r>
            <w:r>
              <w:rPr>
                <w:rFonts w:hint="eastAsia" w:ascii="Times New Roman" w:hAnsi="Times New Roman" w:eastAsia="宋体" w:cs="Times New Roman"/>
                <w:color w:val="FF0000"/>
                <w:kern w:val="2"/>
                <w:sz w:val="21"/>
                <w:szCs w:val="21"/>
              </w:rPr>
              <w:t>《排放源统计调查产排污核算方法和系数手册》“4430工业锅炉（热力生产和供应行业）产污系数表-生物质工业锅炉”</w:t>
            </w:r>
            <w:r>
              <w:rPr>
                <w:rFonts w:hint="eastAsia" w:ascii="Times New Roman" w:hAnsi="Times New Roman" w:eastAsia="宋体" w:cs="Times New Roman"/>
                <w:color w:val="FF0000"/>
                <w:kern w:val="2"/>
                <w:sz w:val="21"/>
                <w:szCs w:val="21"/>
                <w:lang w:eastAsia="zh-CN"/>
              </w:rPr>
              <w:t>，</w:t>
            </w:r>
            <w:r>
              <w:rPr>
                <w:rFonts w:hint="eastAsia"/>
                <w:color w:val="FF0000"/>
                <w:kern w:val="2"/>
                <w:sz w:val="21"/>
                <w:szCs w:val="21"/>
              </w:rPr>
              <w:t>多管旋风除尘法对颗粒物去除效率取</w:t>
            </w:r>
            <w:r>
              <w:rPr>
                <w:rFonts w:hint="eastAsia"/>
                <w:color w:val="FF0000"/>
                <w:kern w:val="2"/>
                <w:sz w:val="21"/>
                <w:szCs w:val="21"/>
                <w:lang w:val="en-US" w:eastAsia="zh-CN"/>
              </w:rPr>
              <w:t>70</w:t>
            </w:r>
            <w:r>
              <w:rPr>
                <w:rFonts w:hint="eastAsia"/>
                <w:color w:val="FF0000"/>
                <w:kern w:val="2"/>
                <w:sz w:val="21"/>
                <w:szCs w:val="21"/>
              </w:rPr>
              <w:t>%，</w:t>
            </w:r>
            <w:r>
              <w:rPr>
                <w:rFonts w:hint="eastAsia"/>
                <w:color w:val="FF0000"/>
                <w:kern w:val="2"/>
                <w:sz w:val="21"/>
                <w:szCs w:val="21"/>
                <w:lang w:val="en-US" w:eastAsia="zh-CN"/>
              </w:rPr>
              <w:t>水幕除尘</w:t>
            </w:r>
            <w:r>
              <w:rPr>
                <w:rFonts w:hint="eastAsia"/>
                <w:color w:val="FF0000"/>
                <w:kern w:val="2"/>
                <w:sz w:val="21"/>
                <w:szCs w:val="21"/>
              </w:rPr>
              <w:t>对颗粒物去除效率取</w:t>
            </w:r>
            <w:r>
              <w:rPr>
                <w:rFonts w:hint="eastAsia"/>
                <w:color w:val="FF0000"/>
                <w:kern w:val="2"/>
                <w:sz w:val="21"/>
                <w:szCs w:val="21"/>
                <w:lang w:val="en-US" w:eastAsia="zh-CN"/>
              </w:rPr>
              <w:t>87</w:t>
            </w:r>
            <w:r>
              <w:rPr>
                <w:rFonts w:hint="eastAsia"/>
                <w:color w:val="FF0000"/>
                <w:kern w:val="2"/>
                <w:sz w:val="21"/>
                <w:szCs w:val="21"/>
              </w:rPr>
              <w:t>%，袋式除尘器去除效率取9</w:t>
            </w:r>
            <w:r>
              <w:rPr>
                <w:rFonts w:hint="eastAsia"/>
                <w:color w:val="FF0000"/>
                <w:kern w:val="2"/>
                <w:sz w:val="21"/>
                <w:szCs w:val="21"/>
                <w:lang w:val="en-US" w:eastAsia="zh-CN"/>
              </w:rPr>
              <w:t>9.7</w:t>
            </w:r>
            <w:r>
              <w:rPr>
                <w:rFonts w:hint="eastAsia"/>
                <w:color w:val="FF0000"/>
                <w:kern w:val="2"/>
                <w:sz w:val="21"/>
                <w:szCs w:val="21"/>
              </w:rPr>
              <w:t>%，本项目旋风除尘+袋式除尘</w:t>
            </w:r>
            <w:r>
              <w:rPr>
                <w:rFonts w:hint="eastAsia"/>
                <w:color w:val="FF0000"/>
                <w:kern w:val="2"/>
                <w:sz w:val="21"/>
                <w:szCs w:val="21"/>
                <w:lang w:val="en-US" w:eastAsia="zh-CN"/>
              </w:rPr>
              <w:t>+水幕除尘</w:t>
            </w:r>
            <w:r>
              <w:rPr>
                <w:rFonts w:hint="eastAsia"/>
                <w:color w:val="FF0000"/>
                <w:kern w:val="2"/>
                <w:sz w:val="21"/>
                <w:szCs w:val="21"/>
              </w:rPr>
              <w:t>器去除效率合计为99.</w:t>
            </w:r>
            <w:r>
              <w:rPr>
                <w:rFonts w:hint="eastAsia"/>
                <w:color w:val="FF0000"/>
                <w:kern w:val="2"/>
                <w:sz w:val="21"/>
                <w:szCs w:val="21"/>
                <w:lang w:val="en-US" w:eastAsia="zh-CN"/>
              </w:rPr>
              <w:t>98</w:t>
            </w:r>
            <w:r>
              <w:rPr>
                <w:rFonts w:hint="eastAsia"/>
                <w:color w:val="FF0000"/>
                <w:kern w:val="2"/>
                <w:sz w:val="21"/>
                <w:szCs w:val="21"/>
              </w:rPr>
              <w:t>%</w:t>
            </w:r>
            <w:r>
              <w:rPr>
                <w:rFonts w:hint="eastAsia"/>
                <w:color w:val="FF0000"/>
                <w:kern w:val="2"/>
                <w:sz w:val="21"/>
                <w:szCs w:val="21"/>
                <w:lang w:eastAsia="zh-CN"/>
              </w:rPr>
              <w:t>；</w:t>
            </w:r>
          </w:p>
          <w:p>
            <w:pPr>
              <w:autoSpaceDE w:val="0"/>
              <w:autoSpaceDN w:val="0"/>
              <w:adjustRightInd w:val="0"/>
              <w:snapToGrid w:val="0"/>
              <w:spacing w:line="400" w:lineRule="exact"/>
              <w:ind w:firstLine="420" w:firstLineChars="200"/>
              <w:rPr>
                <w:rFonts w:hint="eastAsia"/>
                <w:color w:val="FF0000"/>
                <w:kern w:val="2"/>
                <w:sz w:val="21"/>
                <w:szCs w:val="21"/>
              </w:rPr>
            </w:pPr>
            <w:r>
              <w:rPr>
                <w:rFonts w:hint="eastAsia"/>
                <w:color w:val="FF0000"/>
                <w:kern w:val="2"/>
                <w:sz w:val="21"/>
                <w:szCs w:val="21"/>
                <w:lang w:val="en-US" w:eastAsia="zh-CN"/>
              </w:rPr>
              <w:t>石灰喷雾干燥法（半干法）对</w:t>
            </w:r>
            <w:r>
              <w:rPr>
                <w:rFonts w:hint="eastAsia"/>
                <w:color w:val="FF0000"/>
                <w:kern w:val="2"/>
                <w:sz w:val="21"/>
                <w:szCs w:val="21"/>
              </w:rPr>
              <w:t>SO</w:t>
            </w:r>
            <w:r>
              <w:rPr>
                <w:rFonts w:hint="eastAsia"/>
                <w:color w:val="FF0000"/>
                <w:kern w:val="2"/>
                <w:sz w:val="21"/>
                <w:szCs w:val="21"/>
                <w:vertAlign w:val="subscript"/>
              </w:rPr>
              <w:t>2</w:t>
            </w:r>
            <w:r>
              <w:rPr>
                <w:rFonts w:hint="eastAsia"/>
                <w:color w:val="FF0000"/>
                <w:kern w:val="2"/>
                <w:sz w:val="21"/>
                <w:szCs w:val="21"/>
                <w:lang w:val="en-US" w:eastAsia="zh-CN"/>
              </w:rPr>
              <w:t>去除率参考层燃炉-所有规模中喷雾干燥法技术治理效率为70%，</w:t>
            </w:r>
            <w:r>
              <w:rPr>
                <w:rFonts w:hint="eastAsia"/>
                <w:color w:val="FF0000"/>
                <w:kern w:val="2"/>
                <w:sz w:val="21"/>
                <w:szCs w:val="21"/>
              </w:rPr>
              <w:t>则生物质</w:t>
            </w:r>
            <w:r>
              <w:rPr>
                <w:rFonts w:hint="eastAsia"/>
                <w:color w:val="FF0000"/>
                <w:kern w:val="2"/>
                <w:sz w:val="21"/>
                <w:szCs w:val="21"/>
                <w:lang w:val="en-US" w:eastAsia="zh-CN"/>
              </w:rPr>
              <w:t>蒸汽</w:t>
            </w:r>
            <w:r>
              <w:rPr>
                <w:rFonts w:hint="eastAsia"/>
                <w:color w:val="FF0000"/>
                <w:kern w:val="2"/>
                <w:sz w:val="21"/>
                <w:szCs w:val="21"/>
              </w:rPr>
              <w:t>锅炉有组织颗粒物排放量为</w:t>
            </w:r>
            <w:r>
              <w:rPr>
                <w:rFonts w:hint="eastAsia"/>
                <w:color w:val="FF0000"/>
                <w:kern w:val="2"/>
                <w:sz w:val="21"/>
                <w:szCs w:val="21"/>
                <w:lang w:val="en-US" w:eastAsia="zh-CN"/>
              </w:rPr>
              <w:t>0.0007</w:t>
            </w:r>
            <w:r>
              <w:rPr>
                <w:rFonts w:hint="eastAsia"/>
                <w:color w:val="FF0000"/>
                <w:kern w:val="2"/>
                <w:sz w:val="21"/>
                <w:szCs w:val="21"/>
              </w:rPr>
              <w:t>t/a，有组织SO</w:t>
            </w:r>
            <w:r>
              <w:rPr>
                <w:rFonts w:hint="eastAsia"/>
                <w:color w:val="FF0000"/>
                <w:kern w:val="2"/>
                <w:sz w:val="21"/>
                <w:szCs w:val="21"/>
                <w:vertAlign w:val="subscript"/>
              </w:rPr>
              <w:t>2</w:t>
            </w:r>
            <w:r>
              <w:rPr>
                <w:rFonts w:hint="eastAsia"/>
                <w:color w:val="FF0000"/>
                <w:kern w:val="2"/>
                <w:sz w:val="21"/>
                <w:szCs w:val="21"/>
              </w:rPr>
              <w:t>排放量为</w:t>
            </w:r>
            <w:r>
              <w:rPr>
                <w:rFonts w:hint="eastAsia"/>
                <w:color w:val="FF0000"/>
                <w:kern w:val="2"/>
                <w:sz w:val="21"/>
                <w:szCs w:val="21"/>
                <w:lang w:val="en-US" w:eastAsia="zh-CN"/>
              </w:rPr>
              <w:t>0.714</w:t>
            </w:r>
            <w:r>
              <w:rPr>
                <w:rFonts w:hint="eastAsia"/>
                <w:color w:val="FF0000"/>
                <w:kern w:val="2"/>
                <w:sz w:val="21"/>
                <w:szCs w:val="21"/>
              </w:rPr>
              <w:t>t/a，有组织NO</w:t>
            </w:r>
            <w:r>
              <w:rPr>
                <w:rFonts w:hint="eastAsia"/>
                <w:color w:val="FF0000"/>
                <w:kern w:val="2"/>
                <w:sz w:val="21"/>
                <w:szCs w:val="21"/>
                <w:vertAlign w:val="subscript"/>
              </w:rPr>
              <w:t>x</w:t>
            </w:r>
            <w:r>
              <w:rPr>
                <w:rFonts w:hint="eastAsia"/>
                <w:color w:val="FF0000"/>
                <w:kern w:val="2"/>
                <w:sz w:val="21"/>
                <w:szCs w:val="21"/>
              </w:rPr>
              <w:t>排放量为</w:t>
            </w:r>
            <w:r>
              <w:rPr>
                <w:rFonts w:hint="eastAsia"/>
                <w:color w:val="FF0000"/>
                <w:kern w:val="2"/>
                <w:sz w:val="21"/>
                <w:szCs w:val="21"/>
                <w:lang w:val="en-US" w:eastAsia="zh-CN"/>
              </w:rPr>
              <w:t>0.994</w:t>
            </w:r>
            <w:r>
              <w:rPr>
                <w:rFonts w:hint="eastAsia"/>
                <w:color w:val="FF0000"/>
                <w:kern w:val="2"/>
                <w:sz w:val="21"/>
                <w:szCs w:val="21"/>
              </w:rPr>
              <w:t>t/a。</w:t>
            </w:r>
          </w:p>
          <w:p>
            <w:pPr>
              <w:autoSpaceDE w:val="0"/>
              <w:autoSpaceDN w:val="0"/>
              <w:adjustRightInd w:val="0"/>
              <w:snapToGrid w:val="0"/>
              <w:spacing w:line="400" w:lineRule="exact"/>
              <w:ind w:firstLine="420" w:firstLineChars="200"/>
              <w:rPr>
                <w:rFonts w:hint="eastAsia"/>
                <w:color w:val="FF0000"/>
                <w:kern w:val="2"/>
                <w:sz w:val="21"/>
                <w:szCs w:val="21"/>
              </w:rPr>
            </w:pPr>
            <w:r>
              <w:rPr>
                <w:rFonts w:hint="eastAsia"/>
                <w:color w:val="FF0000"/>
                <w:kern w:val="2"/>
                <w:sz w:val="21"/>
                <w:szCs w:val="21"/>
              </w:rPr>
              <w:t>风量核算：生物质</w:t>
            </w:r>
            <w:r>
              <w:rPr>
                <w:rFonts w:hint="eastAsia"/>
                <w:color w:val="FF0000"/>
                <w:kern w:val="2"/>
                <w:sz w:val="21"/>
                <w:szCs w:val="21"/>
                <w:lang w:val="en-US" w:eastAsia="zh-CN"/>
              </w:rPr>
              <w:t>导热油炉</w:t>
            </w:r>
            <w:r>
              <w:rPr>
                <w:rFonts w:hint="eastAsia"/>
                <w:color w:val="FF0000"/>
                <w:kern w:val="2"/>
                <w:sz w:val="21"/>
                <w:szCs w:val="21"/>
              </w:rPr>
              <w:t>年工作时间为7200h，经计算风量为</w:t>
            </w:r>
            <w:r>
              <w:rPr>
                <w:rFonts w:hint="eastAsia"/>
                <w:color w:val="FF0000"/>
                <w:kern w:val="2"/>
                <w:sz w:val="21"/>
                <w:szCs w:val="21"/>
                <w:lang w:val="en-US" w:eastAsia="zh-CN"/>
              </w:rPr>
              <w:t>6240</w:t>
            </w:r>
            <w:r>
              <w:rPr>
                <w:rFonts w:hint="eastAsia"/>
                <w:color w:val="FF0000"/>
                <w:kern w:val="2"/>
                <w:sz w:val="21"/>
                <w:szCs w:val="21"/>
              </w:rPr>
              <w:t>m</w:t>
            </w:r>
            <w:r>
              <w:rPr>
                <w:rFonts w:hint="eastAsia"/>
                <w:color w:val="FF0000"/>
                <w:kern w:val="2"/>
                <w:sz w:val="21"/>
                <w:szCs w:val="21"/>
                <w:vertAlign w:val="superscript"/>
              </w:rPr>
              <w:t>3</w:t>
            </w:r>
            <w:r>
              <w:rPr>
                <w:rFonts w:hint="eastAsia"/>
                <w:color w:val="FF0000"/>
                <w:kern w:val="2"/>
                <w:sz w:val="21"/>
                <w:szCs w:val="21"/>
                <w:vertAlign w:val="baseline"/>
                <w:lang w:val="en-US" w:eastAsia="zh-CN"/>
              </w:rPr>
              <w:t>/h</w:t>
            </w:r>
            <w:r>
              <w:rPr>
                <w:rFonts w:hint="eastAsia"/>
                <w:color w:val="FF0000"/>
                <w:kern w:val="2"/>
                <w:sz w:val="21"/>
                <w:szCs w:val="21"/>
              </w:rPr>
              <w:t>，考虑风压损失、管道距离等因素，风机风量取</w:t>
            </w:r>
            <w:r>
              <w:rPr>
                <w:rFonts w:hint="eastAsia"/>
                <w:color w:val="FF0000"/>
                <w:kern w:val="2"/>
                <w:sz w:val="21"/>
                <w:szCs w:val="21"/>
                <w:lang w:val="en-US" w:eastAsia="zh-CN"/>
              </w:rPr>
              <w:t>70</w:t>
            </w:r>
            <w:r>
              <w:rPr>
                <w:rFonts w:hint="eastAsia"/>
                <w:color w:val="FF0000"/>
                <w:kern w:val="2"/>
                <w:sz w:val="21"/>
                <w:szCs w:val="21"/>
              </w:rPr>
              <w:t>00m</w:t>
            </w:r>
            <w:r>
              <w:rPr>
                <w:rFonts w:hint="eastAsia"/>
                <w:color w:val="FF0000"/>
                <w:kern w:val="2"/>
                <w:sz w:val="21"/>
                <w:szCs w:val="21"/>
                <w:vertAlign w:val="superscript"/>
              </w:rPr>
              <w:t>3</w:t>
            </w:r>
            <w:r>
              <w:rPr>
                <w:rFonts w:hint="eastAsia"/>
                <w:color w:val="FF0000"/>
                <w:kern w:val="2"/>
                <w:sz w:val="21"/>
                <w:szCs w:val="21"/>
                <w:vertAlign w:val="baseline"/>
                <w:lang w:val="en-US" w:eastAsia="zh-CN"/>
              </w:rPr>
              <w:t>/h</w:t>
            </w:r>
            <w:r>
              <w:rPr>
                <w:rFonts w:hint="eastAsia"/>
                <w:color w:val="FF0000"/>
                <w:kern w:val="2"/>
                <w:sz w:val="21"/>
                <w:szCs w:val="21"/>
              </w:rPr>
              <w:t>。</w:t>
            </w:r>
          </w:p>
          <w:p>
            <w:pPr>
              <w:autoSpaceDE w:val="0"/>
              <w:autoSpaceDN w:val="0"/>
              <w:adjustRightInd w:val="0"/>
              <w:snapToGrid w:val="0"/>
              <w:spacing w:line="400" w:lineRule="exact"/>
              <w:ind w:firstLine="420" w:firstLineChars="200"/>
              <w:rPr>
                <w:rFonts w:hint="eastAsia" w:cs="Times New Roman"/>
                <w:color w:val="FF0000"/>
                <w:kern w:val="2"/>
                <w:sz w:val="21"/>
                <w:szCs w:val="21"/>
                <w:lang w:val="en-US" w:eastAsia="zh-CN"/>
              </w:rPr>
            </w:pPr>
            <w:r>
              <w:rPr>
                <w:rFonts w:hint="eastAsia"/>
                <w:color w:val="FF0000"/>
                <w:kern w:val="0"/>
                <w:szCs w:val="21"/>
                <w:highlight w:val="none"/>
                <w:lang w:val="en-US" w:eastAsia="zh-CN"/>
              </w:rPr>
              <w:t>④</w:t>
            </w:r>
            <w:bookmarkEnd w:id="16"/>
            <w:r>
              <w:rPr>
                <w:rFonts w:hint="eastAsia" w:cs="Times New Roman"/>
                <w:color w:val="FF0000"/>
                <w:kern w:val="2"/>
                <w:sz w:val="21"/>
                <w:szCs w:val="21"/>
                <w:lang w:val="en-US" w:eastAsia="zh-CN"/>
              </w:rPr>
              <w:t>汞及其化合物</w:t>
            </w:r>
          </w:p>
          <w:p>
            <w:pPr>
              <w:autoSpaceDE w:val="0"/>
              <w:autoSpaceDN w:val="0"/>
              <w:adjustRightInd w:val="0"/>
              <w:snapToGrid w:val="0"/>
              <w:spacing w:line="400" w:lineRule="exact"/>
              <w:ind w:firstLine="420" w:firstLineChars="200"/>
              <w:rPr>
                <w:rFonts w:hint="default" w:ascii="Times New Roman" w:hAnsi="Times New Roman"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参考</w:t>
            </w:r>
            <w:r>
              <w:rPr>
                <w:rFonts w:hint="eastAsia" w:cs="Times New Roman"/>
                <w:color w:val="FF0000"/>
                <w:kern w:val="2"/>
                <w:sz w:val="21"/>
                <w:szCs w:val="21"/>
                <w:lang w:val="en-US" w:eastAsia="zh-CN"/>
              </w:rPr>
              <w:t>《</w:t>
            </w:r>
            <w:r>
              <w:rPr>
                <w:rFonts w:hint="default" w:ascii="Times New Roman" w:hAnsi="Times New Roman" w:eastAsia="宋体" w:cs="Times New Roman"/>
                <w:color w:val="FF0000"/>
                <w:kern w:val="2"/>
                <w:sz w:val="21"/>
                <w:szCs w:val="21"/>
                <w:lang w:val="en-US" w:eastAsia="zh-CN"/>
              </w:rPr>
              <w:t>锅炉大气污染物排放标准</w:t>
            </w:r>
            <w:r>
              <w:rPr>
                <w:rFonts w:hint="eastAsia" w:cs="Times New Roman"/>
                <w:color w:val="FF0000"/>
                <w:kern w:val="2"/>
                <w:sz w:val="21"/>
                <w:szCs w:val="21"/>
                <w:lang w:val="en-US" w:eastAsia="zh-CN"/>
              </w:rPr>
              <w:t>》</w:t>
            </w:r>
            <w:r>
              <w:rPr>
                <w:rFonts w:hint="default" w:ascii="Times New Roman" w:hAnsi="Times New Roman" w:eastAsia="宋体" w:cs="Times New Roman"/>
                <w:color w:val="FF0000"/>
                <w:kern w:val="2"/>
                <w:sz w:val="21"/>
                <w:szCs w:val="21"/>
                <w:lang w:val="en-US" w:eastAsia="zh-CN"/>
              </w:rPr>
              <w:t>（DB32/4385-2022）编制说明</w:t>
            </w:r>
            <w:r>
              <w:rPr>
                <w:rFonts w:hint="eastAsia" w:cs="Times New Roman"/>
                <w:color w:val="FF0000"/>
                <w:kern w:val="2"/>
                <w:sz w:val="21"/>
                <w:szCs w:val="21"/>
                <w:lang w:val="en-US" w:eastAsia="zh-CN"/>
              </w:rPr>
              <w:t>中对非常规污染物汞排放现状调查</w:t>
            </w:r>
            <w:r>
              <w:rPr>
                <w:rFonts w:hint="default" w:ascii="Times New Roman" w:hAnsi="Times New Roman" w:eastAsia="宋体" w:cs="Times New Roman"/>
                <w:color w:val="FF0000"/>
                <w:kern w:val="2"/>
                <w:sz w:val="21"/>
                <w:szCs w:val="21"/>
                <w:lang w:val="en-US" w:eastAsia="zh-CN"/>
              </w:rPr>
              <w:t>，</w:t>
            </w:r>
            <w:r>
              <w:rPr>
                <w:rFonts w:hint="default" w:ascii="Times New Roman" w:hAnsi="Times New Roman" w:eastAsia="宋体" w:cs="Times New Roman"/>
                <w:color w:val="FF0000"/>
                <w:kern w:val="0"/>
                <w:sz w:val="20"/>
                <w:szCs w:val="20"/>
                <w:lang w:val="en-US" w:eastAsia="zh-CN" w:bidi="ar"/>
              </w:rPr>
              <w:t>根</w:t>
            </w:r>
            <w:r>
              <w:rPr>
                <w:rFonts w:hint="default" w:ascii="Times New Roman" w:hAnsi="Times New Roman" w:eastAsia="宋体" w:cs="Times New Roman"/>
                <w:color w:val="FF0000"/>
                <w:kern w:val="2"/>
                <w:sz w:val="21"/>
                <w:szCs w:val="21"/>
                <w:lang w:val="en-US" w:eastAsia="zh-CN"/>
              </w:rPr>
              <w:t>据省内燃煤锅炉超低排放验收监测数据，汞及其化合物浓度2.2×10</w:t>
            </w:r>
            <w:r>
              <w:rPr>
                <w:rFonts w:hint="default" w:ascii="Times New Roman" w:hAnsi="Times New Roman" w:eastAsia="宋体" w:cs="Times New Roman"/>
                <w:color w:val="FF0000"/>
                <w:kern w:val="2"/>
                <w:sz w:val="21"/>
                <w:szCs w:val="21"/>
                <w:vertAlign w:val="superscript"/>
                <w:lang w:val="en-US" w:eastAsia="zh-CN"/>
              </w:rPr>
              <w:t>-5</w:t>
            </w:r>
            <w:r>
              <w:rPr>
                <w:rFonts w:hint="default" w:ascii="Times New Roman" w:hAnsi="Times New Roman" w:eastAsia="宋体" w:cs="Times New Roman"/>
                <w:color w:val="FF0000"/>
                <w:kern w:val="2"/>
                <w:sz w:val="21"/>
                <w:szCs w:val="21"/>
                <w:lang w:val="en-US" w:eastAsia="zh-CN"/>
              </w:rPr>
              <w:t>mg/m</w:t>
            </w:r>
            <w:r>
              <w:rPr>
                <w:rFonts w:hint="default" w:ascii="Times New Roman" w:hAnsi="Times New Roman" w:eastAsia="宋体" w:cs="Times New Roman"/>
                <w:color w:val="FF0000"/>
                <w:kern w:val="2"/>
                <w:sz w:val="21"/>
                <w:szCs w:val="21"/>
                <w:vertAlign w:val="superscript"/>
                <w:lang w:val="en-US" w:eastAsia="zh-CN"/>
              </w:rPr>
              <w:t>3</w:t>
            </w:r>
            <w:r>
              <w:rPr>
                <w:rFonts w:hint="default" w:ascii="Times New Roman" w:hAnsi="Times New Roman" w:eastAsia="宋体" w:cs="Times New Roman"/>
                <w:color w:val="FF0000"/>
                <w:kern w:val="2"/>
                <w:sz w:val="21"/>
                <w:szCs w:val="21"/>
                <w:lang w:val="en-US" w:eastAsia="zh-CN"/>
              </w:rPr>
              <w:t>～6.2×10</w:t>
            </w:r>
            <w:r>
              <w:rPr>
                <w:rFonts w:hint="default" w:ascii="Times New Roman" w:hAnsi="Times New Roman" w:eastAsia="宋体" w:cs="Times New Roman"/>
                <w:color w:val="FF0000"/>
                <w:kern w:val="2"/>
                <w:sz w:val="21"/>
                <w:szCs w:val="21"/>
                <w:vertAlign w:val="superscript"/>
                <w:lang w:val="en-US" w:eastAsia="zh-CN"/>
              </w:rPr>
              <w:t>-4</w:t>
            </w:r>
            <w:r>
              <w:rPr>
                <w:rFonts w:hint="default" w:ascii="Times New Roman" w:hAnsi="Times New Roman" w:eastAsia="宋体" w:cs="Times New Roman"/>
                <w:color w:val="FF0000"/>
                <w:kern w:val="2"/>
                <w:sz w:val="21"/>
                <w:szCs w:val="21"/>
                <w:lang w:val="en-US" w:eastAsia="zh-CN"/>
              </w:rPr>
              <w:t xml:space="preserve"> mg/m</w:t>
            </w:r>
            <w:r>
              <w:rPr>
                <w:rFonts w:hint="default" w:ascii="Times New Roman" w:hAnsi="Times New Roman" w:eastAsia="宋体" w:cs="Times New Roman"/>
                <w:color w:val="FF0000"/>
                <w:kern w:val="2"/>
                <w:sz w:val="21"/>
                <w:szCs w:val="21"/>
                <w:vertAlign w:val="superscript"/>
                <w:lang w:val="en-US" w:eastAsia="zh-CN"/>
              </w:rPr>
              <w:t>3</w:t>
            </w:r>
            <w:r>
              <w:rPr>
                <w:rFonts w:hint="default" w:ascii="Times New Roman" w:hAnsi="Times New Roman" w:eastAsia="宋体" w:cs="Times New Roman"/>
                <w:color w:val="FF0000"/>
                <w:kern w:val="2"/>
                <w:sz w:val="21"/>
                <w:szCs w:val="21"/>
                <w:lang w:val="en-US" w:eastAsia="zh-CN"/>
              </w:rPr>
              <w:t>；</w:t>
            </w:r>
            <w:r>
              <w:rPr>
                <w:rFonts w:hint="eastAsia" w:cs="Times New Roman"/>
                <w:color w:val="FF0000"/>
                <w:kern w:val="2"/>
                <w:sz w:val="21"/>
                <w:szCs w:val="21"/>
                <w:lang w:val="en-US" w:eastAsia="zh-CN"/>
              </w:rPr>
              <w:t>根据统计的</w:t>
            </w:r>
            <w:r>
              <w:rPr>
                <w:rFonts w:hint="default" w:ascii="Times New Roman" w:hAnsi="Times New Roman" w:eastAsia="宋体" w:cs="Times New Roman"/>
                <w:color w:val="FF0000"/>
                <w:kern w:val="2"/>
                <w:sz w:val="21"/>
                <w:szCs w:val="21"/>
                <w:lang w:val="en-US" w:eastAsia="zh-CN"/>
              </w:rPr>
              <w:t>部分实测数据也表明，汞及其化合物排放浓度</w:t>
            </w:r>
            <w:r>
              <w:rPr>
                <w:rFonts w:hint="default" w:ascii="Times New Roman" w:hAnsi="Times New Roman" w:eastAsia="宋体" w:cs="Times New Roman"/>
                <w:color w:val="FF0000"/>
                <w:kern w:val="2"/>
                <w:sz w:val="21"/>
                <w:szCs w:val="21"/>
                <w:highlight w:val="none"/>
                <w:lang w:val="en-US" w:eastAsia="zh-CN"/>
              </w:rPr>
              <w:t>0.09μg/m</w:t>
            </w:r>
            <w:r>
              <w:rPr>
                <w:rFonts w:hint="default" w:ascii="Times New Roman" w:hAnsi="Times New Roman" w:eastAsia="宋体" w:cs="Times New Roman"/>
                <w:color w:val="FF0000"/>
                <w:kern w:val="2"/>
                <w:sz w:val="21"/>
                <w:szCs w:val="21"/>
                <w:highlight w:val="none"/>
                <w:vertAlign w:val="superscript"/>
                <w:lang w:val="en-US" w:eastAsia="zh-CN"/>
              </w:rPr>
              <w:t>3</w:t>
            </w:r>
            <w:r>
              <w:rPr>
                <w:rFonts w:hint="default" w:ascii="Times New Roman" w:hAnsi="Times New Roman" w:eastAsia="宋体" w:cs="Times New Roman"/>
                <w:color w:val="FF0000"/>
                <w:kern w:val="2"/>
                <w:sz w:val="21"/>
                <w:szCs w:val="21"/>
                <w:highlight w:val="none"/>
                <w:lang w:val="en-US" w:eastAsia="zh-CN"/>
              </w:rPr>
              <w:t>～0.62μg/m</w:t>
            </w:r>
            <w:r>
              <w:rPr>
                <w:rFonts w:hint="default" w:ascii="Times New Roman" w:hAnsi="Times New Roman" w:eastAsia="宋体" w:cs="Times New Roman"/>
                <w:color w:val="FF0000"/>
                <w:kern w:val="2"/>
                <w:sz w:val="21"/>
                <w:szCs w:val="21"/>
                <w:highlight w:val="none"/>
                <w:vertAlign w:val="superscript"/>
                <w:lang w:val="en-US" w:eastAsia="zh-CN"/>
              </w:rPr>
              <w:t>3</w:t>
            </w:r>
            <w:r>
              <w:rPr>
                <w:rFonts w:hint="default" w:ascii="Times New Roman" w:hAnsi="Times New Roman" w:eastAsia="宋体" w:cs="Times New Roman"/>
                <w:color w:val="FF0000"/>
                <w:kern w:val="2"/>
                <w:sz w:val="21"/>
                <w:szCs w:val="21"/>
                <w:lang w:val="en-US" w:eastAsia="zh-CN"/>
              </w:rPr>
              <w:t>，均低于GB13271</w:t>
            </w:r>
            <w:r>
              <w:rPr>
                <w:rFonts w:hint="eastAsia" w:ascii="Times New Roman" w:hAnsi="Times New Roman" w:eastAsia="宋体" w:cs="Times New Roman"/>
                <w:color w:val="FF0000"/>
                <w:kern w:val="2"/>
                <w:sz w:val="21"/>
                <w:szCs w:val="21"/>
                <w:lang w:val="en-US" w:eastAsia="zh-CN"/>
              </w:rPr>
              <w:t>-</w:t>
            </w:r>
            <w:r>
              <w:rPr>
                <w:rFonts w:hint="default" w:ascii="Times New Roman" w:hAnsi="Times New Roman" w:eastAsia="宋体" w:cs="Times New Roman"/>
                <w:color w:val="FF0000"/>
                <w:kern w:val="2"/>
                <w:sz w:val="21"/>
                <w:szCs w:val="21"/>
                <w:lang w:val="en-US" w:eastAsia="zh-CN"/>
              </w:rPr>
              <w:t>2014规定的0.05mg/m</w:t>
            </w:r>
            <w:r>
              <w:rPr>
                <w:rFonts w:hint="default" w:ascii="Times New Roman" w:hAnsi="Times New Roman" w:eastAsia="宋体" w:cs="Times New Roman"/>
                <w:color w:val="FF0000"/>
                <w:kern w:val="2"/>
                <w:sz w:val="21"/>
                <w:szCs w:val="21"/>
                <w:vertAlign w:val="superscript"/>
                <w:lang w:val="en-US" w:eastAsia="zh-CN"/>
              </w:rPr>
              <w:t>3</w:t>
            </w:r>
            <w:r>
              <w:rPr>
                <w:rFonts w:hint="default" w:ascii="Times New Roman" w:hAnsi="Times New Roman" w:eastAsia="宋体" w:cs="Times New Roman"/>
                <w:color w:val="FF0000"/>
                <w:kern w:val="2"/>
                <w:sz w:val="21"/>
                <w:szCs w:val="21"/>
                <w:lang w:val="en-US" w:eastAsia="zh-CN"/>
              </w:rPr>
              <w:t>，低于</w:t>
            </w:r>
            <w:r>
              <w:rPr>
                <w:rFonts w:hint="eastAsia" w:cs="Times New Roman"/>
                <w:color w:val="FF0000"/>
                <w:kern w:val="2"/>
                <w:sz w:val="21"/>
                <w:szCs w:val="21"/>
                <w:lang w:val="en-US" w:eastAsia="zh-CN"/>
              </w:rPr>
              <w:t>汞排放标准</w:t>
            </w:r>
            <w:r>
              <w:rPr>
                <w:rFonts w:hint="default" w:ascii="Times New Roman" w:hAnsi="Times New Roman" w:eastAsia="宋体" w:cs="Times New Roman"/>
                <w:color w:val="FF0000"/>
                <w:kern w:val="2"/>
                <w:sz w:val="21"/>
                <w:szCs w:val="21"/>
                <w:lang w:val="en-US" w:eastAsia="zh-CN"/>
              </w:rPr>
              <w:t>0.03mg/m</w:t>
            </w:r>
            <w:r>
              <w:rPr>
                <w:rFonts w:hint="default" w:ascii="Times New Roman" w:hAnsi="Times New Roman" w:eastAsia="宋体" w:cs="Times New Roman"/>
                <w:color w:val="FF0000"/>
                <w:kern w:val="2"/>
                <w:sz w:val="21"/>
                <w:szCs w:val="21"/>
                <w:vertAlign w:val="superscript"/>
                <w:lang w:val="en-US" w:eastAsia="zh-CN"/>
              </w:rPr>
              <w:t>3</w:t>
            </w:r>
            <w:r>
              <w:rPr>
                <w:rFonts w:hint="default" w:ascii="Times New Roman" w:hAnsi="Times New Roman" w:eastAsia="宋体" w:cs="Times New Roman"/>
                <w:color w:val="FF0000"/>
                <w:kern w:val="2"/>
                <w:sz w:val="21"/>
                <w:szCs w:val="21"/>
                <w:lang w:val="en-US" w:eastAsia="zh-CN"/>
              </w:rPr>
              <w:t>。</w:t>
            </w:r>
          </w:p>
          <w:p>
            <w:pPr>
              <w:autoSpaceDE w:val="0"/>
              <w:autoSpaceDN w:val="0"/>
              <w:adjustRightInd w:val="0"/>
              <w:snapToGrid w:val="0"/>
              <w:spacing w:line="400" w:lineRule="exact"/>
              <w:ind w:firstLine="420" w:firstLineChars="200"/>
              <w:rPr>
                <w:rFonts w:hint="default" w:ascii="Times New Roman" w:hAnsi="Times New Roman" w:eastAsia="宋体" w:cs="Times New Roman"/>
                <w:color w:val="FF0000"/>
                <w:kern w:val="2"/>
                <w:sz w:val="21"/>
                <w:szCs w:val="21"/>
                <w:lang w:val="en-US" w:eastAsia="zh-CN"/>
              </w:rPr>
            </w:pPr>
            <w:r>
              <w:rPr>
                <w:rFonts w:hint="default" w:ascii="Times New Roman" w:hAnsi="Times New Roman" w:eastAsia="宋体" w:cs="Times New Roman"/>
                <w:color w:val="FF0000"/>
                <w:kern w:val="2"/>
                <w:sz w:val="21"/>
                <w:szCs w:val="21"/>
                <w:lang w:val="en-US" w:eastAsia="zh-CN"/>
              </w:rPr>
              <w:t>根据部分燃生物质锅炉实测数据，汞及其化合物排放浓度0.42μg/m</w:t>
            </w:r>
            <w:r>
              <w:rPr>
                <w:rFonts w:hint="default" w:ascii="Times New Roman" w:hAnsi="Times New Roman" w:eastAsia="宋体" w:cs="Times New Roman"/>
                <w:color w:val="FF0000"/>
                <w:kern w:val="2"/>
                <w:sz w:val="21"/>
                <w:szCs w:val="21"/>
                <w:vertAlign w:val="superscript"/>
                <w:lang w:val="en-US" w:eastAsia="zh-CN"/>
              </w:rPr>
              <w:t>3</w:t>
            </w:r>
            <w:r>
              <w:rPr>
                <w:rFonts w:hint="default" w:ascii="Times New Roman" w:hAnsi="Times New Roman" w:eastAsia="宋体" w:cs="Times New Roman"/>
                <w:color w:val="FF0000"/>
                <w:kern w:val="2"/>
                <w:sz w:val="21"/>
                <w:szCs w:val="21"/>
                <w:lang w:val="en-US" w:eastAsia="zh-CN"/>
              </w:rPr>
              <w:t>～15.59μg/m</w:t>
            </w:r>
            <w:r>
              <w:rPr>
                <w:rFonts w:hint="default" w:ascii="Times New Roman" w:hAnsi="Times New Roman" w:eastAsia="宋体" w:cs="Times New Roman"/>
                <w:color w:val="FF0000"/>
                <w:kern w:val="2"/>
                <w:sz w:val="21"/>
                <w:szCs w:val="21"/>
                <w:vertAlign w:val="superscript"/>
                <w:lang w:val="en-US" w:eastAsia="zh-CN"/>
              </w:rPr>
              <w:t>3</w:t>
            </w:r>
            <w:r>
              <w:rPr>
                <w:rFonts w:hint="default" w:ascii="Times New Roman" w:hAnsi="Times New Roman" w:eastAsia="宋体" w:cs="Times New Roman"/>
                <w:color w:val="FF0000"/>
                <w:kern w:val="2"/>
                <w:sz w:val="21"/>
                <w:szCs w:val="21"/>
                <w:lang w:val="en-US" w:eastAsia="zh-CN"/>
              </w:rPr>
              <w:t>；根据《生物质成型燃料锅炉挥发性有机物排放特征》等文献报道，燃生物质锅炉Hg的排放浓度与燃料成分有关，但排放水平均远低于0.03mg/m</w:t>
            </w:r>
            <w:r>
              <w:rPr>
                <w:rFonts w:hint="default" w:ascii="Times New Roman" w:hAnsi="Times New Roman" w:eastAsia="宋体" w:cs="Times New Roman"/>
                <w:color w:val="FF0000"/>
                <w:kern w:val="2"/>
                <w:sz w:val="21"/>
                <w:szCs w:val="21"/>
                <w:vertAlign w:val="superscript"/>
                <w:lang w:val="en-US" w:eastAsia="zh-CN"/>
              </w:rPr>
              <w:t>3</w:t>
            </w:r>
            <w:r>
              <w:rPr>
                <w:rFonts w:hint="default" w:ascii="Times New Roman" w:hAnsi="Times New Roman" w:eastAsia="宋体" w:cs="Times New Roman"/>
                <w:color w:val="FF0000"/>
                <w:kern w:val="2"/>
                <w:sz w:val="21"/>
                <w:szCs w:val="21"/>
                <w:lang w:val="en-US" w:eastAsia="zh-CN"/>
              </w:rPr>
              <w:t>。</w:t>
            </w:r>
          </w:p>
          <w:p>
            <w:pPr>
              <w:autoSpaceDE w:val="0"/>
              <w:autoSpaceDN w:val="0"/>
              <w:adjustRightInd w:val="0"/>
              <w:snapToGrid w:val="0"/>
              <w:spacing w:line="400" w:lineRule="exact"/>
              <w:ind w:firstLine="420" w:firstLineChars="200"/>
              <w:rPr>
                <w:rFonts w:hint="eastAsia" w:eastAsia="宋体" w:cs="Times New Roman"/>
                <w:color w:val="FF0000"/>
                <w:kern w:val="2"/>
                <w:sz w:val="21"/>
                <w:szCs w:val="21"/>
                <w:lang w:val="en-US" w:eastAsia="zh-CN"/>
              </w:rPr>
            </w:pPr>
            <w:r>
              <w:rPr>
                <w:rFonts w:hint="eastAsia" w:ascii="Times New Roman" w:hAnsi="Times New Roman" w:eastAsia="宋体" w:cs="Times New Roman"/>
                <w:color w:val="FF0000"/>
                <w:kern w:val="2"/>
                <w:sz w:val="21"/>
                <w:szCs w:val="21"/>
                <w:lang w:val="en-US" w:eastAsia="zh-CN"/>
              </w:rPr>
              <w:t>本项目参考编制说明，保守估计汞及其化合物排放浓度</w:t>
            </w:r>
            <w:r>
              <w:rPr>
                <w:rFonts w:hint="eastAsia" w:cs="Times New Roman"/>
                <w:color w:val="FF0000"/>
                <w:kern w:val="2"/>
                <w:sz w:val="21"/>
                <w:szCs w:val="21"/>
                <w:lang w:val="en-US" w:eastAsia="zh-CN"/>
              </w:rPr>
              <w:t>取</w:t>
            </w:r>
            <w:r>
              <w:rPr>
                <w:rFonts w:hint="eastAsia" w:ascii="Times New Roman" w:hAnsi="Times New Roman" w:eastAsia="宋体" w:cs="Times New Roman"/>
                <w:color w:val="FF0000"/>
                <w:kern w:val="2"/>
                <w:sz w:val="21"/>
                <w:szCs w:val="21"/>
                <w:lang w:val="en-US" w:eastAsia="zh-CN"/>
              </w:rPr>
              <w:t>16ug/m</w:t>
            </w:r>
            <w:r>
              <w:rPr>
                <w:rFonts w:hint="eastAsia" w:ascii="Times New Roman" w:hAnsi="Times New Roman" w:eastAsia="宋体" w:cs="Times New Roman"/>
                <w:color w:val="FF0000"/>
                <w:kern w:val="2"/>
                <w:sz w:val="21"/>
                <w:szCs w:val="21"/>
                <w:vertAlign w:val="superscript"/>
                <w:lang w:val="en-US" w:eastAsia="zh-CN"/>
              </w:rPr>
              <w:t>3</w:t>
            </w:r>
            <w:r>
              <w:rPr>
                <w:rFonts w:hint="eastAsia" w:ascii="Times New Roman" w:hAnsi="Times New Roman" w:eastAsia="宋体" w:cs="Times New Roman"/>
                <w:color w:val="FF0000"/>
                <w:kern w:val="2"/>
                <w:sz w:val="21"/>
                <w:szCs w:val="21"/>
                <w:lang w:val="en-US" w:eastAsia="zh-CN"/>
              </w:rPr>
              <w:t>，</w:t>
            </w:r>
            <w:r>
              <w:rPr>
                <w:rFonts w:hint="eastAsia" w:cs="Times New Roman"/>
                <w:color w:val="FF0000"/>
                <w:kern w:val="2"/>
                <w:sz w:val="21"/>
                <w:szCs w:val="21"/>
                <w:lang w:val="en-US" w:eastAsia="zh-CN"/>
              </w:rPr>
              <w:t>生物质锅炉风量为7000m</w:t>
            </w:r>
            <w:r>
              <w:rPr>
                <w:rFonts w:hint="eastAsia" w:cs="Times New Roman"/>
                <w:color w:val="FF0000"/>
                <w:kern w:val="2"/>
                <w:sz w:val="21"/>
                <w:szCs w:val="21"/>
                <w:vertAlign w:val="superscript"/>
                <w:lang w:val="en-US" w:eastAsia="zh-CN"/>
              </w:rPr>
              <w:t>3</w:t>
            </w:r>
            <w:r>
              <w:rPr>
                <w:rFonts w:hint="eastAsia" w:cs="Times New Roman"/>
                <w:color w:val="FF0000"/>
                <w:kern w:val="2"/>
                <w:sz w:val="21"/>
                <w:szCs w:val="21"/>
                <w:lang w:val="en-US" w:eastAsia="zh-CN"/>
              </w:rPr>
              <w:t>/h，</w:t>
            </w:r>
            <w:r>
              <w:rPr>
                <w:rFonts w:hint="eastAsia" w:ascii="Times New Roman" w:hAnsi="Times New Roman" w:eastAsia="宋体" w:cs="Times New Roman"/>
                <w:color w:val="FF0000"/>
                <w:kern w:val="2"/>
                <w:sz w:val="21"/>
                <w:szCs w:val="21"/>
                <w:lang w:val="en-US" w:eastAsia="zh-CN"/>
              </w:rPr>
              <w:t>经计算，汞及其化合物</w:t>
            </w:r>
            <w:r>
              <w:rPr>
                <w:rFonts w:hint="eastAsia" w:cs="Times New Roman"/>
                <w:color w:val="FF0000"/>
                <w:kern w:val="2"/>
                <w:sz w:val="21"/>
                <w:szCs w:val="21"/>
                <w:lang w:val="en-US" w:eastAsia="zh-CN"/>
              </w:rPr>
              <w:t>排放速率为1.12</w:t>
            </w:r>
            <w:r>
              <w:rPr>
                <w:rFonts w:hint="default" w:ascii="Times New Roman" w:hAnsi="Times New Roman" w:eastAsia="宋体" w:cs="Times New Roman"/>
                <w:color w:val="FF0000"/>
                <w:kern w:val="2"/>
                <w:sz w:val="21"/>
                <w:szCs w:val="21"/>
                <w:lang w:val="en-US" w:eastAsia="zh-CN"/>
              </w:rPr>
              <w:t>×10</w:t>
            </w:r>
            <w:r>
              <w:rPr>
                <w:rFonts w:hint="default" w:ascii="Times New Roman" w:hAnsi="Times New Roman" w:eastAsia="宋体" w:cs="Times New Roman"/>
                <w:color w:val="FF0000"/>
                <w:kern w:val="2"/>
                <w:sz w:val="21"/>
                <w:szCs w:val="21"/>
                <w:vertAlign w:val="superscript"/>
                <w:lang w:val="en-US" w:eastAsia="zh-CN"/>
              </w:rPr>
              <w:t>-</w:t>
            </w:r>
            <w:r>
              <w:rPr>
                <w:rFonts w:hint="eastAsia" w:ascii="Times New Roman" w:hAnsi="Times New Roman" w:eastAsia="宋体" w:cs="Times New Roman"/>
                <w:color w:val="FF0000"/>
                <w:kern w:val="2"/>
                <w:sz w:val="21"/>
                <w:szCs w:val="21"/>
                <w:vertAlign w:val="superscript"/>
                <w:lang w:val="en-US" w:eastAsia="zh-CN"/>
              </w:rPr>
              <w:t>4</w:t>
            </w:r>
            <w:r>
              <w:rPr>
                <w:rFonts w:hint="eastAsia" w:cs="Times New Roman"/>
                <w:color w:val="FF0000"/>
                <w:kern w:val="2"/>
                <w:sz w:val="21"/>
                <w:szCs w:val="21"/>
                <w:lang w:val="en-US" w:eastAsia="zh-CN"/>
              </w:rPr>
              <w:t>kg/h，年工作时间为7200h，排放</w:t>
            </w:r>
            <w:r>
              <w:rPr>
                <w:rFonts w:hint="eastAsia" w:ascii="Times New Roman" w:hAnsi="Times New Roman" w:eastAsia="宋体" w:cs="Times New Roman"/>
                <w:color w:val="FF0000"/>
                <w:kern w:val="2"/>
                <w:sz w:val="21"/>
                <w:szCs w:val="21"/>
                <w:lang w:val="en-US" w:eastAsia="zh-CN"/>
              </w:rPr>
              <w:t>量为</w:t>
            </w:r>
            <w:r>
              <w:rPr>
                <w:rFonts w:hint="eastAsia" w:cs="Times New Roman"/>
                <w:color w:val="FF0000"/>
                <w:kern w:val="2"/>
                <w:sz w:val="21"/>
                <w:szCs w:val="21"/>
                <w:lang w:val="en-US" w:eastAsia="zh-CN"/>
              </w:rPr>
              <w:t>0.806</w:t>
            </w:r>
            <w:r>
              <w:rPr>
                <w:rFonts w:hint="eastAsia" w:ascii="Times New Roman" w:hAnsi="Times New Roman" w:eastAsia="宋体" w:cs="Times New Roman"/>
                <w:color w:val="FF0000"/>
                <w:kern w:val="2"/>
                <w:sz w:val="21"/>
                <w:szCs w:val="21"/>
                <w:lang w:val="en-US" w:eastAsia="zh-CN"/>
              </w:rPr>
              <w:t>kg/a，</w:t>
            </w:r>
            <w:r>
              <w:rPr>
                <w:color w:val="FF0000"/>
                <w:kern w:val="2"/>
                <w:sz w:val="21"/>
                <w:szCs w:val="21"/>
              </w:rPr>
              <w:t>烟气经</w:t>
            </w:r>
            <w:r>
              <w:rPr>
                <w:rFonts w:hint="eastAsia"/>
                <w:color w:val="FF0000"/>
                <w:kern w:val="2"/>
                <w:sz w:val="21"/>
                <w:szCs w:val="21"/>
                <w:lang w:val="en-US" w:eastAsia="zh-CN"/>
              </w:rPr>
              <w:t>低氮燃烧+SNC</w:t>
            </w:r>
            <w:r>
              <w:rPr>
                <w:rFonts w:hint="eastAsia" w:ascii="Times New Roman" w:hAnsi="Times New Roman" w:eastAsia="宋体" w:cs="Times New Roman"/>
                <w:color w:val="FF0000"/>
                <w:kern w:val="2"/>
                <w:sz w:val="21"/>
                <w:szCs w:val="21"/>
                <w:lang w:val="en-US" w:eastAsia="zh-CN"/>
              </w:rPr>
              <w:t>R+石灰喷雾干燥+</w:t>
            </w:r>
            <w:r>
              <w:rPr>
                <w:rFonts w:hint="eastAsia"/>
                <w:color w:val="FF0000"/>
                <w:kern w:val="2"/>
                <w:sz w:val="21"/>
                <w:szCs w:val="21"/>
                <w:lang w:val="en-US" w:eastAsia="zh-CN"/>
              </w:rPr>
              <w:t>余热回收+旋风除尘+布袋除尘+水幕除尘</w:t>
            </w:r>
            <w:r>
              <w:rPr>
                <w:color w:val="FF0000"/>
                <w:kern w:val="2"/>
                <w:sz w:val="21"/>
                <w:szCs w:val="21"/>
              </w:rPr>
              <w:t>处理</w:t>
            </w:r>
            <w:r>
              <w:rPr>
                <w:rFonts w:hint="eastAsia"/>
                <w:color w:val="FF0000"/>
                <w:kern w:val="2"/>
                <w:sz w:val="21"/>
                <w:szCs w:val="21"/>
                <w:lang w:eastAsia="zh-CN"/>
              </w:rPr>
              <w:t>，</w:t>
            </w:r>
            <w:r>
              <w:rPr>
                <w:rFonts w:hint="eastAsia"/>
                <w:color w:val="FF0000"/>
                <w:kern w:val="2"/>
                <w:sz w:val="21"/>
                <w:szCs w:val="21"/>
                <w:lang w:val="en-US" w:eastAsia="zh-CN"/>
              </w:rPr>
              <w:t>根据编制说明：“工业锅炉烟气脱硝、除尘和脱硫等环保设施对Hg及其化合物具有协同脱除效果，平均脱除效率一般可达70%”，则DA002和DA003</w:t>
            </w:r>
            <w:r>
              <w:rPr>
                <w:rFonts w:hint="eastAsia"/>
                <w:color w:val="FF0000"/>
                <w:kern w:val="2"/>
                <w:sz w:val="21"/>
                <w:szCs w:val="21"/>
              </w:rPr>
              <w:t>有组织</w:t>
            </w:r>
            <w:r>
              <w:rPr>
                <w:rFonts w:hint="eastAsia" w:ascii="Times New Roman" w:hAnsi="Times New Roman" w:eastAsia="宋体" w:cs="Times New Roman"/>
                <w:color w:val="FF0000"/>
                <w:kern w:val="2"/>
                <w:sz w:val="21"/>
                <w:szCs w:val="21"/>
                <w:lang w:val="en-US" w:eastAsia="zh-CN"/>
              </w:rPr>
              <w:t>汞及其化合物</w:t>
            </w:r>
            <w:r>
              <w:rPr>
                <w:rFonts w:hint="eastAsia"/>
                <w:color w:val="FF0000"/>
                <w:kern w:val="2"/>
                <w:sz w:val="21"/>
                <w:szCs w:val="21"/>
                <w:lang w:val="en-US" w:eastAsia="zh-CN"/>
              </w:rPr>
              <w:t>产生</w:t>
            </w:r>
            <w:r>
              <w:rPr>
                <w:rFonts w:hint="eastAsia"/>
                <w:color w:val="FF0000"/>
                <w:kern w:val="2"/>
                <w:sz w:val="21"/>
                <w:szCs w:val="21"/>
              </w:rPr>
              <w:t>量</w:t>
            </w:r>
            <w:r>
              <w:rPr>
                <w:rFonts w:hint="eastAsia"/>
                <w:color w:val="FF0000"/>
                <w:kern w:val="2"/>
                <w:sz w:val="21"/>
                <w:szCs w:val="21"/>
                <w:lang w:val="en-US" w:eastAsia="zh-CN"/>
              </w:rPr>
              <w:t>分别均</w:t>
            </w:r>
            <w:r>
              <w:rPr>
                <w:rFonts w:hint="eastAsia"/>
                <w:color w:val="FF0000"/>
                <w:kern w:val="2"/>
                <w:sz w:val="21"/>
                <w:szCs w:val="21"/>
              </w:rPr>
              <w:t>为</w:t>
            </w:r>
            <w:r>
              <w:rPr>
                <w:rFonts w:hint="eastAsia"/>
                <w:color w:val="FF0000"/>
                <w:kern w:val="2"/>
                <w:sz w:val="21"/>
                <w:szCs w:val="21"/>
                <w:lang w:val="en-US" w:eastAsia="zh-CN"/>
              </w:rPr>
              <w:t>2.687kg</w:t>
            </w:r>
            <w:r>
              <w:rPr>
                <w:rFonts w:hint="eastAsia"/>
                <w:color w:val="FF0000"/>
                <w:kern w:val="2"/>
                <w:sz w:val="21"/>
                <w:szCs w:val="21"/>
              </w:rPr>
              <w:t>/a</w:t>
            </w:r>
            <w:r>
              <w:rPr>
                <w:rFonts w:hint="eastAsia"/>
                <w:color w:val="FF0000"/>
                <w:kern w:val="2"/>
                <w:sz w:val="21"/>
                <w:szCs w:val="21"/>
                <w:lang w:eastAsia="zh-CN"/>
              </w:rPr>
              <w:t>。</w:t>
            </w:r>
          </w:p>
          <w:p>
            <w:pPr>
              <w:autoSpaceDE w:val="0"/>
              <w:autoSpaceDN w:val="0"/>
              <w:adjustRightInd w:val="0"/>
              <w:snapToGrid w:val="0"/>
              <w:spacing w:line="400" w:lineRule="exact"/>
              <w:ind w:firstLine="420" w:firstLineChars="200"/>
              <w:rPr>
                <w:rFonts w:hint="eastAsia" w:ascii="Times New Roman" w:hAnsi="Times New Roman" w:cs="Times New Roman"/>
                <w:color w:val="auto"/>
                <w:kern w:val="2"/>
                <w:sz w:val="21"/>
                <w:szCs w:val="21"/>
                <w:lang w:val="en-US" w:eastAsia="zh-CN"/>
              </w:rPr>
            </w:pPr>
            <w:r>
              <w:rPr>
                <w:rFonts w:hint="eastAsia" w:cs="Times New Roman"/>
                <w:color w:val="auto"/>
                <w:kern w:val="2"/>
                <w:sz w:val="21"/>
                <w:szCs w:val="21"/>
                <w:lang w:val="en-US" w:eastAsia="zh-CN"/>
              </w:rPr>
              <w:t>⑤</w:t>
            </w:r>
            <w:r>
              <w:rPr>
                <w:rFonts w:hint="eastAsia" w:ascii="Times New Roman" w:hAnsi="Times New Roman" w:cs="Times New Roman"/>
                <w:color w:val="auto"/>
                <w:kern w:val="2"/>
                <w:sz w:val="21"/>
                <w:szCs w:val="21"/>
                <w:lang w:val="en-US" w:eastAsia="zh-CN"/>
              </w:rPr>
              <w:t>烟气脱硝过程氨逃逸</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本项目烟气脱硝过程中有极少量的氨逃逸，本项目烟气脱硝SNCR装置设计的烟气出口氨逃逸浓度参照《工业锅炉污染防治可行技术指南》（报批稿</w:t>
            </w:r>
            <w:r>
              <w:rPr>
                <w:rFonts w:hint="default" w:ascii="Times New Roman" w:hAnsi="Times New Roman" w:eastAsia="宋体" w:cs="Times New Roman"/>
                <w:color w:val="auto"/>
                <w:kern w:val="2"/>
                <w:sz w:val="21"/>
                <w:szCs w:val="21"/>
                <w:lang w:val="en-US" w:eastAsia="zh-CN"/>
              </w:rPr>
              <w:t>）规定≤3ppm</w:t>
            </w:r>
            <w:r>
              <w:rPr>
                <w:rFonts w:hint="eastAsia" w:ascii="Times New Roman" w:hAnsi="Times New Roman" w:eastAsia="宋体" w:cs="Times New Roman"/>
                <w:color w:val="auto"/>
                <w:kern w:val="2"/>
                <w:sz w:val="21"/>
                <w:szCs w:val="21"/>
                <w:lang w:val="en-US" w:eastAsia="zh-CN"/>
              </w:rPr>
              <w:t>。脱硝过程中氨逃逸量较少，</w:t>
            </w:r>
            <w:r>
              <w:rPr>
                <w:rFonts w:hint="eastAsia" w:cs="Times New Roman"/>
                <w:color w:val="auto"/>
                <w:kern w:val="2"/>
                <w:sz w:val="21"/>
                <w:szCs w:val="21"/>
                <w:lang w:val="en-US" w:eastAsia="zh-CN"/>
              </w:rPr>
              <w:t>厂界周边50m内无敏感点，</w:t>
            </w:r>
            <w:r>
              <w:rPr>
                <w:rFonts w:hint="eastAsia" w:ascii="Times New Roman" w:hAnsi="Times New Roman" w:eastAsia="宋体" w:cs="Times New Roman"/>
                <w:color w:val="auto"/>
                <w:kern w:val="2"/>
                <w:sz w:val="21"/>
                <w:szCs w:val="21"/>
                <w:lang w:val="en-US" w:eastAsia="zh-CN"/>
              </w:rPr>
              <w:t>对周边环境影响较小，不定量分析。</w:t>
            </w:r>
          </w:p>
          <w:p>
            <w:pPr>
              <w:autoSpaceDE w:val="0"/>
              <w:autoSpaceDN w:val="0"/>
              <w:adjustRightInd w:val="0"/>
              <w:snapToGrid w:val="0"/>
              <w:spacing w:line="400" w:lineRule="exact"/>
              <w:ind w:firstLine="420" w:firstLineChars="200"/>
              <w:rPr>
                <w:rFonts w:hint="default"/>
                <w:lang w:val="en-US" w:eastAsia="zh-CN"/>
              </w:rPr>
            </w:pPr>
            <w:r>
              <w:rPr>
                <w:rFonts w:hint="eastAsia"/>
                <w:lang w:val="en-US" w:eastAsia="zh-CN"/>
              </w:rPr>
              <w:t>⑥危废仓库废气</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项目产生的危废主要为废包装材料、废导热油、废布料和废炉渣等，采用密闭的桶或双层内膜吨袋收集存放；</w:t>
            </w:r>
          </w:p>
          <w:p>
            <w:pPr>
              <w:autoSpaceDE w:val="0"/>
              <w:autoSpaceDN w:val="0"/>
              <w:adjustRightInd w:val="0"/>
              <w:snapToGrid w:val="0"/>
              <w:spacing w:line="400" w:lineRule="exact"/>
              <w:ind w:firstLine="420" w:firstLineChars="200"/>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危废仓库VOC产生量参照美国环保局网站AP-42空气排放因子汇编，即“废物处置-工业固废处置-储存-容器逃逸排放”工序非甲烷总烃产生系数2.22×102磅/1000个55加仑容器•年，折算为非甲烷总烃排放系数为100.7kg/200t固废•年，即0.5035kg/t固废•年。</w:t>
            </w:r>
          </w:p>
          <w:p>
            <w:pPr>
              <w:autoSpaceDE w:val="0"/>
              <w:autoSpaceDN w:val="0"/>
              <w:adjustRightInd w:val="0"/>
              <w:snapToGrid w:val="0"/>
              <w:spacing w:line="400" w:lineRule="exact"/>
              <w:ind w:firstLine="420" w:firstLineChars="200"/>
              <w:rPr>
                <w:rFonts w:hint="default" w:ascii="Times New Roman" w:hAnsi="Times New Roman" w:cs="Times New Roman"/>
                <w:lang w:val="en-US" w:eastAsia="zh-CN"/>
              </w:rPr>
            </w:pPr>
            <w:r>
              <w:rPr>
                <w:rFonts w:hint="default" w:ascii="Times New Roman" w:hAnsi="Times New Roman" w:eastAsia="宋体" w:cs="Times New Roman"/>
                <w:color w:val="auto"/>
                <w:kern w:val="2"/>
                <w:sz w:val="21"/>
                <w:szCs w:val="21"/>
                <w:lang w:val="en-US" w:eastAsia="zh-CN"/>
              </w:rPr>
              <w:t>本项目建成后危废仓库中易产生有机废气的危废为废包装材料，存储含有机危废正常存储量约0.15t，则危废仓库非甲烷总烃产生量为0.075kg/a，本危废库不属于GB 18597-2023中贮存易产生粉尘、VOCs、酸雾、有毒有害大气污染物和刺激性气味气体的危险废物贮存库，且危废沾染和挥发产生有机废气量极少，可忽略不计，无需设置气体收集装置和气体净化设施。</w:t>
            </w:r>
          </w:p>
          <w:p>
            <w:pPr>
              <w:tabs>
                <w:tab w:val="left" w:pos="398"/>
              </w:tabs>
              <w:autoSpaceDE w:val="0"/>
              <w:autoSpaceDN w:val="0"/>
              <w:adjustRightInd w:val="0"/>
              <w:snapToGrid w:val="0"/>
              <w:spacing w:line="400" w:lineRule="exact"/>
              <w:ind w:firstLine="420" w:firstLineChars="200"/>
              <w:rPr>
                <w:rFonts w:hint="default" w:eastAsia="宋体"/>
                <w:bCs/>
                <w:color w:val="auto"/>
                <w:spacing w:val="-10"/>
                <w:szCs w:val="21"/>
                <w:lang w:val="en-US" w:eastAsia="zh-CN"/>
              </w:rPr>
            </w:pPr>
            <w:r>
              <w:rPr>
                <w:rFonts w:hint="default" w:ascii="Times New Roman" w:hAnsi="Times New Roman" w:cs="Times New Roman"/>
                <w:color w:val="auto"/>
                <w:kern w:val="0"/>
                <w:szCs w:val="21"/>
              </w:rPr>
              <w:t>正常工况下，本项目废气污染源强见表4-</w:t>
            </w:r>
            <w:r>
              <w:rPr>
                <w:rFonts w:hint="default" w:ascii="Times New Roman" w:hAnsi="Times New Roman" w:cs="Times New Roman"/>
                <w:color w:val="auto"/>
                <w:kern w:val="0"/>
                <w:szCs w:val="21"/>
                <w:lang w:val="en-US" w:eastAsia="zh-CN"/>
              </w:rPr>
              <w:t>3。</w:t>
            </w:r>
          </w:p>
        </w:tc>
      </w:tr>
    </w:tbl>
    <w:p>
      <w:pPr>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6" w:hRule="atLeast"/>
          <w:jc w:val="center"/>
        </w:trPr>
        <w:tc>
          <w:tcPr>
            <w:tcW w:w="704" w:type="dxa"/>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jc w:val="center"/>
              <w:rPr>
                <w:rFonts w:ascii="Times New Roman" w:hAnsi="Times New Roman" w:eastAsia="宋体" w:cs="Times New Roman"/>
                <w:sz w:val="18"/>
                <w:szCs w:val="18"/>
              </w:rPr>
            </w:pPr>
            <w:r>
              <w:rPr>
                <w:bCs/>
                <w:color w:val="auto"/>
                <w:szCs w:val="21"/>
              </w:rPr>
              <w:t>保护</w:t>
            </w:r>
          </w:p>
          <w:p>
            <w:pPr>
              <w:jc w:val="center"/>
              <w:rPr>
                <w:color w:val="auto"/>
              </w:rPr>
            </w:pPr>
            <w:r>
              <w:rPr>
                <w:bCs/>
                <w:color w:val="auto"/>
                <w:szCs w:val="21"/>
              </w:rPr>
              <w:t>措施</w:t>
            </w:r>
          </w:p>
        </w:tc>
        <w:tc>
          <w:tcPr>
            <w:tcW w:w="12298" w:type="dxa"/>
          </w:tcPr>
          <w:p>
            <w:pPr>
              <w:pStyle w:val="180"/>
              <w:spacing w:line="400" w:lineRule="exact"/>
              <w:ind w:firstLine="480"/>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4</w:t>
            </w:r>
            <w:r>
              <w:rPr>
                <w:rFonts w:ascii="Times New Roman" w:hAnsi="Times New Roman" w:eastAsia="宋体" w:cs="Times New Roman"/>
                <w:b/>
                <w:bCs/>
                <w:color w:val="auto"/>
              </w:rPr>
              <w:t>-</w:t>
            </w:r>
            <w:r>
              <w:rPr>
                <w:rFonts w:hint="eastAsia" w:cs="Times New Roman"/>
                <w:b/>
                <w:bCs/>
                <w:color w:val="auto"/>
                <w:lang w:val="en-US" w:eastAsia="zh-CN"/>
              </w:rPr>
              <w:t>3（1）</w:t>
            </w:r>
            <w:r>
              <w:rPr>
                <w:rFonts w:hint="eastAsia" w:ascii="Times New Roman" w:hAnsi="Times New Roman" w:eastAsia="宋体" w:cs="Times New Roman"/>
                <w:b/>
                <w:bCs/>
                <w:color w:val="auto"/>
              </w:rPr>
              <w:t xml:space="preserve"> </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rPr>
              <w:t>本</w:t>
            </w:r>
            <w:r>
              <w:rPr>
                <w:rFonts w:ascii="Times New Roman" w:hAnsi="Times New Roman" w:eastAsia="宋体" w:cs="Times New Roman"/>
                <w:b/>
                <w:bCs/>
                <w:color w:val="auto"/>
              </w:rPr>
              <w:t>项目</w:t>
            </w:r>
            <w:r>
              <w:rPr>
                <w:rFonts w:hint="eastAsia" w:ascii="Times New Roman" w:hAnsi="Times New Roman" w:eastAsia="宋体" w:cs="Times New Roman"/>
                <w:b/>
                <w:bCs/>
                <w:color w:val="auto"/>
              </w:rPr>
              <w:t>有</w:t>
            </w:r>
            <w:r>
              <w:rPr>
                <w:rFonts w:ascii="Times New Roman" w:hAnsi="Times New Roman" w:eastAsia="宋体" w:cs="Times New Roman"/>
                <w:b/>
                <w:bCs/>
                <w:color w:val="auto"/>
              </w:rPr>
              <w:t>组织废气产生及排放情况</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0" w:type="dxa"/>
                <w:bottom w:w="0" w:type="dxa"/>
                <w:right w:w="0" w:type="dxa"/>
              </w:tblCellMar>
            </w:tblPr>
            <w:tblGrid>
              <w:gridCol w:w="283"/>
              <w:gridCol w:w="505"/>
              <w:gridCol w:w="478"/>
              <w:gridCol w:w="554"/>
              <w:gridCol w:w="212"/>
              <w:gridCol w:w="287"/>
              <w:gridCol w:w="512"/>
              <w:gridCol w:w="512"/>
              <w:gridCol w:w="811"/>
              <w:gridCol w:w="387"/>
              <w:gridCol w:w="708"/>
              <w:gridCol w:w="444"/>
              <w:gridCol w:w="387"/>
              <w:gridCol w:w="431"/>
              <w:gridCol w:w="554"/>
              <w:gridCol w:w="490"/>
              <w:gridCol w:w="265"/>
              <w:gridCol w:w="302"/>
              <w:gridCol w:w="307"/>
              <w:gridCol w:w="466"/>
              <w:gridCol w:w="575"/>
              <w:gridCol w:w="634"/>
              <w:gridCol w:w="531"/>
              <w:gridCol w:w="316"/>
              <w:gridCol w:w="632"/>
              <w:gridCol w:w="203"/>
              <w:gridCol w:w="272"/>
              <w:gridCol w:w="181"/>
              <w:gridCol w:w="59"/>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3" w:type="pct"/>
                <w:cantSplit/>
                <w:trHeight w:val="340" w:hRule="atLeast"/>
                <w:jc w:val="center"/>
              </w:trPr>
              <w:tc>
                <w:tcPr>
                  <w:tcW w:w="115" w:type="pct"/>
                  <w:vMerge w:val="restart"/>
                  <w:noWrap w:val="0"/>
                  <w:vAlign w:val="center"/>
                </w:tcPr>
                <w:p>
                  <w:pPr>
                    <w:widowControl/>
                    <w:adjustRightInd w:val="0"/>
                    <w:snapToGrid w:val="0"/>
                    <w:jc w:val="center"/>
                    <w:textAlignment w:val="center"/>
                    <w:rPr>
                      <w:b/>
                      <w:bCs/>
                      <w:sz w:val="20"/>
                      <w:szCs w:val="20"/>
                    </w:rPr>
                  </w:pPr>
                  <w:r>
                    <w:rPr>
                      <w:b/>
                      <w:bCs/>
                      <w:sz w:val="20"/>
                      <w:szCs w:val="20"/>
                    </w:rPr>
                    <w:t>产排污环节</w:t>
                  </w:r>
                </w:p>
              </w:tc>
              <w:tc>
                <w:tcPr>
                  <w:tcW w:w="205" w:type="pct"/>
                  <w:vMerge w:val="restart"/>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污染物种类</w:t>
                  </w:r>
                </w:p>
              </w:tc>
              <w:tc>
                <w:tcPr>
                  <w:tcW w:w="419" w:type="pct"/>
                  <w:gridSpan w:val="2"/>
                  <w:noWrap w:val="0"/>
                  <w:tcMar>
                    <w:left w:w="0" w:type="dxa"/>
                    <w:right w:w="0" w:type="dxa"/>
                  </w:tcMar>
                  <w:vAlign w:val="center"/>
                </w:tcPr>
                <w:p>
                  <w:pPr>
                    <w:widowControl/>
                    <w:adjustRightInd w:val="0"/>
                    <w:snapToGrid w:val="0"/>
                    <w:jc w:val="center"/>
                    <w:textAlignment w:val="center"/>
                    <w:rPr>
                      <w:b/>
                      <w:bCs/>
                      <w:sz w:val="20"/>
                      <w:szCs w:val="20"/>
                    </w:rPr>
                  </w:pPr>
                  <w:r>
                    <w:rPr>
                      <w:rFonts w:hint="eastAsia"/>
                      <w:b/>
                      <w:bCs/>
                      <w:sz w:val="20"/>
                      <w:szCs w:val="20"/>
                    </w:rPr>
                    <w:t>产生状况</w:t>
                  </w:r>
                </w:p>
              </w:tc>
              <w:tc>
                <w:tcPr>
                  <w:tcW w:w="86" w:type="pct"/>
                  <w:vMerge w:val="restart"/>
                  <w:noWrap w:val="0"/>
                  <w:tcMar>
                    <w:left w:w="0" w:type="dxa"/>
                    <w:right w:w="0" w:type="dxa"/>
                  </w:tcMar>
                  <w:vAlign w:val="center"/>
                </w:tcPr>
                <w:p>
                  <w:pPr>
                    <w:widowControl/>
                    <w:adjustRightInd w:val="0"/>
                    <w:snapToGrid w:val="0"/>
                    <w:jc w:val="center"/>
                    <w:textAlignment w:val="center"/>
                    <w:rPr>
                      <w:b/>
                      <w:bCs/>
                      <w:sz w:val="20"/>
                      <w:szCs w:val="20"/>
                    </w:rPr>
                  </w:pPr>
                  <w:r>
                    <w:rPr>
                      <w:rFonts w:hint="eastAsia"/>
                      <w:b/>
                      <w:bCs/>
                      <w:sz w:val="20"/>
                      <w:szCs w:val="20"/>
                    </w:rPr>
                    <w:t>收集措施</w:t>
                  </w:r>
                </w:p>
              </w:tc>
              <w:tc>
                <w:tcPr>
                  <w:tcW w:w="116" w:type="pct"/>
                  <w:vMerge w:val="restart"/>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收集效率%</w:t>
                  </w:r>
                </w:p>
              </w:tc>
              <w:tc>
                <w:tcPr>
                  <w:tcW w:w="746" w:type="pct"/>
                  <w:gridSpan w:val="3"/>
                  <w:tcBorders>
                    <w:bottom w:val="single" w:color="auto" w:sz="4" w:space="0"/>
                  </w:tcBorders>
                  <w:noWrap w:val="0"/>
                  <w:tcMar>
                    <w:left w:w="0" w:type="dxa"/>
                    <w:right w:w="0" w:type="dxa"/>
                  </w:tcMar>
                  <w:vAlign w:val="center"/>
                </w:tcPr>
                <w:p>
                  <w:pPr>
                    <w:widowControl/>
                    <w:adjustRightInd w:val="0"/>
                    <w:snapToGrid w:val="0"/>
                    <w:jc w:val="center"/>
                    <w:textAlignment w:val="center"/>
                    <w:rPr>
                      <w:rFonts w:hint="eastAsia"/>
                      <w:b/>
                      <w:bCs/>
                      <w:sz w:val="20"/>
                      <w:szCs w:val="20"/>
                    </w:rPr>
                  </w:pPr>
                  <w:r>
                    <w:rPr>
                      <w:rFonts w:hint="eastAsia"/>
                      <w:b/>
                      <w:bCs/>
                      <w:sz w:val="20"/>
                      <w:szCs w:val="20"/>
                    </w:rPr>
                    <w:t>有组织</w:t>
                  </w:r>
                  <w:r>
                    <w:rPr>
                      <w:b/>
                      <w:bCs/>
                      <w:sz w:val="20"/>
                      <w:szCs w:val="20"/>
                    </w:rPr>
                    <w:t>产生</w:t>
                  </w:r>
                  <w:r>
                    <w:rPr>
                      <w:rFonts w:hint="eastAsia"/>
                      <w:b/>
                      <w:bCs/>
                      <w:sz w:val="20"/>
                      <w:szCs w:val="20"/>
                    </w:rPr>
                    <w:t>情况</w:t>
                  </w:r>
                </w:p>
              </w:tc>
              <w:tc>
                <w:tcPr>
                  <w:tcW w:w="157" w:type="pct"/>
                  <w:vMerge w:val="restart"/>
                  <w:tcBorders>
                    <w:bottom w:val="nil"/>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排放形式</w:t>
                  </w:r>
                </w:p>
              </w:tc>
              <w:tc>
                <w:tcPr>
                  <w:tcW w:w="625" w:type="pct"/>
                  <w:gridSpan w:val="3"/>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治理设施</w:t>
                  </w:r>
                </w:p>
              </w:tc>
              <w:tc>
                <w:tcPr>
                  <w:tcW w:w="599" w:type="pct"/>
                  <w:gridSpan w:val="3"/>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排放情况</w:t>
                  </w:r>
                </w:p>
              </w:tc>
              <w:tc>
                <w:tcPr>
                  <w:tcW w:w="1036" w:type="pct"/>
                  <w:gridSpan w:val="6"/>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排放口基本情况</w:t>
                  </w:r>
                </w:p>
              </w:tc>
              <w:tc>
                <w:tcPr>
                  <w:tcW w:w="344" w:type="pct"/>
                  <w:gridSpan w:val="2"/>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排放标准</w:t>
                  </w:r>
                </w:p>
              </w:tc>
              <w:tc>
                <w:tcPr>
                  <w:tcW w:w="256" w:type="pct"/>
                  <w:vMerge w:val="restart"/>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工作时间h</w:t>
                  </w:r>
                  <w:r>
                    <w:rPr>
                      <w:rFonts w:hint="eastAsia"/>
                      <w:b/>
                      <w:bCs/>
                      <w:sz w:val="20"/>
                      <w:szCs w:val="20"/>
                    </w:rPr>
                    <w:t>/a</w:t>
                  </w:r>
                </w:p>
              </w:tc>
              <w:tc>
                <w:tcPr>
                  <w:tcW w:w="266" w:type="pct"/>
                  <w:gridSpan w:val="3"/>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监测要求</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3" w:type="pct"/>
                <w:cantSplit/>
                <w:trHeight w:val="705" w:hRule="atLeast"/>
                <w:jc w:val="center"/>
              </w:trPr>
              <w:tc>
                <w:tcPr>
                  <w:tcW w:w="115" w:type="pct"/>
                  <w:vMerge w:val="continue"/>
                  <w:tcBorders>
                    <w:bottom w:val="single" w:color="auto" w:sz="12" w:space="0"/>
                  </w:tcBorders>
                  <w:noWrap w:val="0"/>
                  <w:vAlign w:val="center"/>
                </w:tcPr>
                <w:p>
                  <w:pPr>
                    <w:widowControl/>
                    <w:adjustRightInd w:val="0"/>
                    <w:snapToGrid w:val="0"/>
                    <w:jc w:val="center"/>
                    <w:textAlignment w:val="center"/>
                    <w:rPr>
                      <w:b/>
                      <w:bCs/>
                      <w:sz w:val="20"/>
                      <w:szCs w:val="20"/>
                    </w:rPr>
                  </w:pPr>
                </w:p>
              </w:tc>
              <w:tc>
                <w:tcPr>
                  <w:tcW w:w="205" w:type="pct"/>
                  <w:vMerge w:val="continue"/>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194"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速率</w:t>
                  </w:r>
                </w:p>
                <w:p>
                  <w:pPr>
                    <w:widowControl/>
                    <w:adjustRightInd w:val="0"/>
                    <w:snapToGrid w:val="0"/>
                    <w:jc w:val="center"/>
                    <w:textAlignment w:val="center"/>
                    <w:rPr>
                      <w:b/>
                      <w:bCs/>
                      <w:sz w:val="20"/>
                      <w:szCs w:val="20"/>
                    </w:rPr>
                  </w:pPr>
                  <w:r>
                    <w:rPr>
                      <w:b/>
                      <w:bCs/>
                      <w:sz w:val="20"/>
                      <w:szCs w:val="20"/>
                    </w:rPr>
                    <w:t>kg/h</w:t>
                  </w:r>
                </w:p>
              </w:tc>
              <w:tc>
                <w:tcPr>
                  <w:tcW w:w="225"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产生量</w:t>
                  </w:r>
                </w:p>
                <w:p>
                  <w:pPr>
                    <w:widowControl/>
                    <w:adjustRightInd w:val="0"/>
                    <w:snapToGrid w:val="0"/>
                    <w:jc w:val="center"/>
                    <w:textAlignment w:val="center"/>
                    <w:rPr>
                      <w:b/>
                      <w:bCs/>
                      <w:sz w:val="20"/>
                      <w:szCs w:val="20"/>
                    </w:rPr>
                  </w:pPr>
                  <w:r>
                    <w:rPr>
                      <w:b/>
                      <w:bCs/>
                      <w:sz w:val="20"/>
                      <w:szCs w:val="20"/>
                    </w:rPr>
                    <w:t>t/a</w:t>
                  </w:r>
                </w:p>
              </w:tc>
              <w:tc>
                <w:tcPr>
                  <w:tcW w:w="86" w:type="pct"/>
                  <w:vMerge w:val="continue"/>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116" w:type="pct"/>
                  <w:vMerge w:val="continue"/>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208" w:type="pct"/>
                  <w:tcBorders>
                    <w:top w:val="single" w:color="auto" w:sz="4" w:space="0"/>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浓度</w:t>
                  </w:r>
                </w:p>
                <w:p>
                  <w:pPr>
                    <w:widowControl/>
                    <w:adjustRightInd w:val="0"/>
                    <w:snapToGrid w:val="0"/>
                    <w:jc w:val="center"/>
                    <w:textAlignment w:val="center"/>
                    <w:rPr>
                      <w:b/>
                      <w:bCs/>
                      <w:sz w:val="20"/>
                      <w:szCs w:val="20"/>
                    </w:rPr>
                  </w:pPr>
                  <w:r>
                    <w:rPr>
                      <w:b/>
                      <w:bCs/>
                      <w:sz w:val="20"/>
                      <w:szCs w:val="20"/>
                    </w:rPr>
                    <w:t>mg/ m3</w:t>
                  </w:r>
                </w:p>
              </w:tc>
              <w:tc>
                <w:tcPr>
                  <w:tcW w:w="208" w:type="pct"/>
                  <w:tcBorders>
                    <w:top w:val="single" w:color="auto" w:sz="4" w:space="0"/>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速率</w:t>
                  </w:r>
                </w:p>
                <w:p>
                  <w:pPr>
                    <w:widowControl/>
                    <w:adjustRightInd w:val="0"/>
                    <w:snapToGrid w:val="0"/>
                    <w:jc w:val="center"/>
                    <w:textAlignment w:val="center"/>
                    <w:rPr>
                      <w:b/>
                      <w:bCs/>
                      <w:sz w:val="20"/>
                      <w:szCs w:val="20"/>
                    </w:rPr>
                  </w:pPr>
                  <w:r>
                    <w:rPr>
                      <w:b/>
                      <w:bCs/>
                      <w:sz w:val="20"/>
                      <w:szCs w:val="20"/>
                    </w:rPr>
                    <w:t>kg/h</w:t>
                  </w:r>
                </w:p>
              </w:tc>
              <w:tc>
                <w:tcPr>
                  <w:tcW w:w="329" w:type="pct"/>
                  <w:tcBorders>
                    <w:top w:val="single" w:color="auto" w:sz="4" w:space="0"/>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产生量</w:t>
                  </w:r>
                </w:p>
                <w:p>
                  <w:pPr>
                    <w:widowControl/>
                    <w:adjustRightInd w:val="0"/>
                    <w:snapToGrid w:val="0"/>
                    <w:jc w:val="center"/>
                    <w:textAlignment w:val="center"/>
                    <w:rPr>
                      <w:b/>
                      <w:bCs/>
                      <w:sz w:val="20"/>
                      <w:szCs w:val="20"/>
                    </w:rPr>
                  </w:pPr>
                  <w:r>
                    <w:rPr>
                      <w:b/>
                      <w:bCs/>
                      <w:sz w:val="20"/>
                      <w:szCs w:val="20"/>
                    </w:rPr>
                    <w:t>t/a</w:t>
                  </w:r>
                </w:p>
              </w:tc>
              <w:tc>
                <w:tcPr>
                  <w:tcW w:w="157" w:type="pct"/>
                  <w:vMerge w:val="continue"/>
                  <w:tcBorders>
                    <w:top w:val="nil"/>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287"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处理能力</w:t>
                  </w:r>
                  <w:r>
                    <w:rPr>
                      <w:rFonts w:hint="eastAsia"/>
                      <w:b/>
                      <w:bCs/>
                      <w:sz w:val="20"/>
                      <w:szCs w:val="20"/>
                    </w:rPr>
                    <w:t>及风量</w:t>
                  </w:r>
                </w:p>
              </w:tc>
              <w:tc>
                <w:tcPr>
                  <w:tcW w:w="180"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治理工艺去除率%</w:t>
                  </w:r>
                </w:p>
              </w:tc>
              <w:tc>
                <w:tcPr>
                  <w:tcW w:w="157"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是否为可行技术</w:t>
                  </w:r>
                </w:p>
              </w:tc>
              <w:tc>
                <w:tcPr>
                  <w:tcW w:w="174"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浓度</w:t>
                  </w:r>
                </w:p>
                <w:p>
                  <w:pPr>
                    <w:widowControl/>
                    <w:adjustRightInd w:val="0"/>
                    <w:snapToGrid w:val="0"/>
                    <w:jc w:val="center"/>
                    <w:textAlignment w:val="center"/>
                    <w:rPr>
                      <w:b/>
                      <w:bCs/>
                      <w:sz w:val="20"/>
                      <w:szCs w:val="20"/>
                    </w:rPr>
                  </w:pPr>
                  <w:r>
                    <w:rPr>
                      <w:b/>
                      <w:bCs/>
                      <w:sz w:val="20"/>
                      <w:szCs w:val="20"/>
                    </w:rPr>
                    <w:t>mg/ m</w:t>
                  </w:r>
                  <w:r>
                    <w:rPr>
                      <w:b/>
                      <w:bCs/>
                      <w:sz w:val="20"/>
                      <w:szCs w:val="20"/>
                      <w:vertAlign w:val="superscript"/>
                    </w:rPr>
                    <w:t>3</w:t>
                  </w:r>
                </w:p>
              </w:tc>
              <w:tc>
                <w:tcPr>
                  <w:tcW w:w="225"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速率</w:t>
                  </w:r>
                </w:p>
                <w:p>
                  <w:pPr>
                    <w:widowControl/>
                    <w:adjustRightInd w:val="0"/>
                    <w:snapToGrid w:val="0"/>
                    <w:jc w:val="center"/>
                    <w:textAlignment w:val="center"/>
                    <w:rPr>
                      <w:b/>
                      <w:bCs/>
                      <w:sz w:val="20"/>
                      <w:szCs w:val="20"/>
                    </w:rPr>
                  </w:pPr>
                  <w:r>
                    <w:rPr>
                      <w:b/>
                      <w:bCs/>
                      <w:sz w:val="20"/>
                      <w:szCs w:val="20"/>
                    </w:rPr>
                    <w:t>kg/h</w:t>
                  </w:r>
                </w:p>
              </w:tc>
              <w:tc>
                <w:tcPr>
                  <w:tcW w:w="199"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排放量t/a</w:t>
                  </w:r>
                </w:p>
              </w:tc>
              <w:tc>
                <w:tcPr>
                  <w:tcW w:w="107"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高度m</w:t>
                  </w:r>
                </w:p>
              </w:tc>
              <w:tc>
                <w:tcPr>
                  <w:tcW w:w="122"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排气筒内径m</w:t>
                  </w:r>
                </w:p>
              </w:tc>
              <w:tc>
                <w:tcPr>
                  <w:tcW w:w="124"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温度℃</w:t>
                  </w:r>
                </w:p>
              </w:tc>
              <w:tc>
                <w:tcPr>
                  <w:tcW w:w="189"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编号及名称</w:t>
                  </w:r>
                </w:p>
              </w:tc>
              <w:tc>
                <w:tcPr>
                  <w:tcW w:w="233"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类型</w:t>
                  </w:r>
                </w:p>
              </w:tc>
              <w:tc>
                <w:tcPr>
                  <w:tcW w:w="257"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地理坐标</w:t>
                  </w:r>
                </w:p>
              </w:tc>
              <w:tc>
                <w:tcPr>
                  <w:tcW w:w="215"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浓度</w:t>
                  </w:r>
                </w:p>
                <w:p>
                  <w:pPr>
                    <w:widowControl/>
                    <w:adjustRightInd w:val="0"/>
                    <w:snapToGrid w:val="0"/>
                    <w:jc w:val="center"/>
                    <w:textAlignment w:val="center"/>
                    <w:rPr>
                      <w:b/>
                      <w:bCs/>
                      <w:sz w:val="20"/>
                      <w:szCs w:val="20"/>
                    </w:rPr>
                  </w:pPr>
                  <w:r>
                    <w:rPr>
                      <w:b/>
                      <w:bCs/>
                      <w:sz w:val="20"/>
                      <w:szCs w:val="20"/>
                    </w:rPr>
                    <w:t>mg/ m3</w:t>
                  </w:r>
                </w:p>
              </w:tc>
              <w:tc>
                <w:tcPr>
                  <w:tcW w:w="128"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速率</w:t>
                  </w:r>
                </w:p>
                <w:p>
                  <w:pPr>
                    <w:widowControl/>
                    <w:adjustRightInd w:val="0"/>
                    <w:snapToGrid w:val="0"/>
                    <w:jc w:val="center"/>
                    <w:textAlignment w:val="center"/>
                    <w:rPr>
                      <w:b/>
                      <w:bCs/>
                      <w:sz w:val="20"/>
                      <w:szCs w:val="20"/>
                    </w:rPr>
                  </w:pPr>
                  <w:r>
                    <w:rPr>
                      <w:b/>
                      <w:bCs/>
                      <w:sz w:val="20"/>
                      <w:szCs w:val="20"/>
                    </w:rPr>
                    <w:t>kg/h</w:t>
                  </w:r>
                </w:p>
              </w:tc>
              <w:tc>
                <w:tcPr>
                  <w:tcW w:w="256" w:type="pct"/>
                  <w:vMerge w:val="continue"/>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82"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监测点位</w:t>
                  </w:r>
                </w:p>
              </w:tc>
              <w:tc>
                <w:tcPr>
                  <w:tcW w:w="110"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监测因子</w:t>
                  </w:r>
                </w:p>
              </w:tc>
              <w:tc>
                <w:tcPr>
                  <w:tcW w:w="73"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监测频次</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3" w:type="pct"/>
                <w:trHeight w:val="2848" w:hRule="atLeast"/>
                <w:jc w:val="center"/>
              </w:trPr>
              <w:tc>
                <w:tcPr>
                  <w:tcW w:w="115" w:type="pct"/>
                  <w:tcBorders>
                    <w:top w:val="single" w:color="auto" w:sz="12" w:space="0"/>
                    <w:bottom w:val="single" w:color="auto" w:sz="4" w:space="0"/>
                  </w:tcBorders>
                  <w:noWrap w:val="0"/>
                  <w:vAlign w:val="center"/>
                </w:tcPr>
                <w:p>
                  <w:pPr>
                    <w:jc w:val="center"/>
                    <w:rPr>
                      <w:rFonts w:hint="default"/>
                      <w:sz w:val="20"/>
                      <w:szCs w:val="20"/>
                      <w:lang w:val="en-US" w:eastAsia="zh-CN"/>
                    </w:rPr>
                  </w:pPr>
                  <w:r>
                    <w:rPr>
                      <w:rFonts w:hint="eastAsia"/>
                      <w:sz w:val="20"/>
                      <w:szCs w:val="20"/>
                      <w:lang w:val="en-US" w:eastAsia="zh-CN"/>
                    </w:rPr>
                    <w:t>拉毛、刷呢、剪毛、烫光、摇粒废气</w:t>
                  </w:r>
                </w:p>
              </w:tc>
              <w:tc>
                <w:tcPr>
                  <w:tcW w:w="205" w:type="pct"/>
                  <w:tcBorders>
                    <w:top w:val="single" w:color="auto" w:sz="12" w:space="0"/>
                    <w:bottom w:val="single" w:color="auto" w:sz="4" w:space="0"/>
                  </w:tcBorders>
                  <w:noWrap w:val="0"/>
                  <w:tcMar>
                    <w:left w:w="0" w:type="dxa"/>
                    <w:right w:w="0" w:type="dxa"/>
                  </w:tcMar>
                  <w:vAlign w:val="center"/>
                </w:tcPr>
                <w:p>
                  <w:pPr>
                    <w:jc w:val="center"/>
                    <w:rPr>
                      <w:rFonts w:hint="eastAsia" w:eastAsia="宋体"/>
                      <w:sz w:val="20"/>
                      <w:szCs w:val="20"/>
                      <w:lang w:val="en-US" w:eastAsia="zh-CN"/>
                    </w:rPr>
                  </w:pPr>
                  <w:r>
                    <w:rPr>
                      <w:rFonts w:hint="eastAsia"/>
                      <w:sz w:val="20"/>
                      <w:szCs w:val="20"/>
                      <w:lang w:val="en-US" w:eastAsia="zh-CN"/>
                    </w:rPr>
                    <w:t>颗粒物</w:t>
                  </w:r>
                </w:p>
              </w:tc>
              <w:tc>
                <w:tcPr>
                  <w:tcW w:w="194"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1.069</w:t>
                  </w:r>
                </w:p>
              </w:tc>
              <w:tc>
                <w:tcPr>
                  <w:tcW w:w="225"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7.7</w:t>
                  </w:r>
                </w:p>
              </w:tc>
              <w:tc>
                <w:tcPr>
                  <w:tcW w:w="86"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default"/>
                      <w:sz w:val="20"/>
                      <w:szCs w:val="20"/>
                      <w:lang w:val="en-US" w:eastAsia="zh-CN"/>
                    </w:rPr>
                  </w:pPr>
                  <w:r>
                    <w:rPr>
                      <w:rFonts w:hint="eastAsia"/>
                      <w:sz w:val="20"/>
                      <w:szCs w:val="20"/>
                      <w:lang w:val="en-US" w:eastAsia="zh-CN"/>
                    </w:rPr>
                    <w:t>封闭车间+集气罩</w:t>
                  </w:r>
                </w:p>
              </w:tc>
              <w:tc>
                <w:tcPr>
                  <w:tcW w:w="116"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99</w:t>
                  </w:r>
                </w:p>
              </w:tc>
              <w:tc>
                <w:tcPr>
                  <w:tcW w:w="208"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44.125</w:t>
                  </w:r>
                </w:p>
              </w:tc>
              <w:tc>
                <w:tcPr>
                  <w:tcW w:w="208"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1.059</w:t>
                  </w:r>
                </w:p>
              </w:tc>
              <w:tc>
                <w:tcPr>
                  <w:tcW w:w="329"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7.623</w:t>
                  </w:r>
                </w:p>
              </w:tc>
              <w:tc>
                <w:tcPr>
                  <w:tcW w:w="157" w:type="pct"/>
                  <w:vMerge w:val="restart"/>
                  <w:tcBorders>
                    <w:top w:val="single" w:color="auto" w:sz="12" w:space="0"/>
                  </w:tcBorders>
                  <w:noWrap w:val="0"/>
                  <w:tcMar>
                    <w:left w:w="0" w:type="dxa"/>
                    <w:right w:w="0" w:type="dxa"/>
                  </w:tcMar>
                  <w:vAlign w:val="center"/>
                </w:tcPr>
                <w:p>
                  <w:pPr>
                    <w:widowControl/>
                    <w:jc w:val="center"/>
                    <w:textAlignment w:val="center"/>
                    <w:rPr>
                      <w:kern w:val="0"/>
                      <w:sz w:val="20"/>
                      <w:szCs w:val="20"/>
                      <w:lang w:bidi="ar"/>
                    </w:rPr>
                  </w:pPr>
                  <w:r>
                    <w:rPr>
                      <w:rFonts w:hint="eastAsia"/>
                      <w:kern w:val="0"/>
                      <w:sz w:val="20"/>
                      <w:szCs w:val="20"/>
                      <w:lang w:bidi="ar"/>
                    </w:rPr>
                    <w:t>有组织</w:t>
                  </w:r>
                </w:p>
              </w:tc>
              <w:tc>
                <w:tcPr>
                  <w:tcW w:w="287" w:type="pct"/>
                  <w:tcBorders>
                    <w:top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r>
                    <w:rPr>
                      <w:rFonts w:hint="eastAsia"/>
                      <w:kern w:val="0"/>
                      <w:sz w:val="20"/>
                      <w:szCs w:val="20"/>
                      <w:lang w:val="en-US" w:eastAsia="zh-CN" w:bidi="ar"/>
                    </w:rPr>
                    <w:t>布袋除尘</w:t>
                  </w:r>
                  <w:r>
                    <w:rPr>
                      <w:rFonts w:hint="eastAsia"/>
                      <w:kern w:val="0"/>
                      <w:sz w:val="20"/>
                      <w:szCs w:val="20"/>
                      <w:lang w:bidi="ar"/>
                    </w:rPr>
                    <w:t>，</w:t>
                  </w:r>
                  <w:r>
                    <w:rPr>
                      <w:rFonts w:hint="eastAsia"/>
                      <w:bCs/>
                      <w:iCs/>
                      <w:snapToGrid w:val="0"/>
                      <w:spacing w:val="-4"/>
                      <w:kern w:val="0"/>
                      <w:sz w:val="20"/>
                      <w:szCs w:val="20"/>
                      <w:lang w:val="en-US" w:eastAsia="zh-CN" w:bidi="en-US"/>
                    </w:rPr>
                    <w:t>240</w:t>
                  </w:r>
                  <w:r>
                    <w:rPr>
                      <w:rFonts w:hint="eastAsia"/>
                      <w:bCs/>
                      <w:iCs/>
                      <w:snapToGrid w:val="0"/>
                      <w:spacing w:val="-4"/>
                      <w:kern w:val="0"/>
                      <w:sz w:val="20"/>
                      <w:szCs w:val="20"/>
                      <w:lang w:bidi="en-US"/>
                    </w:rPr>
                    <w:t>00</w:t>
                  </w:r>
                  <w:r>
                    <w:rPr>
                      <w:sz w:val="20"/>
                      <w:szCs w:val="20"/>
                    </w:rPr>
                    <w:t>m</w:t>
                  </w:r>
                  <w:r>
                    <w:rPr>
                      <w:sz w:val="20"/>
                      <w:szCs w:val="20"/>
                      <w:vertAlign w:val="superscript"/>
                    </w:rPr>
                    <w:t>3</w:t>
                  </w:r>
                  <w:r>
                    <w:rPr>
                      <w:sz w:val="20"/>
                      <w:szCs w:val="20"/>
                    </w:rPr>
                    <w:t>/h</w:t>
                  </w:r>
                </w:p>
              </w:tc>
              <w:tc>
                <w:tcPr>
                  <w:tcW w:w="180"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default"/>
                      <w:kern w:val="0"/>
                      <w:sz w:val="20"/>
                      <w:szCs w:val="20"/>
                      <w:lang w:val="en-US" w:eastAsia="zh-CN" w:bidi="ar"/>
                    </w:rPr>
                  </w:pPr>
                  <w:r>
                    <w:rPr>
                      <w:rFonts w:hint="eastAsia"/>
                      <w:kern w:val="0"/>
                      <w:sz w:val="20"/>
                      <w:szCs w:val="20"/>
                      <w:lang w:val="en-US" w:eastAsia="zh-CN" w:bidi="ar"/>
                    </w:rPr>
                    <w:t>99</w:t>
                  </w:r>
                </w:p>
              </w:tc>
              <w:tc>
                <w:tcPr>
                  <w:tcW w:w="157"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eastAsia" w:eastAsia="宋体"/>
                      <w:kern w:val="0"/>
                      <w:sz w:val="20"/>
                      <w:szCs w:val="20"/>
                      <w:lang w:val="en-US" w:eastAsia="zh-CN" w:bidi="ar"/>
                    </w:rPr>
                  </w:pPr>
                  <w:r>
                    <w:rPr>
                      <w:rFonts w:hint="eastAsia"/>
                      <w:kern w:val="0"/>
                      <w:sz w:val="20"/>
                      <w:szCs w:val="20"/>
                      <w:lang w:val="en-US" w:eastAsia="zh-CN" w:bidi="ar"/>
                    </w:rPr>
                    <w:t>是</w:t>
                  </w:r>
                </w:p>
              </w:tc>
              <w:tc>
                <w:tcPr>
                  <w:tcW w:w="174"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0.44</w:t>
                  </w:r>
                </w:p>
              </w:tc>
              <w:tc>
                <w:tcPr>
                  <w:tcW w:w="225"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0.01</w:t>
                  </w:r>
                </w:p>
              </w:tc>
              <w:tc>
                <w:tcPr>
                  <w:tcW w:w="199"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0.076</w:t>
                  </w:r>
                </w:p>
              </w:tc>
              <w:tc>
                <w:tcPr>
                  <w:tcW w:w="107" w:type="pct"/>
                  <w:vMerge w:val="restart"/>
                  <w:tcBorders>
                    <w:top w:val="single" w:color="auto" w:sz="12"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15</w:t>
                  </w:r>
                </w:p>
              </w:tc>
              <w:tc>
                <w:tcPr>
                  <w:tcW w:w="122" w:type="pct"/>
                  <w:vMerge w:val="restart"/>
                  <w:tcBorders>
                    <w:top w:val="single" w:color="auto" w:sz="12"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0.8</w:t>
                  </w:r>
                </w:p>
              </w:tc>
              <w:tc>
                <w:tcPr>
                  <w:tcW w:w="124" w:type="pct"/>
                  <w:vMerge w:val="restart"/>
                  <w:tcBorders>
                    <w:top w:val="single" w:color="auto" w:sz="12" w:space="0"/>
                  </w:tcBorders>
                  <w:noWrap w:val="0"/>
                  <w:tcMar>
                    <w:left w:w="0" w:type="dxa"/>
                    <w:right w:w="0" w:type="dxa"/>
                  </w:tcMar>
                  <w:vAlign w:val="center"/>
                </w:tcPr>
                <w:p>
                  <w:pPr>
                    <w:widowControl/>
                    <w:jc w:val="center"/>
                    <w:textAlignment w:val="center"/>
                    <w:rPr>
                      <w:kern w:val="0"/>
                      <w:sz w:val="20"/>
                      <w:szCs w:val="20"/>
                      <w:lang w:bidi="ar"/>
                    </w:rPr>
                  </w:pPr>
                  <w:r>
                    <w:rPr>
                      <w:rFonts w:hint="eastAsia"/>
                      <w:kern w:val="0"/>
                      <w:sz w:val="20"/>
                      <w:szCs w:val="20"/>
                      <w:lang w:bidi="ar"/>
                    </w:rPr>
                    <w:t>25</w:t>
                  </w:r>
                </w:p>
              </w:tc>
              <w:tc>
                <w:tcPr>
                  <w:tcW w:w="189" w:type="pct"/>
                  <w:vMerge w:val="restart"/>
                  <w:tcBorders>
                    <w:top w:val="single" w:color="auto" w:sz="12"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DA001</w:t>
                  </w:r>
                </w:p>
              </w:tc>
              <w:tc>
                <w:tcPr>
                  <w:tcW w:w="233" w:type="pct"/>
                  <w:vMerge w:val="restart"/>
                  <w:tcBorders>
                    <w:top w:val="single" w:color="auto" w:sz="12" w:space="0"/>
                  </w:tcBorders>
                  <w:noWrap w:val="0"/>
                  <w:tcMar>
                    <w:left w:w="0" w:type="dxa"/>
                    <w:right w:w="0" w:type="dxa"/>
                  </w:tcMar>
                  <w:vAlign w:val="center"/>
                </w:tcPr>
                <w:p>
                  <w:pPr>
                    <w:jc w:val="center"/>
                    <w:rPr>
                      <w:rFonts w:hint="eastAsia"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一般排放口</w:t>
                  </w:r>
                </w:p>
              </w:tc>
              <w:tc>
                <w:tcPr>
                  <w:tcW w:w="257" w:type="pct"/>
                  <w:vMerge w:val="restart"/>
                  <w:tcBorders>
                    <w:top w:val="single" w:color="auto" w:sz="12" w:space="0"/>
                  </w:tcBorders>
                  <w:noWrap w:val="0"/>
                  <w:tcMar>
                    <w:left w:w="0" w:type="dxa"/>
                    <w:right w:w="0" w:type="dxa"/>
                  </w:tcMar>
                  <w:vAlign w:val="center"/>
                </w:tcPr>
                <w:p>
                  <w:pPr>
                    <w:jc w:val="center"/>
                    <w:rPr>
                      <w:rFonts w:hint="eastAsia" w:ascii="Times New Roman" w:hAnsi="Times New Roman" w:eastAsia="宋体" w:cs="Times New Roman"/>
                      <w:sz w:val="20"/>
                      <w:szCs w:val="20"/>
                      <w:lang w:val="en-US" w:eastAsia="zh-CN"/>
                    </w:rPr>
                  </w:pPr>
                  <w:r>
                    <w:rPr>
                      <w:rFonts w:hint="default" w:ascii="Times New Roman" w:hAnsi="Times New Roman" w:eastAsia="宋体" w:cs="Times New Roman"/>
                      <w:b w:val="0"/>
                      <w:sz w:val="20"/>
                      <w:szCs w:val="20"/>
                    </w:rPr>
                    <w:t>120.649853</w:t>
                  </w:r>
                  <w:r>
                    <w:rPr>
                      <w:rFonts w:hint="default" w:ascii="Times New Roman" w:hAnsi="Times New Roman" w:eastAsia="宋体" w:cs="Times New Roman"/>
                      <w:b w:val="0"/>
                      <w:sz w:val="20"/>
                      <w:szCs w:val="20"/>
                      <w:lang w:eastAsia="zh-CN"/>
                    </w:rPr>
                    <w:t>，</w:t>
                  </w:r>
                  <w:r>
                    <w:rPr>
                      <w:rFonts w:hint="default" w:ascii="Times New Roman" w:hAnsi="Times New Roman" w:eastAsia="宋体" w:cs="Times New Roman"/>
                      <w:b w:val="0"/>
                      <w:sz w:val="20"/>
                      <w:szCs w:val="20"/>
                    </w:rPr>
                    <w:t>32.13945</w:t>
                  </w:r>
                </w:p>
              </w:tc>
              <w:tc>
                <w:tcPr>
                  <w:tcW w:w="215" w:type="pct"/>
                  <w:vMerge w:val="restart"/>
                  <w:tcBorders>
                    <w:top w:val="single" w:color="auto" w:sz="12" w:space="0"/>
                  </w:tcBorders>
                  <w:noWrap w:val="0"/>
                  <w:tcMar>
                    <w:left w:w="0" w:type="dxa"/>
                    <w:right w:w="0" w:type="dxa"/>
                  </w:tcMar>
                  <w:vAlign w:val="center"/>
                </w:tcPr>
                <w:p>
                  <w:pPr>
                    <w:jc w:val="center"/>
                    <w:rPr>
                      <w:rFonts w:hint="default" w:eastAsia="宋体"/>
                      <w:sz w:val="20"/>
                      <w:szCs w:val="20"/>
                      <w:lang w:val="en-US" w:eastAsia="zh-CN"/>
                    </w:rPr>
                  </w:pPr>
                  <w:r>
                    <w:rPr>
                      <w:rFonts w:hint="eastAsia"/>
                      <w:sz w:val="20"/>
                      <w:szCs w:val="20"/>
                      <w:lang w:val="en-US" w:eastAsia="zh-CN"/>
                    </w:rPr>
                    <w:t>20</w:t>
                  </w:r>
                </w:p>
              </w:tc>
              <w:tc>
                <w:tcPr>
                  <w:tcW w:w="128" w:type="pct"/>
                  <w:vMerge w:val="restart"/>
                  <w:tcBorders>
                    <w:top w:val="single" w:color="auto" w:sz="12" w:space="0"/>
                  </w:tcBorders>
                  <w:noWrap w:val="0"/>
                  <w:tcMar>
                    <w:left w:w="0" w:type="dxa"/>
                    <w:right w:w="0" w:type="dxa"/>
                  </w:tcMar>
                  <w:vAlign w:val="center"/>
                </w:tcPr>
                <w:p>
                  <w:pPr>
                    <w:jc w:val="center"/>
                    <w:rPr>
                      <w:rFonts w:hint="eastAsia"/>
                      <w:sz w:val="20"/>
                      <w:szCs w:val="20"/>
                    </w:rPr>
                  </w:pPr>
                  <w:r>
                    <w:rPr>
                      <w:rFonts w:hint="eastAsia"/>
                      <w:sz w:val="20"/>
                      <w:szCs w:val="20"/>
                    </w:rPr>
                    <w:t>1</w:t>
                  </w:r>
                </w:p>
              </w:tc>
              <w:tc>
                <w:tcPr>
                  <w:tcW w:w="256" w:type="pct"/>
                  <w:vMerge w:val="restart"/>
                  <w:tcBorders>
                    <w:top w:val="single" w:color="auto" w:sz="12"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7200</w:t>
                  </w:r>
                </w:p>
              </w:tc>
              <w:tc>
                <w:tcPr>
                  <w:tcW w:w="82" w:type="pct"/>
                  <w:vMerge w:val="restart"/>
                  <w:tcBorders>
                    <w:top w:val="single" w:color="auto" w:sz="12" w:space="0"/>
                  </w:tcBorders>
                  <w:noWrap w:val="0"/>
                  <w:tcMar>
                    <w:left w:w="0" w:type="dxa"/>
                    <w:right w:w="0" w:type="dxa"/>
                  </w:tcMar>
                  <w:vAlign w:val="center"/>
                </w:tcPr>
                <w:p>
                  <w:pPr>
                    <w:widowControl/>
                    <w:adjustRightInd w:val="0"/>
                    <w:snapToGrid w:val="0"/>
                    <w:jc w:val="center"/>
                    <w:rPr>
                      <w:rFonts w:hint="eastAsia"/>
                      <w:bCs/>
                      <w:iCs/>
                      <w:snapToGrid w:val="0"/>
                      <w:spacing w:val="-4"/>
                      <w:kern w:val="0"/>
                      <w:sz w:val="20"/>
                      <w:szCs w:val="20"/>
                      <w:lang w:bidi="en-US"/>
                    </w:rPr>
                  </w:pPr>
                  <w:r>
                    <w:rPr>
                      <w:rFonts w:hint="eastAsia"/>
                      <w:bCs/>
                      <w:iCs/>
                      <w:snapToGrid w:val="0"/>
                      <w:spacing w:val="-4"/>
                      <w:kern w:val="0"/>
                      <w:sz w:val="20"/>
                      <w:szCs w:val="20"/>
                      <w:lang w:bidi="en-US"/>
                    </w:rPr>
                    <w:t>排气筒出口</w:t>
                  </w:r>
                </w:p>
              </w:tc>
              <w:tc>
                <w:tcPr>
                  <w:tcW w:w="110" w:type="pct"/>
                  <w:vMerge w:val="restart"/>
                  <w:tcBorders>
                    <w:top w:val="single" w:color="auto" w:sz="12" w:space="0"/>
                  </w:tcBorders>
                  <w:noWrap w:val="0"/>
                  <w:tcMar>
                    <w:left w:w="0" w:type="dxa"/>
                    <w:right w:w="0" w:type="dxa"/>
                  </w:tcMar>
                  <w:vAlign w:val="center"/>
                </w:tcPr>
                <w:p>
                  <w:pPr>
                    <w:widowControl/>
                    <w:adjustRightInd w:val="0"/>
                    <w:snapToGrid w:val="0"/>
                    <w:jc w:val="center"/>
                    <w:rPr>
                      <w:rFonts w:hint="default" w:eastAsia="宋体"/>
                      <w:bCs/>
                      <w:iCs/>
                      <w:snapToGrid w:val="0"/>
                      <w:spacing w:val="-4"/>
                      <w:kern w:val="0"/>
                      <w:sz w:val="20"/>
                      <w:szCs w:val="20"/>
                      <w:lang w:val="en-US" w:eastAsia="zh-CN" w:bidi="en-US"/>
                    </w:rPr>
                  </w:pPr>
                  <w:r>
                    <w:rPr>
                      <w:rFonts w:hint="eastAsia"/>
                      <w:bCs/>
                      <w:iCs/>
                      <w:snapToGrid w:val="0"/>
                      <w:spacing w:val="-4"/>
                      <w:kern w:val="0"/>
                      <w:sz w:val="20"/>
                      <w:szCs w:val="20"/>
                      <w:lang w:bidi="en-US"/>
                    </w:rPr>
                    <w:t>颗粒物、</w:t>
                  </w:r>
                  <w:r>
                    <w:rPr>
                      <w:rFonts w:hint="eastAsia"/>
                      <w:color w:val="000000"/>
                      <w:kern w:val="0"/>
                      <w:sz w:val="20"/>
                      <w:szCs w:val="20"/>
                      <w:lang w:val="en-US" w:eastAsia="zh-CN"/>
                    </w:rPr>
                    <w:t>非甲烷总烃、SO2、NOx、汞及其化合物</w:t>
                  </w:r>
                </w:p>
              </w:tc>
              <w:tc>
                <w:tcPr>
                  <w:tcW w:w="73" w:type="pct"/>
                  <w:vMerge w:val="restart"/>
                  <w:tcBorders>
                    <w:top w:val="single" w:color="auto" w:sz="12" w:space="0"/>
                  </w:tcBorders>
                  <w:noWrap w:val="0"/>
                  <w:tcMar>
                    <w:left w:w="0" w:type="dxa"/>
                    <w:right w:w="0" w:type="dxa"/>
                  </w:tcMar>
                  <w:vAlign w:val="center"/>
                </w:tcPr>
                <w:p>
                  <w:pPr>
                    <w:widowControl/>
                    <w:adjustRightInd w:val="0"/>
                    <w:snapToGrid w:val="0"/>
                    <w:jc w:val="center"/>
                    <w:rPr>
                      <w:rFonts w:hint="eastAsia"/>
                      <w:bCs/>
                      <w:iCs/>
                      <w:snapToGrid w:val="0"/>
                      <w:spacing w:val="-4"/>
                      <w:kern w:val="0"/>
                      <w:sz w:val="20"/>
                      <w:szCs w:val="20"/>
                      <w:lang w:bidi="en-US"/>
                    </w:rPr>
                  </w:pPr>
                  <w:r>
                    <w:rPr>
                      <w:bCs/>
                      <w:iCs/>
                      <w:snapToGrid w:val="0"/>
                      <w:spacing w:val="-4"/>
                      <w:kern w:val="0"/>
                      <w:sz w:val="20"/>
                      <w:szCs w:val="20"/>
                      <w:lang w:bidi="en-US"/>
                    </w:rPr>
                    <w:t>1次/</w:t>
                  </w:r>
                  <w:r>
                    <w:rPr>
                      <w:rFonts w:hint="eastAsia"/>
                      <w:bCs/>
                      <w:iCs/>
                      <w:snapToGrid w:val="0"/>
                      <w:spacing w:val="-4"/>
                      <w:kern w:val="0"/>
                      <w:sz w:val="20"/>
                      <w:szCs w:val="20"/>
                      <w:lang w:val="en-US" w:eastAsia="zh-CN" w:bidi="en-US"/>
                    </w:rPr>
                    <w:t>半</w:t>
                  </w:r>
                  <w:r>
                    <w:rPr>
                      <w:bCs/>
                      <w:iCs/>
                      <w:snapToGrid w:val="0"/>
                      <w:spacing w:val="-4"/>
                      <w:kern w:val="0"/>
                      <w:sz w:val="20"/>
                      <w:szCs w:val="20"/>
                      <w:lang w:bidi="en-US"/>
                    </w:rPr>
                    <w:t>年</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3" w:type="pct"/>
                <w:trHeight w:val="2848" w:hRule="atLeast"/>
                <w:jc w:val="center"/>
              </w:trPr>
              <w:tc>
                <w:tcPr>
                  <w:tcW w:w="115" w:type="pct"/>
                  <w:vMerge w:val="restart"/>
                  <w:tcBorders>
                    <w:top w:val="single" w:color="auto" w:sz="4" w:space="0"/>
                    <w:bottom w:val="single" w:color="auto" w:sz="4" w:space="0"/>
                  </w:tcBorders>
                  <w:noWrap w:val="0"/>
                  <w:vAlign w:val="center"/>
                </w:tcPr>
                <w:p>
                  <w:pPr>
                    <w:jc w:val="center"/>
                    <w:rPr>
                      <w:sz w:val="20"/>
                      <w:szCs w:val="20"/>
                    </w:rPr>
                  </w:pPr>
                  <w:r>
                    <w:rPr>
                      <w:rFonts w:hint="eastAsia"/>
                      <w:sz w:val="20"/>
                      <w:szCs w:val="20"/>
                    </w:rPr>
                    <w:t>定型</w:t>
                  </w:r>
                  <w:r>
                    <w:rPr>
                      <w:rFonts w:hint="eastAsia"/>
                      <w:sz w:val="20"/>
                      <w:szCs w:val="20"/>
                      <w:lang w:eastAsia="zh-CN"/>
                    </w:rPr>
                    <w:t>、</w:t>
                  </w:r>
                  <w:r>
                    <w:rPr>
                      <w:rFonts w:hint="eastAsia"/>
                      <w:sz w:val="20"/>
                      <w:szCs w:val="20"/>
                      <w:lang w:val="en-US" w:eastAsia="zh-CN"/>
                    </w:rPr>
                    <w:t>蒸呢废气</w:t>
                  </w:r>
                </w:p>
              </w:tc>
              <w:tc>
                <w:tcPr>
                  <w:tcW w:w="205" w:type="pct"/>
                  <w:tcBorders>
                    <w:top w:val="single" w:color="auto" w:sz="4" w:space="0"/>
                    <w:bottom w:val="single" w:color="auto" w:sz="4" w:space="0"/>
                  </w:tcBorders>
                  <w:noWrap w:val="0"/>
                  <w:tcMar>
                    <w:left w:w="0" w:type="dxa"/>
                    <w:right w:w="0" w:type="dxa"/>
                  </w:tcMar>
                  <w:vAlign w:val="center"/>
                </w:tcPr>
                <w:p>
                  <w:pPr>
                    <w:jc w:val="center"/>
                    <w:rPr>
                      <w:rFonts w:hint="eastAsia"/>
                      <w:sz w:val="20"/>
                      <w:szCs w:val="20"/>
                    </w:rPr>
                  </w:pPr>
                  <w:r>
                    <w:rPr>
                      <w:sz w:val="20"/>
                      <w:szCs w:val="20"/>
                    </w:rPr>
                    <w:t>颗粒物</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0.034</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0.246</w:t>
                  </w:r>
                </w:p>
              </w:tc>
              <w:tc>
                <w:tcPr>
                  <w:tcW w:w="86" w:type="pct"/>
                  <w:vMerge w:val="restart"/>
                  <w:tcBorders>
                    <w:top w:val="single" w:color="auto" w:sz="4" w:space="0"/>
                  </w:tcBorders>
                  <w:noWrap w:val="0"/>
                  <w:tcMar>
                    <w:left w:w="0" w:type="dxa"/>
                    <w:right w:w="0" w:type="dxa"/>
                  </w:tcMar>
                  <w:vAlign w:val="center"/>
                </w:tcPr>
                <w:p>
                  <w:pPr>
                    <w:widowControl/>
                    <w:jc w:val="center"/>
                    <w:textAlignment w:val="center"/>
                    <w:rPr>
                      <w:kern w:val="0"/>
                      <w:sz w:val="20"/>
                      <w:szCs w:val="20"/>
                      <w:lang w:bidi="ar"/>
                    </w:rPr>
                  </w:pPr>
                  <w:r>
                    <w:rPr>
                      <w:rFonts w:hint="eastAsia"/>
                      <w:kern w:val="0"/>
                      <w:sz w:val="20"/>
                      <w:szCs w:val="20"/>
                      <w:lang w:val="en-US" w:eastAsia="zh-CN" w:bidi="ar"/>
                    </w:rPr>
                    <w:t>设备</w:t>
                  </w:r>
                  <w:r>
                    <w:rPr>
                      <w:rFonts w:hint="eastAsia"/>
                      <w:kern w:val="0"/>
                      <w:sz w:val="20"/>
                      <w:szCs w:val="20"/>
                      <w:lang w:bidi="ar"/>
                    </w:rPr>
                    <w:t>密闭收集</w:t>
                  </w:r>
                </w:p>
              </w:tc>
              <w:tc>
                <w:tcPr>
                  <w:tcW w:w="116" w:type="pct"/>
                  <w:vMerge w:val="restart"/>
                  <w:tcBorders>
                    <w:top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bidi="ar"/>
                    </w:rPr>
                    <w:t>9</w:t>
                  </w:r>
                  <w:r>
                    <w:rPr>
                      <w:rFonts w:hint="eastAsia"/>
                      <w:kern w:val="0"/>
                      <w:sz w:val="20"/>
                      <w:szCs w:val="20"/>
                      <w:lang w:val="en-US" w:eastAsia="zh-CN" w:bidi="ar"/>
                    </w:rPr>
                    <w:t>5</w:t>
                  </w: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1.35</w:t>
                  </w: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0.033</w:t>
                  </w:r>
                </w:p>
              </w:tc>
              <w:tc>
                <w:tcPr>
                  <w:tcW w:w="32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0.234</w:t>
                  </w:r>
                </w:p>
              </w:tc>
              <w:tc>
                <w:tcPr>
                  <w:tcW w:w="157" w:type="pct"/>
                  <w:vMerge w:val="continue"/>
                  <w:noWrap w:val="0"/>
                  <w:tcMar>
                    <w:left w:w="0" w:type="dxa"/>
                    <w:right w:w="0" w:type="dxa"/>
                  </w:tcMar>
                  <w:vAlign w:val="center"/>
                </w:tcPr>
                <w:p>
                  <w:pPr>
                    <w:widowControl/>
                    <w:jc w:val="center"/>
                    <w:textAlignment w:val="center"/>
                    <w:rPr>
                      <w:kern w:val="0"/>
                      <w:sz w:val="20"/>
                      <w:szCs w:val="20"/>
                      <w:lang w:bidi="ar"/>
                    </w:rPr>
                  </w:pPr>
                </w:p>
              </w:tc>
              <w:tc>
                <w:tcPr>
                  <w:tcW w:w="287" w:type="pct"/>
                  <w:vMerge w:val="restart"/>
                  <w:noWrap w:val="0"/>
                  <w:tcMar>
                    <w:left w:w="0" w:type="dxa"/>
                    <w:right w:w="0" w:type="dxa"/>
                  </w:tcMar>
                  <w:vAlign w:val="center"/>
                </w:tcPr>
                <w:p>
                  <w:pPr>
                    <w:widowControl/>
                    <w:jc w:val="center"/>
                    <w:textAlignment w:val="center"/>
                    <w:rPr>
                      <w:rFonts w:hint="eastAsia"/>
                      <w:kern w:val="0"/>
                      <w:sz w:val="20"/>
                      <w:szCs w:val="20"/>
                      <w:lang w:bidi="ar"/>
                    </w:rPr>
                  </w:pPr>
                  <w:r>
                    <w:rPr>
                      <w:rFonts w:hint="eastAsia"/>
                      <w:kern w:val="0"/>
                      <w:sz w:val="20"/>
                      <w:szCs w:val="20"/>
                      <w:lang w:val="en-US" w:eastAsia="zh-CN" w:bidi="ar"/>
                    </w:rPr>
                    <w:t>水喷淋+静电净化</w:t>
                  </w:r>
                  <w:r>
                    <w:rPr>
                      <w:rFonts w:hint="eastAsia"/>
                      <w:kern w:val="0"/>
                      <w:sz w:val="20"/>
                      <w:szCs w:val="20"/>
                      <w:lang w:bidi="ar"/>
                    </w:rPr>
                    <w:t>，</w:t>
                  </w:r>
                  <w:r>
                    <w:rPr>
                      <w:rFonts w:hint="eastAsia"/>
                      <w:bCs/>
                      <w:iCs/>
                      <w:snapToGrid w:val="0"/>
                      <w:spacing w:val="-4"/>
                      <w:kern w:val="0"/>
                      <w:sz w:val="20"/>
                      <w:szCs w:val="20"/>
                      <w:lang w:val="en-US" w:eastAsia="zh-CN" w:bidi="en-US"/>
                    </w:rPr>
                    <w:t>240</w:t>
                  </w:r>
                  <w:r>
                    <w:rPr>
                      <w:rFonts w:hint="eastAsia"/>
                      <w:bCs/>
                      <w:iCs/>
                      <w:snapToGrid w:val="0"/>
                      <w:spacing w:val="-4"/>
                      <w:kern w:val="0"/>
                      <w:sz w:val="20"/>
                      <w:szCs w:val="20"/>
                      <w:lang w:bidi="en-US"/>
                    </w:rPr>
                    <w:t>00</w:t>
                  </w:r>
                  <w:r>
                    <w:rPr>
                      <w:sz w:val="20"/>
                      <w:szCs w:val="20"/>
                    </w:rPr>
                    <w:t>m</w:t>
                  </w:r>
                  <w:r>
                    <w:rPr>
                      <w:sz w:val="20"/>
                      <w:szCs w:val="20"/>
                      <w:vertAlign w:val="superscript"/>
                    </w:rPr>
                    <w:t>3</w:t>
                  </w:r>
                  <w:r>
                    <w:rPr>
                      <w:sz w:val="20"/>
                      <w:szCs w:val="20"/>
                    </w:rPr>
                    <w:t>/h</w:t>
                  </w:r>
                </w:p>
              </w:tc>
              <w:tc>
                <w:tcPr>
                  <w:tcW w:w="180" w:type="pct"/>
                  <w:tcBorders>
                    <w:top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80</w:t>
                  </w:r>
                </w:p>
              </w:tc>
              <w:tc>
                <w:tcPr>
                  <w:tcW w:w="157" w:type="pct"/>
                  <w:vMerge w:val="restart"/>
                  <w:tcBorders>
                    <w:top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r>
                    <w:rPr>
                      <w:rFonts w:hint="eastAsia"/>
                      <w:kern w:val="0"/>
                      <w:sz w:val="20"/>
                      <w:szCs w:val="20"/>
                      <w:lang w:bidi="ar"/>
                    </w:rPr>
                    <w:t>是</w:t>
                  </w:r>
                </w:p>
              </w:tc>
              <w:tc>
                <w:tcPr>
                  <w:tcW w:w="17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0.272</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0.0065</w:t>
                  </w:r>
                </w:p>
              </w:tc>
              <w:tc>
                <w:tcPr>
                  <w:tcW w:w="19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0.047</w:t>
                  </w:r>
                </w:p>
              </w:tc>
              <w:tc>
                <w:tcPr>
                  <w:tcW w:w="107" w:type="pct"/>
                  <w:vMerge w:val="continue"/>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p>
              </w:tc>
              <w:tc>
                <w:tcPr>
                  <w:tcW w:w="122" w:type="pct"/>
                  <w:vMerge w:val="continue"/>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p>
              </w:tc>
              <w:tc>
                <w:tcPr>
                  <w:tcW w:w="124" w:type="pct"/>
                  <w:vMerge w:val="continue"/>
                  <w:noWrap w:val="0"/>
                  <w:tcMar>
                    <w:left w:w="0" w:type="dxa"/>
                    <w:right w:w="0" w:type="dxa"/>
                  </w:tcMar>
                  <w:vAlign w:val="center"/>
                </w:tcPr>
                <w:p>
                  <w:pPr>
                    <w:widowControl/>
                    <w:jc w:val="center"/>
                    <w:textAlignment w:val="center"/>
                    <w:rPr>
                      <w:kern w:val="0"/>
                      <w:sz w:val="20"/>
                      <w:szCs w:val="20"/>
                      <w:lang w:bidi="ar"/>
                    </w:rPr>
                  </w:pPr>
                </w:p>
              </w:tc>
              <w:tc>
                <w:tcPr>
                  <w:tcW w:w="189" w:type="pct"/>
                  <w:vMerge w:val="continue"/>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p>
              </w:tc>
              <w:tc>
                <w:tcPr>
                  <w:tcW w:w="233" w:type="pct"/>
                  <w:vMerge w:val="continue"/>
                  <w:noWrap w:val="0"/>
                  <w:tcMar>
                    <w:left w:w="0" w:type="dxa"/>
                    <w:right w:w="0" w:type="dxa"/>
                  </w:tcMar>
                  <w:vAlign w:val="center"/>
                </w:tcPr>
                <w:p>
                  <w:pPr>
                    <w:widowControl/>
                    <w:jc w:val="center"/>
                    <w:textAlignment w:val="center"/>
                    <w:rPr>
                      <w:kern w:val="0"/>
                      <w:sz w:val="20"/>
                      <w:szCs w:val="20"/>
                      <w:lang w:bidi="ar"/>
                    </w:rPr>
                  </w:pPr>
                </w:p>
              </w:tc>
              <w:tc>
                <w:tcPr>
                  <w:tcW w:w="2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15" w:type="pct"/>
                  <w:vMerge w:val="continue"/>
                  <w:tcBorders>
                    <w:bottom w:val="single" w:color="auto" w:sz="4" w:space="0"/>
                  </w:tcBorders>
                  <w:noWrap w:val="0"/>
                  <w:tcMar>
                    <w:left w:w="0" w:type="dxa"/>
                    <w:right w:w="0" w:type="dxa"/>
                  </w:tcMar>
                  <w:vAlign w:val="center"/>
                </w:tcPr>
                <w:p>
                  <w:pPr>
                    <w:jc w:val="center"/>
                    <w:rPr>
                      <w:rFonts w:hint="default" w:eastAsia="宋体"/>
                      <w:sz w:val="20"/>
                      <w:szCs w:val="20"/>
                      <w:lang w:val="en-US" w:eastAsia="zh-CN"/>
                    </w:rPr>
                  </w:pPr>
                </w:p>
              </w:tc>
              <w:tc>
                <w:tcPr>
                  <w:tcW w:w="128" w:type="pct"/>
                  <w:vMerge w:val="continue"/>
                  <w:tcBorders>
                    <w:bottom w:val="single" w:color="auto" w:sz="4" w:space="0"/>
                  </w:tcBorders>
                  <w:noWrap w:val="0"/>
                  <w:tcMar>
                    <w:left w:w="0" w:type="dxa"/>
                    <w:right w:w="0" w:type="dxa"/>
                  </w:tcMar>
                  <w:vAlign w:val="center"/>
                </w:tcPr>
                <w:p>
                  <w:pPr>
                    <w:jc w:val="center"/>
                    <w:rPr>
                      <w:rFonts w:hint="eastAsia"/>
                      <w:sz w:val="20"/>
                      <w:szCs w:val="20"/>
                    </w:rPr>
                  </w:pPr>
                </w:p>
              </w:tc>
              <w:tc>
                <w:tcPr>
                  <w:tcW w:w="256" w:type="pct"/>
                  <w:vMerge w:val="continue"/>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p>
              </w:tc>
              <w:tc>
                <w:tcPr>
                  <w:tcW w:w="82" w:type="pct"/>
                  <w:vMerge w:val="continue"/>
                  <w:noWrap w:val="0"/>
                  <w:tcMar>
                    <w:left w:w="0" w:type="dxa"/>
                    <w:right w:w="0" w:type="dxa"/>
                  </w:tcMar>
                  <w:vAlign w:val="center"/>
                </w:tcPr>
                <w:p>
                  <w:pPr>
                    <w:widowControl/>
                    <w:adjustRightInd w:val="0"/>
                    <w:snapToGrid w:val="0"/>
                    <w:jc w:val="center"/>
                    <w:rPr>
                      <w:rFonts w:hint="eastAsia"/>
                      <w:bCs/>
                      <w:iCs/>
                      <w:snapToGrid w:val="0"/>
                      <w:spacing w:val="-4"/>
                      <w:kern w:val="0"/>
                      <w:sz w:val="20"/>
                      <w:szCs w:val="20"/>
                      <w:lang w:bidi="en-US"/>
                    </w:rPr>
                  </w:pPr>
                </w:p>
              </w:tc>
              <w:tc>
                <w:tcPr>
                  <w:tcW w:w="110" w:type="pct"/>
                  <w:vMerge w:val="continue"/>
                  <w:noWrap w:val="0"/>
                  <w:tcMar>
                    <w:left w:w="0" w:type="dxa"/>
                    <w:right w:w="0" w:type="dxa"/>
                  </w:tcMar>
                  <w:vAlign w:val="center"/>
                </w:tcPr>
                <w:p>
                  <w:pPr>
                    <w:widowControl/>
                    <w:adjustRightInd w:val="0"/>
                    <w:snapToGrid w:val="0"/>
                    <w:jc w:val="center"/>
                    <w:rPr>
                      <w:rFonts w:hint="default" w:eastAsia="宋体"/>
                      <w:bCs/>
                      <w:iCs/>
                      <w:snapToGrid w:val="0"/>
                      <w:spacing w:val="-4"/>
                      <w:kern w:val="0"/>
                      <w:sz w:val="20"/>
                      <w:szCs w:val="20"/>
                      <w:lang w:val="en-US" w:eastAsia="zh-CN" w:bidi="en-US"/>
                    </w:rPr>
                  </w:pPr>
                </w:p>
              </w:tc>
              <w:tc>
                <w:tcPr>
                  <w:tcW w:w="73" w:type="pct"/>
                  <w:vMerge w:val="continue"/>
                  <w:noWrap w:val="0"/>
                  <w:tcMar>
                    <w:left w:w="0" w:type="dxa"/>
                    <w:right w:w="0" w:type="dxa"/>
                  </w:tcMar>
                  <w:vAlign w:val="center"/>
                </w:tcPr>
                <w:p>
                  <w:pPr>
                    <w:widowControl/>
                    <w:adjustRightInd w:val="0"/>
                    <w:snapToGrid w:val="0"/>
                    <w:jc w:val="center"/>
                    <w:rPr>
                      <w:rFonts w:hint="eastAsia"/>
                      <w:bCs/>
                      <w:iCs/>
                      <w:snapToGrid w:val="0"/>
                      <w:spacing w:val="-4"/>
                      <w:kern w:val="0"/>
                      <w:sz w:val="20"/>
                      <w:szCs w:val="20"/>
                      <w:lang w:bidi="en-US"/>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gridAfter w:val="1"/>
                <w:wAfter w:w="23" w:type="pct"/>
                <w:trHeight w:val="933" w:hRule="atLeast"/>
                <w:jc w:val="center"/>
              </w:trPr>
              <w:tc>
                <w:tcPr>
                  <w:tcW w:w="115" w:type="pct"/>
                  <w:vMerge w:val="continue"/>
                  <w:tcBorders>
                    <w:top w:val="single" w:color="auto" w:sz="4" w:space="0"/>
                    <w:bottom w:val="single" w:color="auto" w:sz="4" w:space="0"/>
                  </w:tcBorders>
                  <w:noWrap w:val="0"/>
                  <w:vAlign w:val="center"/>
                </w:tcPr>
                <w:p>
                  <w:pPr>
                    <w:jc w:val="center"/>
                    <w:rPr>
                      <w:sz w:val="20"/>
                      <w:szCs w:val="20"/>
                    </w:rPr>
                  </w:pPr>
                </w:p>
              </w:tc>
              <w:tc>
                <w:tcPr>
                  <w:tcW w:w="205" w:type="pct"/>
                  <w:tcBorders>
                    <w:top w:val="single" w:color="auto" w:sz="4" w:space="0"/>
                    <w:bottom w:val="single" w:color="auto" w:sz="4" w:space="0"/>
                  </w:tcBorders>
                  <w:noWrap w:val="0"/>
                  <w:tcMar>
                    <w:left w:w="0" w:type="dxa"/>
                    <w:right w:w="0" w:type="dxa"/>
                  </w:tcMar>
                  <w:vAlign w:val="center"/>
                </w:tcPr>
                <w:p>
                  <w:pPr>
                    <w:jc w:val="center"/>
                    <w:rPr>
                      <w:rFonts w:hint="default" w:eastAsia="宋体"/>
                      <w:sz w:val="20"/>
                      <w:szCs w:val="20"/>
                      <w:lang w:val="en-US" w:eastAsia="zh-CN"/>
                    </w:rPr>
                  </w:pPr>
                  <w:r>
                    <w:rPr>
                      <w:rFonts w:hint="eastAsia"/>
                      <w:sz w:val="20"/>
                      <w:szCs w:val="20"/>
                      <w:lang w:val="en-US" w:eastAsia="zh-CN"/>
                    </w:rPr>
                    <w:t>非甲烷总烃</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0.225</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1.62</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8.9</w:t>
                  </w: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0.214</w:t>
                  </w:r>
                </w:p>
              </w:tc>
              <w:tc>
                <w:tcPr>
                  <w:tcW w:w="32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1.539</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80" w:type="pct"/>
                  <w:tcBorders>
                    <w:bottom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80</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1.78</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0.043</w:t>
                  </w:r>
                </w:p>
              </w:tc>
              <w:tc>
                <w:tcPr>
                  <w:tcW w:w="19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0.308</w:t>
                  </w:r>
                </w:p>
              </w:tc>
              <w:tc>
                <w:tcPr>
                  <w:tcW w:w="107"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22"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24"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89"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33"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57"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15" w:type="pct"/>
                  <w:tcBorders>
                    <w:top w:val="single" w:color="auto" w:sz="4" w:space="0"/>
                    <w:bottom w:val="single" w:color="auto" w:sz="4" w:space="0"/>
                  </w:tcBorders>
                  <w:noWrap w:val="0"/>
                  <w:tcMar>
                    <w:left w:w="0" w:type="dxa"/>
                    <w:right w:w="0" w:type="dxa"/>
                  </w:tcMar>
                  <w:vAlign w:val="center"/>
                </w:tcPr>
                <w:p>
                  <w:pPr>
                    <w:jc w:val="center"/>
                    <w:rPr>
                      <w:rFonts w:hint="default" w:eastAsia="宋体"/>
                      <w:sz w:val="20"/>
                      <w:szCs w:val="20"/>
                      <w:lang w:val="en-US" w:eastAsia="zh-CN"/>
                    </w:rPr>
                  </w:pPr>
                  <w:r>
                    <w:rPr>
                      <w:rFonts w:hint="eastAsia"/>
                      <w:sz w:val="20"/>
                      <w:szCs w:val="20"/>
                      <w:lang w:val="en-US" w:eastAsia="zh-CN"/>
                    </w:rPr>
                    <w:t>60</w:t>
                  </w:r>
                </w:p>
              </w:tc>
              <w:tc>
                <w:tcPr>
                  <w:tcW w:w="128" w:type="pct"/>
                  <w:tcBorders>
                    <w:top w:val="single" w:color="auto" w:sz="4" w:space="0"/>
                    <w:bottom w:val="single" w:color="auto" w:sz="4" w:space="0"/>
                  </w:tcBorders>
                  <w:noWrap w:val="0"/>
                  <w:tcMar>
                    <w:left w:w="0" w:type="dxa"/>
                    <w:right w:w="0" w:type="dxa"/>
                  </w:tcMar>
                  <w:vAlign w:val="center"/>
                </w:tcPr>
                <w:p>
                  <w:pPr>
                    <w:jc w:val="center"/>
                    <w:rPr>
                      <w:rFonts w:hint="eastAsia" w:eastAsia="宋体"/>
                      <w:sz w:val="20"/>
                      <w:szCs w:val="20"/>
                      <w:lang w:eastAsia="zh-CN"/>
                    </w:rPr>
                  </w:pPr>
                  <w:r>
                    <w:rPr>
                      <w:rFonts w:hint="eastAsia"/>
                      <w:sz w:val="20"/>
                      <w:szCs w:val="20"/>
                      <w:lang w:val="en-US" w:eastAsia="zh-CN"/>
                    </w:rPr>
                    <w:t>3</w:t>
                  </w:r>
                </w:p>
              </w:tc>
              <w:tc>
                <w:tcPr>
                  <w:tcW w:w="256"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73" w:type="pct"/>
                  <w:vMerge w:val="continue"/>
                  <w:tcBorders>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restart"/>
                  <w:tcBorders>
                    <w:top w:val="single" w:color="auto" w:sz="4" w:space="0"/>
                    <w:bottom w:val="single" w:color="auto" w:sz="4" w:space="0"/>
                  </w:tcBorders>
                  <w:noWrap w:val="0"/>
                  <w:vAlign w:val="center"/>
                </w:tcPr>
                <w:p>
                  <w:pPr>
                    <w:jc w:val="center"/>
                    <w:rPr>
                      <w:rFonts w:hint="default" w:eastAsia="宋体"/>
                      <w:sz w:val="20"/>
                      <w:szCs w:val="20"/>
                      <w:lang w:val="en-US" w:eastAsia="zh-CN"/>
                    </w:rPr>
                  </w:pPr>
                  <w:r>
                    <w:rPr>
                      <w:rFonts w:hint="eastAsia"/>
                      <w:sz w:val="20"/>
                      <w:szCs w:val="20"/>
                      <w:lang w:val="en-US" w:eastAsia="zh-CN"/>
                    </w:rPr>
                    <w:t>蒸汽锅炉废气</w:t>
                  </w:r>
                </w:p>
              </w:tc>
              <w:tc>
                <w:tcPr>
                  <w:tcW w:w="205" w:type="pct"/>
                  <w:tcBorders>
                    <w:top w:val="single" w:color="auto" w:sz="4" w:space="0"/>
                    <w:bottom w:val="single" w:color="auto" w:sz="4" w:space="0"/>
                  </w:tcBorders>
                  <w:noWrap w:val="0"/>
                  <w:tcMar>
                    <w:left w:w="0" w:type="dxa"/>
                    <w:right w:w="0" w:type="dxa"/>
                  </w:tcMar>
                  <w:vAlign w:val="center"/>
                </w:tcPr>
                <w:p>
                  <w:pPr>
                    <w:jc w:val="center"/>
                    <w:rPr>
                      <w:rFonts w:hint="eastAsia"/>
                      <w:sz w:val="20"/>
                      <w:szCs w:val="20"/>
                    </w:rPr>
                  </w:pPr>
                  <w:r>
                    <w:rPr>
                      <w:sz w:val="20"/>
                      <w:szCs w:val="20"/>
                    </w:rPr>
                    <w:t>颗粒物</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0.485</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3.5</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restart"/>
                  <w:tcBorders>
                    <w:top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100</w:t>
                  </w: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69.29</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lang w:val="en-US" w:eastAsia="zh-CN" w:bidi="ar"/>
                    </w:rPr>
                  </w:pPr>
                  <w:r>
                    <w:rPr>
                      <w:rFonts w:hint="eastAsia"/>
                      <w:kern w:val="0"/>
                      <w:sz w:val="20"/>
                      <w:szCs w:val="20"/>
                      <w:lang w:val="en-US" w:eastAsia="zh-CN" w:bidi="ar"/>
                    </w:rPr>
                    <w:t>0.485</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lang w:val="en-US" w:eastAsia="zh-CN" w:bidi="ar"/>
                    </w:rPr>
                  </w:pPr>
                  <w:r>
                    <w:rPr>
                      <w:rFonts w:hint="eastAsia"/>
                      <w:kern w:val="0"/>
                      <w:sz w:val="20"/>
                      <w:szCs w:val="20"/>
                      <w:lang w:val="en-US" w:eastAsia="zh-CN" w:bidi="ar"/>
                    </w:rPr>
                    <w:t>3.5</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restart"/>
                  <w:tcBorders>
                    <w:top w:val="single" w:color="auto" w:sz="4" w:space="0"/>
                  </w:tcBorders>
                  <w:noWrap w:val="0"/>
                  <w:tcMar>
                    <w:left w:w="0" w:type="dxa"/>
                    <w:right w:w="0" w:type="dxa"/>
                  </w:tcMar>
                  <w:vAlign w:val="center"/>
                </w:tcPr>
                <w:p>
                  <w:pPr>
                    <w:widowControl/>
                    <w:jc w:val="center"/>
                    <w:textAlignment w:val="center"/>
                    <w:rPr>
                      <w:rFonts w:hint="default"/>
                      <w:kern w:val="0"/>
                      <w:sz w:val="20"/>
                      <w:szCs w:val="20"/>
                      <w:lang w:val="en-US" w:bidi="ar"/>
                    </w:rPr>
                  </w:pPr>
                  <w:r>
                    <w:rPr>
                      <w:rFonts w:hint="eastAsia" w:cs="Times New Roman"/>
                      <w:kern w:val="0"/>
                      <w:sz w:val="20"/>
                      <w:szCs w:val="20"/>
                      <w:lang w:val="en-US" w:eastAsia="zh-CN" w:bidi="ar"/>
                    </w:rPr>
                    <w:t>低氮燃烧+S</w:t>
                  </w:r>
                  <w:r>
                    <w:rPr>
                      <w:rFonts w:hint="eastAsia" w:ascii="Times New Roman" w:hAnsi="Times New Roman" w:eastAsia="宋体" w:cs="Times New Roman"/>
                      <w:kern w:val="0"/>
                      <w:sz w:val="20"/>
                      <w:szCs w:val="20"/>
                      <w:lang w:val="en-US" w:eastAsia="zh-CN" w:bidi="ar"/>
                    </w:rPr>
                    <w:t>NCR+石灰喷雾干燥+余热回收+</w:t>
                  </w:r>
                  <w:r>
                    <w:rPr>
                      <w:rFonts w:hint="eastAsia" w:cs="Times New Roman"/>
                      <w:kern w:val="0"/>
                      <w:sz w:val="20"/>
                      <w:szCs w:val="20"/>
                      <w:lang w:val="en-US" w:eastAsia="zh-CN" w:bidi="ar"/>
                    </w:rPr>
                    <w:t>旋风除尘+布袋除尘+水幕除尘</w:t>
                  </w:r>
                  <w:r>
                    <w:rPr>
                      <w:rFonts w:hint="eastAsia" w:ascii="Times New Roman" w:hAnsi="Times New Roman" w:eastAsia="宋体" w:cs="Times New Roman"/>
                      <w:kern w:val="0"/>
                      <w:sz w:val="20"/>
                      <w:szCs w:val="20"/>
                      <w:lang w:val="en-US" w:eastAsia="zh-CN" w:bidi="ar"/>
                    </w:rPr>
                    <w:t>，</w:t>
                  </w:r>
                  <w:r>
                    <w:rPr>
                      <w:rFonts w:hint="eastAsia" w:cs="Times New Roman"/>
                      <w:kern w:val="0"/>
                      <w:sz w:val="20"/>
                      <w:szCs w:val="20"/>
                      <w:lang w:val="en-US" w:eastAsia="zh-CN" w:bidi="ar"/>
                    </w:rPr>
                    <w:t>7</w:t>
                  </w:r>
                  <w:r>
                    <w:rPr>
                      <w:rFonts w:hint="eastAsia" w:ascii="Times New Roman" w:hAnsi="Times New Roman" w:eastAsia="宋体" w:cs="Times New Roman"/>
                      <w:kern w:val="0"/>
                      <w:sz w:val="20"/>
                      <w:szCs w:val="20"/>
                      <w:lang w:val="en-US" w:eastAsia="zh-CN" w:bidi="ar"/>
                    </w:rPr>
                    <w:t>000</w:t>
                  </w:r>
                  <w:r>
                    <w:rPr>
                      <w:sz w:val="20"/>
                      <w:szCs w:val="20"/>
                    </w:rPr>
                    <w:t>m</w:t>
                  </w:r>
                  <w:r>
                    <w:rPr>
                      <w:sz w:val="20"/>
                      <w:szCs w:val="20"/>
                      <w:vertAlign w:val="superscript"/>
                    </w:rPr>
                    <w:t>3</w:t>
                  </w:r>
                  <w:r>
                    <w:rPr>
                      <w:sz w:val="20"/>
                      <w:szCs w:val="20"/>
                    </w:rPr>
                    <w:t>/h</w:t>
                  </w:r>
                </w:p>
              </w:tc>
              <w:tc>
                <w:tcPr>
                  <w:tcW w:w="180" w:type="pct"/>
                  <w:tcBorders>
                    <w:top w:val="single" w:color="auto" w:sz="4" w:space="0"/>
                    <w:bottom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99.98</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0.143</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0.001</w:t>
                  </w:r>
                </w:p>
              </w:tc>
              <w:tc>
                <w:tcPr>
                  <w:tcW w:w="19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0.007</w:t>
                  </w:r>
                </w:p>
              </w:tc>
              <w:tc>
                <w:tcPr>
                  <w:tcW w:w="107" w:type="pct"/>
                  <w:vMerge w:val="restart"/>
                  <w:tcBorders>
                    <w:top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35</w:t>
                  </w:r>
                </w:p>
              </w:tc>
              <w:tc>
                <w:tcPr>
                  <w:tcW w:w="122" w:type="pct"/>
                  <w:vMerge w:val="restart"/>
                  <w:tcBorders>
                    <w:top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0.4</w:t>
                  </w:r>
                </w:p>
              </w:tc>
              <w:tc>
                <w:tcPr>
                  <w:tcW w:w="124" w:type="pct"/>
                  <w:vMerge w:val="restart"/>
                  <w:tcBorders>
                    <w:top w:val="single" w:color="auto" w:sz="4" w:space="0"/>
                  </w:tcBorders>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25</w:t>
                  </w:r>
                </w:p>
              </w:tc>
              <w:tc>
                <w:tcPr>
                  <w:tcW w:w="189" w:type="pct"/>
                  <w:vMerge w:val="restart"/>
                  <w:tcBorders>
                    <w:top w:val="single" w:color="auto" w:sz="4" w:space="0"/>
                  </w:tcBorders>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DA002</w:t>
                  </w:r>
                </w:p>
              </w:tc>
              <w:tc>
                <w:tcPr>
                  <w:tcW w:w="233" w:type="pct"/>
                  <w:vMerge w:val="restart"/>
                  <w:tcBorders>
                    <w:top w:val="single" w:color="auto" w:sz="4" w:space="0"/>
                  </w:tcBorders>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主要</w:t>
                  </w:r>
                  <w:r>
                    <w:rPr>
                      <w:rFonts w:hint="eastAsia"/>
                      <w:kern w:val="0"/>
                      <w:sz w:val="20"/>
                      <w:szCs w:val="20"/>
                      <w:lang w:bidi="ar"/>
                    </w:rPr>
                    <w:t>排放口</w:t>
                  </w:r>
                </w:p>
              </w:tc>
              <w:tc>
                <w:tcPr>
                  <w:tcW w:w="257" w:type="pct"/>
                  <w:vMerge w:val="restart"/>
                  <w:tcBorders>
                    <w:top w:val="single" w:color="auto" w:sz="4" w:space="0"/>
                  </w:tcBorders>
                  <w:noWrap w:val="0"/>
                  <w:tcMar>
                    <w:left w:w="0" w:type="dxa"/>
                    <w:right w:w="0" w:type="dxa"/>
                  </w:tcMar>
                  <w:vAlign w:val="center"/>
                </w:tcPr>
                <w:p>
                  <w:pPr>
                    <w:jc w:val="center"/>
                    <w:rPr>
                      <w:rFonts w:hint="eastAsia" w:ascii="Times New Roman" w:hAnsi="Times New Roman" w:eastAsia="宋体" w:cs="Times New Roman"/>
                      <w:kern w:val="0"/>
                      <w:sz w:val="20"/>
                      <w:szCs w:val="20"/>
                      <w:lang w:val="en-US" w:eastAsia="zh-CN" w:bidi="ar"/>
                    </w:rPr>
                  </w:pPr>
                  <w:r>
                    <w:rPr>
                      <w:rFonts w:hint="default" w:ascii="Times New Roman" w:hAnsi="Times New Roman" w:eastAsia="宋体" w:cs="Times New Roman"/>
                      <w:b w:val="0"/>
                      <w:sz w:val="20"/>
                      <w:szCs w:val="20"/>
                    </w:rPr>
                    <w:t>120.650492</w:t>
                  </w:r>
                  <w:r>
                    <w:rPr>
                      <w:rFonts w:hint="default" w:ascii="Times New Roman" w:hAnsi="Times New Roman" w:eastAsia="宋体" w:cs="Times New Roman"/>
                      <w:b w:val="0"/>
                      <w:sz w:val="20"/>
                      <w:szCs w:val="20"/>
                      <w:lang w:eastAsia="zh-CN"/>
                    </w:rPr>
                    <w:t>，</w:t>
                  </w:r>
                  <w:r>
                    <w:rPr>
                      <w:rFonts w:hint="default" w:ascii="Times New Roman" w:hAnsi="Times New Roman" w:eastAsia="宋体" w:cs="Times New Roman"/>
                      <w:b w:val="0"/>
                      <w:sz w:val="20"/>
                      <w:szCs w:val="20"/>
                    </w:rPr>
                    <w:t>32.139581</w:t>
                  </w:r>
                </w:p>
              </w:tc>
              <w:tc>
                <w:tcPr>
                  <w:tcW w:w="215" w:type="pct"/>
                  <w:tcBorders>
                    <w:top w:val="single" w:color="auto" w:sz="4" w:space="0"/>
                    <w:bottom w:val="single" w:color="auto" w:sz="4" w:space="0"/>
                  </w:tcBorders>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ascii="Times New Roman" w:hAnsi="Times New Roman" w:eastAsia="宋体" w:cs="Times New Roman"/>
                      <w:kern w:val="0"/>
                      <w:sz w:val="20"/>
                      <w:szCs w:val="20"/>
                      <w:lang w:val="en-US" w:eastAsia="zh-CN" w:bidi="ar"/>
                    </w:rPr>
                    <w:t>10</w:t>
                  </w:r>
                </w:p>
              </w:tc>
              <w:tc>
                <w:tcPr>
                  <w:tcW w:w="128" w:type="pct"/>
                  <w:tcBorders>
                    <w:top w:val="single" w:color="auto" w:sz="4" w:space="0"/>
                    <w:bottom w:val="single" w:color="auto" w:sz="4" w:space="0"/>
                  </w:tcBorders>
                  <w:noWrap w:val="0"/>
                  <w:tcMar>
                    <w:left w:w="0" w:type="dxa"/>
                    <w:right w:w="0" w:type="dxa"/>
                  </w:tcMar>
                  <w:vAlign w:val="center"/>
                </w:tcPr>
                <w:p>
                  <w:pPr>
                    <w:jc w:val="center"/>
                    <w:rPr>
                      <w:rFonts w:hint="eastAsia" w:eastAsia="宋体"/>
                      <w:sz w:val="20"/>
                      <w:szCs w:val="20"/>
                      <w:lang w:eastAsia="zh-CN"/>
                    </w:rPr>
                  </w:pPr>
                  <w:r>
                    <w:rPr>
                      <w:rFonts w:hint="eastAsia"/>
                      <w:sz w:val="20"/>
                      <w:szCs w:val="20"/>
                      <w:lang w:val="en-US" w:eastAsia="zh-CN"/>
                    </w:rPr>
                    <w:t>/</w:t>
                  </w:r>
                </w:p>
              </w:tc>
              <w:tc>
                <w:tcPr>
                  <w:tcW w:w="256" w:type="pct"/>
                  <w:vMerge w:val="restart"/>
                  <w:tcBorders>
                    <w:top w:val="single" w:color="auto" w:sz="4" w:space="0"/>
                  </w:tcBorders>
                  <w:noWrap w:val="0"/>
                  <w:tcMar>
                    <w:left w:w="0" w:type="dxa"/>
                    <w:right w:w="0" w:type="dxa"/>
                  </w:tcMar>
                  <w:vAlign w:val="center"/>
                </w:tcPr>
                <w:p>
                  <w:pPr>
                    <w:widowControl/>
                    <w:jc w:val="center"/>
                    <w:textAlignment w:val="center"/>
                    <w:rPr>
                      <w:kern w:val="0"/>
                      <w:sz w:val="20"/>
                      <w:szCs w:val="20"/>
                      <w:lang w:bidi="ar"/>
                    </w:rPr>
                  </w:pPr>
                  <w:r>
                    <w:rPr>
                      <w:rFonts w:hint="eastAsia"/>
                      <w:kern w:val="0"/>
                      <w:sz w:val="20"/>
                      <w:szCs w:val="20"/>
                      <w:lang w:bidi="ar"/>
                    </w:rPr>
                    <w:t>7200</w:t>
                  </w: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restart"/>
                  <w:tcBorders>
                    <w:top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1次/月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continue"/>
                  <w:tcBorders>
                    <w:top w:val="single" w:color="auto" w:sz="4" w:space="0"/>
                    <w:bottom w:val="single" w:color="auto" w:sz="4" w:space="0"/>
                  </w:tcBorders>
                  <w:noWrap w:val="0"/>
                  <w:vAlign w:val="center"/>
                </w:tcPr>
                <w:p>
                  <w:pPr>
                    <w:jc w:val="center"/>
                    <w:rPr>
                      <w:sz w:val="20"/>
                      <w:szCs w:val="20"/>
                    </w:rPr>
                  </w:pPr>
                </w:p>
              </w:tc>
              <w:tc>
                <w:tcPr>
                  <w:tcW w:w="205" w:type="pct"/>
                  <w:tcBorders>
                    <w:top w:val="single" w:color="auto" w:sz="4" w:space="0"/>
                    <w:bottom w:val="single" w:color="auto" w:sz="4" w:space="0"/>
                  </w:tcBorders>
                  <w:noWrap w:val="0"/>
                  <w:tcMar>
                    <w:left w:w="0" w:type="dxa"/>
                    <w:right w:w="0" w:type="dxa"/>
                  </w:tcMar>
                  <w:vAlign w:val="center"/>
                </w:tcPr>
                <w:p>
                  <w:pPr>
                    <w:jc w:val="center"/>
                    <w:rPr>
                      <w:rFonts w:hint="default" w:eastAsia="宋体"/>
                      <w:sz w:val="20"/>
                      <w:szCs w:val="20"/>
                      <w:lang w:val="en-US" w:eastAsia="zh-CN"/>
                    </w:rPr>
                  </w:pPr>
                  <w:r>
                    <w:rPr>
                      <w:rFonts w:hint="eastAsia"/>
                      <w:sz w:val="20"/>
                      <w:szCs w:val="20"/>
                      <w:lang w:val="en-US" w:eastAsia="zh-CN"/>
                    </w:rPr>
                    <w:t>SO</w:t>
                  </w:r>
                  <w:r>
                    <w:rPr>
                      <w:rFonts w:hint="eastAsia"/>
                      <w:sz w:val="20"/>
                      <w:szCs w:val="20"/>
                      <w:vertAlign w:val="subscript"/>
                      <w:lang w:val="en-US" w:eastAsia="zh-CN"/>
                    </w:rPr>
                    <w:t>2</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0.33</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2.38</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47.14</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lang w:val="en-US" w:eastAsia="zh-CN" w:bidi="ar"/>
                    </w:rPr>
                  </w:pPr>
                  <w:r>
                    <w:rPr>
                      <w:rFonts w:hint="eastAsia"/>
                      <w:kern w:val="0"/>
                      <w:sz w:val="20"/>
                      <w:szCs w:val="20"/>
                      <w:lang w:val="en-US" w:eastAsia="zh-CN" w:bidi="ar"/>
                    </w:rPr>
                    <w:t>0.33</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lang w:val="en-US" w:eastAsia="zh-CN" w:bidi="ar"/>
                    </w:rPr>
                  </w:pPr>
                  <w:r>
                    <w:rPr>
                      <w:rFonts w:hint="eastAsia"/>
                      <w:kern w:val="0"/>
                      <w:sz w:val="20"/>
                      <w:szCs w:val="20"/>
                      <w:lang w:val="en-US" w:eastAsia="zh-CN" w:bidi="ar"/>
                    </w:rPr>
                    <w:t>2.38</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0" w:type="pct"/>
                  <w:tcBorders>
                    <w:top w:val="single" w:color="auto" w:sz="4" w:space="0"/>
                    <w:bottom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70</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14.14</w:t>
                  </w:r>
                </w:p>
              </w:tc>
              <w:tc>
                <w:tcPr>
                  <w:tcW w:w="225"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0.099</w:t>
                  </w:r>
                </w:p>
              </w:tc>
              <w:tc>
                <w:tcPr>
                  <w:tcW w:w="199"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0.714</w:t>
                  </w:r>
                </w:p>
              </w:tc>
              <w:tc>
                <w:tcPr>
                  <w:tcW w:w="10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4"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9"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33"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57" w:type="pct"/>
                  <w:vMerge w:val="continue"/>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p>
              </w:tc>
              <w:tc>
                <w:tcPr>
                  <w:tcW w:w="215" w:type="pct"/>
                  <w:tcBorders>
                    <w:top w:val="single" w:color="auto" w:sz="4" w:space="0"/>
                    <w:bottom w:val="single" w:color="auto" w:sz="4" w:space="0"/>
                  </w:tcBorders>
                  <w:noWrap w:val="0"/>
                  <w:tcMar>
                    <w:left w:w="0" w:type="dxa"/>
                    <w:right w:w="0" w:type="dxa"/>
                  </w:tcMar>
                  <w:vAlign w:val="center"/>
                </w:tcPr>
                <w:p>
                  <w:pPr>
                    <w:widowControl/>
                    <w:jc w:val="center"/>
                    <w:textAlignment w:val="center"/>
                    <w:rPr>
                      <w:rFonts w:hint="default" w:ascii="Times New Roman" w:hAnsi="Times New Roman" w:eastAsia="宋体" w:cs="Times New Roman"/>
                      <w:kern w:val="0"/>
                      <w:sz w:val="20"/>
                      <w:szCs w:val="20"/>
                      <w:lang w:val="en-US" w:eastAsia="zh-CN" w:bidi="ar"/>
                    </w:rPr>
                  </w:pPr>
                  <w:r>
                    <w:rPr>
                      <w:rFonts w:hint="eastAsia" w:ascii="Times New Roman" w:hAnsi="Times New Roman" w:eastAsia="宋体" w:cs="Times New Roman"/>
                      <w:kern w:val="0"/>
                      <w:sz w:val="20"/>
                      <w:szCs w:val="20"/>
                      <w:lang w:val="en-US" w:eastAsia="zh-CN" w:bidi="ar"/>
                    </w:rPr>
                    <w:t>35</w:t>
                  </w:r>
                </w:p>
              </w:tc>
              <w:tc>
                <w:tcPr>
                  <w:tcW w:w="128" w:type="pct"/>
                  <w:tcBorders>
                    <w:top w:val="single" w:color="auto" w:sz="4" w:space="0"/>
                    <w:bottom w:val="single" w:color="auto" w:sz="4" w:space="0"/>
                  </w:tcBorders>
                  <w:noWrap w:val="0"/>
                  <w:tcMar>
                    <w:left w:w="0" w:type="dxa"/>
                    <w:right w:w="0" w:type="dxa"/>
                  </w:tcMar>
                  <w:vAlign w:val="center"/>
                </w:tcPr>
                <w:p>
                  <w:pPr>
                    <w:jc w:val="center"/>
                    <w:rPr>
                      <w:rFonts w:hint="eastAsia" w:eastAsia="宋体"/>
                      <w:sz w:val="20"/>
                      <w:szCs w:val="20"/>
                      <w:lang w:eastAsia="zh-CN"/>
                    </w:rPr>
                  </w:pPr>
                  <w:r>
                    <w:rPr>
                      <w:rFonts w:hint="eastAsia"/>
                      <w:sz w:val="20"/>
                      <w:szCs w:val="20"/>
                      <w:lang w:val="en-US" w:eastAsia="zh-CN"/>
                    </w:rPr>
                    <w:t>/</w:t>
                  </w:r>
                </w:p>
              </w:tc>
              <w:tc>
                <w:tcPr>
                  <w:tcW w:w="25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continue"/>
                  <w:noWrap w:val="0"/>
                  <w:tcMar>
                    <w:left w:w="0" w:type="dxa"/>
                    <w:right w:w="0" w:type="dxa"/>
                  </w:tcMar>
                  <w:vAlign w:val="center"/>
                </w:tcPr>
                <w:p>
                  <w:pPr>
                    <w:widowControl/>
                    <w:jc w:val="center"/>
                    <w:textAlignment w:val="center"/>
                    <w:rPr>
                      <w:rFonts w:hint="eastAsia"/>
                      <w:kern w:val="0"/>
                      <w:sz w:val="20"/>
                      <w:szCs w:val="20"/>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continue"/>
                  <w:tcBorders>
                    <w:top w:val="single" w:color="auto" w:sz="4" w:space="0"/>
                    <w:bottom w:val="single" w:color="auto" w:sz="4" w:space="0"/>
                  </w:tcBorders>
                  <w:noWrap w:val="0"/>
                  <w:vAlign w:val="center"/>
                </w:tcPr>
                <w:p>
                  <w:pPr>
                    <w:jc w:val="center"/>
                    <w:rPr>
                      <w:sz w:val="20"/>
                      <w:szCs w:val="20"/>
                    </w:rPr>
                  </w:pPr>
                </w:p>
              </w:tc>
              <w:tc>
                <w:tcPr>
                  <w:tcW w:w="205" w:type="pct"/>
                  <w:tcBorders>
                    <w:top w:val="single" w:color="auto" w:sz="4" w:space="0"/>
                    <w:bottom w:val="single" w:color="auto" w:sz="4" w:space="0"/>
                  </w:tcBorders>
                  <w:noWrap w:val="0"/>
                  <w:tcMar>
                    <w:left w:w="0" w:type="dxa"/>
                    <w:right w:w="0" w:type="dxa"/>
                  </w:tcMar>
                  <w:vAlign w:val="center"/>
                </w:tcPr>
                <w:p>
                  <w:pPr>
                    <w:jc w:val="center"/>
                    <w:rPr>
                      <w:rFonts w:hint="default" w:eastAsia="宋体"/>
                      <w:sz w:val="20"/>
                      <w:szCs w:val="20"/>
                      <w:lang w:val="en-US" w:eastAsia="zh-CN"/>
                    </w:rPr>
                  </w:pPr>
                  <w:r>
                    <w:rPr>
                      <w:rFonts w:hint="eastAsia"/>
                      <w:sz w:val="20"/>
                      <w:szCs w:val="20"/>
                      <w:lang w:val="en-US" w:eastAsia="zh-CN"/>
                    </w:rPr>
                    <w:t>NO</w:t>
                  </w:r>
                  <w:r>
                    <w:rPr>
                      <w:rFonts w:hint="eastAsia"/>
                      <w:sz w:val="20"/>
                      <w:szCs w:val="20"/>
                      <w:vertAlign w:val="subscript"/>
                      <w:lang w:val="en-US" w:eastAsia="zh-CN"/>
                    </w:rPr>
                    <w:t>x</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0.69</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4.97</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98.61</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lang w:val="en-US" w:eastAsia="zh-CN" w:bidi="ar"/>
                    </w:rPr>
                  </w:pPr>
                  <w:r>
                    <w:rPr>
                      <w:rFonts w:hint="eastAsia"/>
                      <w:kern w:val="0"/>
                      <w:sz w:val="20"/>
                      <w:szCs w:val="20"/>
                      <w:lang w:val="en-US" w:eastAsia="zh-CN" w:bidi="ar"/>
                    </w:rPr>
                    <w:t>0.69</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kern w:val="0"/>
                      <w:sz w:val="20"/>
                      <w:szCs w:val="20"/>
                      <w:lang w:val="en-US" w:eastAsia="zh-CN" w:bidi="ar"/>
                    </w:rPr>
                  </w:pPr>
                  <w:r>
                    <w:rPr>
                      <w:rFonts w:hint="eastAsia"/>
                      <w:kern w:val="0"/>
                      <w:sz w:val="20"/>
                      <w:szCs w:val="20"/>
                      <w:lang w:val="en-US" w:eastAsia="zh-CN" w:bidi="ar"/>
                    </w:rPr>
                    <w:t>4.97</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0" w:type="pct"/>
                  <w:tcBorders>
                    <w:top w:val="single" w:color="auto" w:sz="4" w:space="0"/>
                    <w:bottom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80</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19.72</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0.138</w:t>
                  </w:r>
                </w:p>
              </w:tc>
              <w:tc>
                <w:tcPr>
                  <w:tcW w:w="19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0.994</w:t>
                  </w:r>
                </w:p>
              </w:tc>
              <w:tc>
                <w:tcPr>
                  <w:tcW w:w="10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4"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9"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33"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57" w:type="pct"/>
                  <w:vMerge w:val="continue"/>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p>
              </w:tc>
              <w:tc>
                <w:tcPr>
                  <w:tcW w:w="215" w:type="pct"/>
                  <w:tcBorders>
                    <w:top w:val="single" w:color="auto" w:sz="4" w:space="0"/>
                    <w:bottom w:val="single" w:color="auto" w:sz="4" w:space="0"/>
                  </w:tcBorders>
                  <w:noWrap w:val="0"/>
                  <w:tcMar>
                    <w:left w:w="0" w:type="dxa"/>
                    <w:right w:w="0" w:type="dxa"/>
                  </w:tcMar>
                  <w:vAlign w:val="center"/>
                </w:tcPr>
                <w:p>
                  <w:pPr>
                    <w:widowControl/>
                    <w:jc w:val="center"/>
                    <w:textAlignment w:val="center"/>
                    <w:rPr>
                      <w:rFonts w:hint="default" w:ascii="Times New Roman" w:hAnsi="Times New Roman" w:eastAsia="宋体" w:cs="Times New Roman"/>
                      <w:kern w:val="0"/>
                      <w:sz w:val="20"/>
                      <w:szCs w:val="20"/>
                      <w:lang w:val="en-US" w:eastAsia="zh-CN" w:bidi="ar"/>
                    </w:rPr>
                  </w:pPr>
                  <w:r>
                    <w:rPr>
                      <w:rFonts w:hint="eastAsia" w:ascii="Times New Roman" w:hAnsi="Times New Roman" w:eastAsia="宋体" w:cs="Times New Roman"/>
                      <w:kern w:val="0"/>
                      <w:sz w:val="20"/>
                      <w:szCs w:val="20"/>
                      <w:lang w:val="en-US" w:eastAsia="zh-CN" w:bidi="ar"/>
                    </w:rPr>
                    <w:t>50</w:t>
                  </w:r>
                </w:p>
              </w:tc>
              <w:tc>
                <w:tcPr>
                  <w:tcW w:w="128" w:type="pct"/>
                  <w:tcBorders>
                    <w:top w:val="single" w:color="auto" w:sz="4" w:space="0"/>
                    <w:bottom w:val="single" w:color="auto" w:sz="4" w:space="0"/>
                  </w:tcBorders>
                  <w:noWrap w:val="0"/>
                  <w:tcMar>
                    <w:left w:w="0" w:type="dxa"/>
                    <w:right w:w="0" w:type="dxa"/>
                  </w:tcMar>
                  <w:vAlign w:val="center"/>
                </w:tcPr>
                <w:p>
                  <w:pPr>
                    <w:jc w:val="center"/>
                    <w:rPr>
                      <w:rFonts w:hint="eastAsia"/>
                      <w:sz w:val="20"/>
                      <w:szCs w:val="20"/>
                    </w:rPr>
                  </w:pPr>
                  <w:r>
                    <w:rPr>
                      <w:sz w:val="20"/>
                      <w:szCs w:val="20"/>
                    </w:rPr>
                    <w:t>/</w:t>
                  </w:r>
                </w:p>
              </w:tc>
              <w:tc>
                <w:tcPr>
                  <w:tcW w:w="25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continue"/>
                  <w:noWrap w:val="0"/>
                  <w:tcMar>
                    <w:left w:w="0" w:type="dxa"/>
                    <w:right w:w="0" w:type="dxa"/>
                  </w:tcMar>
                  <w:vAlign w:val="center"/>
                </w:tcPr>
                <w:p>
                  <w:pPr>
                    <w:widowControl/>
                    <w:jc w:val="center"/>
                    <w:textAlignment w:val="center"/>
                    <w:rPr>
                      <w:rFonts w:hint="eastAsia"/>
                      <w:kern w:val="0"/>
                      <w:sz w:val="20"/>
                      <w:szCs w:val="20"/>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continue"/>
                  <w:tcBorders>
                    <w:top w:val="single" w:color="auto" w:sz="4" w:space="0"/>
                    <w:bottom w:val="single" w:color="auto" w:sz="4" w:space="0"/>
                  </w:tcBorders>
                  <w:noWrap w:val="0"/>
                  <w:vAlign w:val="center"/>
                </w:tcPr>
                <w:p>
                  <w:pPr>
                    <w:jc w:val="center"/>
                    <w:rPr>
                      <w:sz w:val="20"/>
                      <w:szCs w:val="20"/>
                    </w:rPr>
                  </w:pPr>
                </w:p>
              </w:tc>
              <w:tc>
                <w:tcPr>
                  <w:tcW w:w="205" w:type="pct"/>
                  <w:tcBorders>
                    <w:top w:val="single" w:color="auto" w:sz="4" w:space="0"/>
                    <w:bottom w:val="single" w:color="auto" w:sz="4" w:space="0"/>
                  </w:tcBorders>
                  <w:noWrap w:val="0"/>
                  <w:tcMar>
                    <w:left w:w="0" w:type="dxa"/>
                    <w:right w:w="0" w:type="dxa"/>
                  </w:tcMar>
                  <w:vAlign w:val="center"/>
                </w:tcPr>
                <w:p>
                  <w:pPr>
                    <w:jc w:val="center"/>
                    <w:rPr>
                      <w:rFonts w:hint="default" w:eastAsia="宋体"/>
                      <w:sz w:val="20"/>
                      <w:szCs w:val="20"/>
                      <w:lang w:val="en-US" w:eastAsia="zh-CN"/>
                    </w:rPr>
                  </w:pPr>
                  <w:r>
                    <w:rPr>
                      <w:rFonts w:hint="eastAsia"/>
                      <w:sz w:val="20"/>
                      <w:szCs w:val="20"/>
                      <w:lang w:val="en-US" w:eastAsia="zh-CN"/>
                    </w:rPr>
                    <w:t>汞及其化合物</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0.0004</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2.687kg</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0.053</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0.0004</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2.687kg</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0" w:type="pct"/>
                  <w:tcBorders>
                    <w:top w:val="single" w:color="auto" w:sz="4" w:space="0"/>
                    <w:bottom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70</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0.016</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0.00011</w:t>
                  </w:r>
                </w:p>
              </w:tc>
              <w:tc>
                <w:tcPr>
                  <w:tcW w:w="19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cs="Times New Roman"/>
                      <w:i w:val="0"/>
                      <w:iCs w:val="0"/>
                      <w:color w:val="000000"/>
                      <w:kern w:val="0"/>
                      <w:sz w:val="20"/>
                      <w:szCs w:val="20"/>
                      <w:u w:val="none"/>
                      <w:lang w:val="en-US" w:eastAsia="zh-CN" w:bidi="ar"/>
                    </w:rPr>
                    <w:t>0.806kg</w:t>
                  </w:r>
                </w:p>
              </w:tc>
              <w:tc>
                <w:tcPr>
                  <w:tcW w:w="10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4"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9"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33"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15" w:type="pct"/>
                  <w:tcBorders>
                    <w:top w:val="single" w:color="auto" w:sz="4" w:space="0"/>
                    <w:bottom w:val="single" w:color="auto" w:sz="4" w:space="0"/>
                  </w:tcBorders>
                  <w:noWrap w:val="0"/>
                  <w:tcMar>
                    <w:left w:w="0" w:type="dxa"/>
                    <w:right w:w="0" w:type="dxa"/>
                  </w:tcMar>
                  <w:vAlign w:val="center"/>
                </w:tcPr>
                <w:p>
                  <w:pPr>
                    <w:jc w:val="center"/>
                    <w:rPr>
                      <w:rFonts w:hint="default" w:eastAsia="宋体"/>
                      <w:sz w:val="20"/>
                      <w:szCs w:val="20"/>
                      <w:lang w:val="en-US" w:eastAsia="zh-CN"/>
                    </w:rPr>
                  </w:pPr>
                  <w:r>
                    <w:rPr>
                      <w:rFonts w:hint="eastAsia"/>
                      <w:sz w:val="20"/>
                      <w:szCs w:val="20"/>
                      <w:lang w:val="en-US" w:eastAsia="zh-CN"/>
                    </w:rPr>
                    <w:t>0.03</w:t>
                  </w:r>
                </w:p>
              </w:tc>
              <w:tc>
                <w:tcPr>
                  <w:tcW w:w="128" w:type="pct"/>
                  <w:tcBorders>
                    <w:top w:val="single" w:color="auto" w:sz="4" w:space="0"/>
                    <w:bottom w:val="single" w:color="auto" w:sz="4" w:space="0"/>
                  </w:tcBorders>
                  <w:noWrap w:val="0"/>
                  <w:tcMar>
                    <w:left w:w="0" w:type="dxa"/>
                    <w:right w:w="0" w:type="dxa"/>
                  </w:tcMar>
                  <w:vAlign w:val="center"/>
                </w:tcPr>
                <w:p>
                  <w:pPr>
                    <w:jc w:val="center"/>
                    <w:rPr>
                      <w:rFonts w:hint="eastAsia"/>
                      <w:sz w:val="20"/>
                      <w:szCs w:val="20"/>
                    </w:rPr>
                  </w:pPr>
                  <w:r>
                    <w:rPr>
                      <w:sz w:val="20"/>
                      <w:szCs w:val="20"/>
                    </w:rPr>
                    <w:t>/</w:t>
                  </w:r>
                </w:p>
              </w:tc>
              <w:tc>
                <w:tcPr>
                  <w:tcW w:w="25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continue"/>
                  <w:noWrap w:val="0"/>
                  <w:tcMar>
                    <w:left w:w="0" w:type="dxa"/>
                    <w:right w:w="0" w:type="dxa"/>
                  </w:tcMar>
                  <w:vAlign w:val="center"/>
                </w:tcPr>
                <w:p>
                  <w:pPr>
                    <w:widowControl/>
                    <w:jc w:val="center"/>
                    <w:textAlignment w:val="center"/>
                    <w:rPr>
                      <w:rFonts w:hint="eastAsia"/>
                      <w:kern w:val="0"/>
                      <w:sz w:val="20"/>
                      <w:szCs w:val="20"/>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restart"/>
                  <w:tcBorders>
                    <w:top w:val="single" w:color="auto" w:sz="4" w:space="0"/>
                  </w:tcBorders>
                  <w:noWrap w:val="0"/>
                  <w:vAlign w:val="center"/>
                </w:tcPr>
                <w:p>
                  <w:pPr>
                    <w:jc w:val="center"/>
                    <w:rPr>
                      <w:rFonts w:hint="default" w:eastAsia="宋体"/>
                      <w:sz w:val="20"/>
                      <w:szCs w:val="20"/>
                      <w:lang w:val="en-US" w:eastAsia="zh-CN"/>
                    </w:rPr>
                  </w:pPr>
                  <w:r>
                    <w:rPr>
                      <w:rFonts w:hint="eastAsia"/>
                      <w:sz w:val="20"/>
                      <w:szCs w:val="20"/>
                      <w:lang w:val="en-US" w:eastAsia="zh-CN"/>
                    </w:rPr>
                    <w:t>导热油炉废气</w:t>
                  </w:r>
                </w:p>
              </w:tc>
              <w:tc>
                <w:tcPr>
                  <w:tcW w:w="205"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sz w:val="20"/>
                      <w:szCs w:val="20"/>
                    </w:rPr>
                    <w:t>颗粒物</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0.485</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3.5</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69.29</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0.485</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3.5</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restart"/>
                  <w:noWrap w:val="0"/>
                  <w:tcMar>
                    <w:left w:w="0" w:type="dxa"/>
                    <w:right w:w="0" w:type="dxa"/>
                  </w:tcMar>
                  <w:vAlign w:val="center"/>
                </w:tcPr>
                <w:p>
                  <w:pPr>
                    <w:widowControl/>
                    <w:jc w:val="center"/>
                    <w:textAlignment w:val="center"/>
                    <w:rPr>
                      <w:rFonts w:hint="eastAsia"/>
                      <w:kern w:val="0"/>
                      <w:sz w:val="20"/>
                      <w:szCs w:val="20"/>
                      <w:lang w:bidi="ar"/>
                    </w:rPr>
                  </w:pPr>
                  <w:r>
                    <w:rPr>
                      <w:rFonts w:hint="eastAsia" w:cs="Times New Roman"/>
                      <w:kern w:val="0"/>
                      <w:sz w:val="20"/>
                      <w:szCs w:val="20"/>
                      <w:lang w:val="en-US" w:eastAsia="zh-CN" w:bidi="ar"/>
                    </w:rPr>
                    <w:t>低氮燃烧+S</w:t>
                  </w:r>
                  <w:r>
                    <w:rPr>
                      <w:rFonts w:hint="eastAsia" w:ascii="Times New Roman" w:hAnsi="Times New Roman" w:eastAsia="宋体" w:cs="Times New Roman"/>
                      <w:kern w:val="0"/>
                      <w:sz w:val="20"/>
                      <w:szCs w:val="20"/>
                      <w:lang w:val="en-US" w:eastAsia="zh-CN" w:bidi="ar"/>
                    </w:rPr>
                    <w:t>NCR+石灰喷雾干燥+余热回收+</w:t>
                  </w:r>
                  <w:r>
                    <w:rPr>
                      <w:rFonts w:hint="eastAsia" w:cs="Times New Roman"/>
                      <w:kern w:val="0"/>
                      <w:sz w:val="20"/>
                      <w:szCs w:val="20"/>
                      <w:lang w:val="en-US" w:eastAsia="zh-CN" w:bidi="ar"/>
                    </w:rPr>
                    <w:t>旋风除尘+布袋除尘+水幕除尘</w:t>
                  </w:r>
                  <w:r>
                    <w:rPr>
                      <w:rFonts w:hint="eastAsia" w:ascii="Times New Roman" w:hAnsi="Times New Roman" w:eastAsia="宋体" w:cs="Times New Roman"/>
                      <w:kern w:val="0"/>
                      <w:sz w:val="20"/>
                      <w:szCs w:val="20"/>
                      <w:lang w:val="en-US" w:eastAsia="zh-CN" w:bidi="ar"/>
                    </w:rPr>
                    <w:t>，</w:t>
                  </w:r>
                  <w:r>
                    <w:rPr>
                      <w:rFonts w:hint="eastAsia" w:cs="Times New Roman"/>
                      <w:kern w:val="0"/>
                      <w:sz w:val="20"/>
                      <w:szCs w:val="20"/>
                      <w:lang w:val="en-US" w:eastAsia="zh-CN" w:bidi="ar"/>
                    </w:rPr>
                    <w:t>7</w:t>
                  </w:r>
                  <w:r>
                    <w:rPr>
                      <w:rFonts w:hint="eastAsia" w:ascii="Times New Roman" w:hAnsi="Times New Roman" w:eastAsia="宋体" w:cs="Times New Roman"/>
                      <w:kern w:val="0"/>
                      <w:sz w:val="20"/>
                      <w:szCs w:val="20"/>
                      <w:lang w:val="en-US" w:eastAsia="zh-CN" w:bidi="ar"/>
                    </w:rPr>
                    <w:t>000</w:t>
                  </w:r>
                  <w:r>
                    <w:rPr>
                      <w:sz w:val="20"/>
                      <w:szCs w:val="20"/>
                    </w:rPr>
                    <w:t>m</w:t>
                  </w:r>
                  <w:r>
                    <w:rPr>
                      <w:sz w:val="20"/>
                      <w:szCs w:val="20"/>
                      <w:vertAlign w:val="superscript"/>
                    </w:rPr>
                    <w:t>3</w:t>
                  </w:r>
                  <w:r>
                    <w:rPr>
                      <w:sz w:val="20"/>
                      <w:szCs w:val="20"/>
                    </w:rPr>
                    <w:t>/h</w:t>
                  </w:r>
                </w:p>
              </w:tc>
              <w:tc>
                <w:tcPr>
                  <w:tcW w:w="180" w:type="pct"/>
                  <w:tcBorders>
                    <w:top w:val="single" w:color="auto" w:sz="4" w:space="0"/>
                    <w:bottom w:val="single" w:color="auto" w:sz="4" w:space="0"/>
                  </w:tcBorders>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99.98</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0.143</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0.001</w:t>
                  </w:r>
                </w:p>
              </w:tc>
              <w:tc>
                <w:tcPr>
                  <w:tcW w:w="19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0.007</w:t>
                  </w:r>
                </w:p>
              </w:tc>
              <w:tc>
                <w:tcPr>
                  <w:tcW w:w="107" w:type="pct"/>
                  <w:vMerge w:val="restart"/>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35</w:t>
                  </w:r>
                </w:p>
              </w:tc>
              <w:tc>
                <w:tcPr>
                  <w:tcW w:w="122" w:type="pct"/>
                  <w:vMerge w:val="restart"/>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0.4</w:t>
                  </w:r>
                </w:p>
              </w:tc>
              <w:tc>
                <w:tcPr>
                  <w:tcW w:w="124" w:type="pct"/>
                  <w:vMerge w:val="restart"/>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bidi="ar"/>
                    </w:rPr>
                    <w:t>25</w:t>
                  </w:r>
                </w:p>
              </w:tc>
              <w:tc>
                <w:tcPr>
                  <w:tcW w:w="189" w:type="pct"/>
                  <w:vMerge w:val="restart"/>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DA002</w:t>
                  </w:r>
                </w:p>
              </w:tc>
              <w:tc>
                <w:tcPr>
                  <w:tcW w:w="233" w:type="pct"/>
                  <w:vMerge w:val="restart"/>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主要</w:t>
                  </w:r>
                  <w:r>
                    <w:rPr>
                      <w:rFonts w:hint="eastAsia"/>
                      <w:kern w:val="0"/>
                      <w:sz w:val="20"/>
                      <w:szCs w:val="20"/>
                      <w:lang w:bidi="ar"/>
                    </w:rPr>
                    <w:t>排放口</w:t>
                  </w:r>
                </w:p>
              </w:tc>
              <w:tc>
                <w:tcPr>
                  <w:tcW w:w="257" w:type="pct"/>
                  <w:vMerge w:val="restart"/>
                  <w:noWrap w:val="0"/>
                  <w:tcMar>
                    <w:left w:w="0" w:type="dxa"/>
                    <w:right w:w="0" w:type="dxa"/>
                  </w:tcMar>
                  <w:vAlign w:val="center"/>
                </w:tcPr>
                <w:p>
                  <w:pPr>
                    <w:jc w:val="center"/>
                    <w:rPr>
                      <w:rFonts w:hint="eastAsia"/>
                      <w:kern w:val="0"/>
                      <w:sz w:val="20"/>
                      <w:szCs w:val="20"/>
                      <w:lang w:bidi="ar"/>
                    </w:rPr>
                  </w:pPr>
                  <w:r>
                    <w:rPr>
                      <w:rFonts w:hint="default" w:ascii="Times New Roman" w:hAnsi="Times New Roman" w:eastAsia="宋体" w:cs="Times New Roman"/>
                      <w:b w:val="0"/>
                      <w:sz w:val="20"/>
                      <w:szCs w:val="20"/>
                    </w:rPr>
                    <w:t>120.650452</w:t>
                  </w:r>
                  <w:r>
                    <w:rPr>
                      <w:rFonts w:hint="default" w:ascii="Times New Roman" w:hAnsi="Times New Roman" w:eastAsia="宋体" w:cs="Times New Roman"/>
                      <w:b w:val="0"/>
                      <w:sz w:val="20"/>
                      <w:szCs w:val="20"/>
                      <w:lang w:eastAsia="zh-CN"/>
                    </w:rPr>
                    <w:t>，</w:t>
                  </w:r>
                  <w:r>
                    <w:rPr>
                      <w:rFonts w:hint="default" w:ascii="Times New Roman" w:hAnsi="Times New Roman" w:eastAsia="宋体" w:cs="Times New Roman"/>
                      <w:b w:val="0"/>
                      <w:sz w:val="20"/>
                      <w:szCs w:val="20"/>
                    </w:rPr>
                    <w:t>32.139684</w:t>
                  </w:r>
                </w:p>
              </w:tc>
              <w:tc>
                <w:tcPr>
                  <w:tcW w:w="215"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rPr>
                    <w:t>10</w:t>
                  </w:r>
                </w:p>
              </w:tc>
              <w:tc>
                <w:tcPr>
                  <w:tcW w:w="128"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w:t>
                  </w:r>
                </w:p>
              </w:tc>
              <w:tc>
                <w:tcPr>
                  <w:tcW w:w="25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continue"/>
                  <w:noWrap w:val="0"/>
                  <w:tcMar>
                    <w:left w:w="0" w:type="dxa"/>
                    <w:right w:w="0" w:type="dxa"/>
                  </w:tcMar>
                  <w:vAlign w:val="center"/>
                </w:tcPr>
                <w:p>
                  <w:pPr>
                    <w:widowControl/>
                    <w:jc w:val="center"/>
                    <w:textAlignment w:val="center"/>
                    <w:rPr>
                      <w:rFonts w:hint="eastAsia"/>
                      <w:kern w:val="0"/>
                      <w:sz w:val="20"/>
                      <w:szCs w:val="20"/>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continue"/>
                  <w:noWrap w:val="0"/>
                  <w:vAlign w:val="center"/>
                </w:tcPr>
                <w:p>
                  <w:pPr>
                    <w:jc w:val="center"/>
                    <w:rPr>
                      <w:sz w:val="20"/>
                      <w:szCs w:val="20"/>
                    </w:rPr>
                  </w:pPr>
                </w:p>
              </w:tc>
              <w:tc>
                <w:tcPr>
                  <w:tcW w:w="205"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SO</w:t>
                  </w:r>
                  <w:r>
                    <w:rPr>
                      <w:rFonts w:hint="eastAsia"/>
                      <w:sz w:val="20"/>
                      <w:szCs w:val="20"/>
                      <w:vertAlign w:val="subscript"/>
                      <w:lang w:val="en-US" w:eastAsia="zh-CN"/>
                    </w:rPr>
                    <w:t>2</w:t>
                  </w:r>
                </w:p>
              </w:tc>
              <w:tc>
                <w:tcPr>
                  <w:tcW w:w="19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0.33</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2.38</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08"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47.14</w:t>
                  </w:r>
                </w:p>
              </w:tc>
              <w:tc>
                <w:tcPr>
                  <w:tcW w:w="208"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0.33</w:t>
                  </w:r>
                </w:p>
              </w:tc>
              <w:tc>
                <w:tcPr>
                  <w:tcW w:w="329" w:type="pct"/>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2.38</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0" w:type="pct"/>
                  <w:tcBorders>
                    <w:top w:val="single" w:color="auto" w:sz="4" w:space="0"/>
                    <w:bottom w:val="single" w:color="auto" w:sz="4" w:space="0"/>
                  </w:tcBorders>
                  <w:shd w:val="clear" w:color="auto" w:fill="auto"/>
                  <w:noWrap w:val="0"/>
                  <w:tcMar>
                    <w:left w:w="0" w:type="dxa"/>
                    <w:right w:w="0" w:type="dxa"/>
                  </w:tcMar>
                  <w:vAlign w:val="center"/>
                </w:tcPr>
                <w:p>
                  <w:pPr>
                    <w:widowControl/>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70</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14.14</w:t>
                  </w:r>
                </w:p>
              </w:tc>
              <w:tc>
                <w:tcPr>
                  <w:tcW w:w="225"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0.099</w:t>
                  </w:r>
                </w:p>
              </w:tc>
              <w:tc>
                <w:tcPr>
                  <w:tcW w:w="199" w:type="pct"/>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0.714</w:t>
                  </w:r>
                </w:p>
              </w:tc>
              <w:tc>
                <w:tcPr>
                  <w:tcW w:w="10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4"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9"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33"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15"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35</w:t>
                  </w:r>
                </w:p>
              </w:tc>
              <w:tc>
                <w:tcPr>
                  <w:tcW w:w="128"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w:t>
                  </w:r>
                </w:p>
              </w:tc>
              <w:tc>
                <w:tcPr>
                  <w:tcW w:w="25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continue"/>
                  <w:noWrap w:val="0"/>
                  <w:tcMar>
                    <w:left w:w="0" w:type="dxa"/>
                    <w:right w:w="0" w:type="dxa"/>
                  </w:tcMar>
                  <w:vAlign w:val="center"/>
                </w:tcPr>
                <w:p>
                  <w:pPr>
                    <w:widowControl/>
                    <w:jc w:val="center"/>
                    <w:textAlignment w:val="center"/>
                    <w:rPr>
                      <w:rFonts w:hint="eastAsia"/>
                      <w:kern w:val="0"/>
                      <w:sz w:val="20"/>
                      <w:szCs w:val="20"/>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continue"/>
                  <w:noWrap w:val="0"/>
                  <w:vAlign w:val="center"/>
                </w:tcPr>
                <w:p>
                  <w:pPr>
                    <w:jc w:val="center"/>
                    <w:rPr>
                      <w:sz w:val="20"/>
                      <w:szCs w:val="20"/>
                    </w:rPr>
                  </w:pPr>
                </w:p>
              </w:tc>
              <w:tc>
                <w:tcPr>
                  <w:tcW w:w="205"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NO</w:t>
                  </w:r>
                  <w:r>
                    <w:rPr>
                      <w:rFonts w:hint="eastAsia"/>
                      <w:sz w:val="20"/>
                      <w:szCs w:val="20"/>
                      <w:vertAlign w:val="subscript"/>
                      <w:lang w:val="en-US" w:eastAsia="zh-CN"/>
                    </w:rPr>
                    <w:t>x</w:t>
                  </w:r>
                </w:p>
              </w:tc>
              <w:tc>
                <w:tcPr>
                  <w:tcW w:w="478" w:type="dxa"/>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0.69</w:t>
                  </w:r>
                </w:p>
              </w:tc>
              <w:tc>
                <w:tcPr>
                  <w:tcW w:w="554" w:type="dxa"/>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4.97</w:t>
                  </w:r>
                </w:p>
              </w:tc>
              <w:tc>
                <w:tcPr>
                  <w:tcW w:w="8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512" w:type="dxa"/>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98.61</w:t>
                  </w:r>
                </w:p>
              </w:tc>
              <w:tc>
                <w:tcPr>
                  <w:tcW w:w="512" w:type="dxa"/>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0.69</w:t>
                  </w:r>
                </w:p>
              </w:tc>
              <w:tc>
                <w:tcPr>
                  <w:tcW w:w="811" w:type="dxa"/>
                  <w:tcBorders>
                    <w:top w:val="single" w:color="auto" w:sz="4" w:space="0"/>
                    <w:bottom w:val="single" w:color="auto" w:sz="4"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4.97</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0" w:type="pct"/>
                  <w:tcBorders>
                    <w:top w:val="single" w:color="auto" w:sz="4" w:space="0"/>
                    <w:bottom w:val="single" w:color="auto" w:sz="4" w:space="0"/>
                  </w:tcBorders>
                  <w:shd w:val="clear" w:color="auto" w:fill="auto"/>
                  <w:noWrap w:val="0"/>
                  <w:tcMar>
                    <w:left w:w="0" w:type="dxa"/>
                    <w:right w:w="0" w:type="dxa"/>
                  </w:tcMar>
                  <w:vAlign w:val="center"/>
                </w:tcPr>
                <w:p>
                  <w:pPr>
                    <w:widowControl/>
                    <w:jc w:val="center"/>
                    <w:textAlignment w:val="center"/>
                    <w:rPr>
                      <w:rFonts w:hint="default" w:ascii="Times New Roman" w:hAnsi="Times New Roman" w:eastAsia="宋体" w:cs="Times New Roman"/>
                      <w:kern w:val="0"/>
                      <w:sz w:val="20"/>
                      <w:szCs w:val="20"/>
                      <w:lang w:val="en-US" w:eastAsia="zh-CN" w:bidi="ar"/>
                    </w:rPr>
                  </w:pPr>
                  <w:r>
                    <w:rPr>
                      <w:rFonts w:hint="eastAsia"/>
                      <w:kern w:val="0"/>
                      <w:sz w:val="20"/>
                      <w:szCs w:val="20"/>
                      <w:lang w:val="en-US" w:eastAsia="zh-CN" w:bidi="ar"/>
                    </w:rPr>
                    <w:t>80</w:t>
                  </w:r>
                </w:p>
              </w:tc>
              <w:tc>
                <w:tcPr>
                  <w:tcW w:w="1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430" w:type="dxa"/>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19.72</w:t>
                  </w:r>
                </w:p>
              </w:tc>
              <w:tc>
                <w:tcPr>
                  <w:tcW w:w="554" w:type="dxa"/>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0.138</w:t>
                  </w:r>
                </w:p>
              </w:tc>
              <w:tc>
                <w:tcPr>
                  <w:tcW w:w="490" w:type="dxa"/>
                  <w:tcBorders>
                    <w:top w:val="single" w:color="auto" w:sz="4"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0.994</w:t>
                  </w:r>
                </w:p>
              </w:tc>
              <w:tc>
                <w:tcPr>
                  <w:tcW w:w="10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24"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89"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33"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57"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215"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50</w:t>
                  </w:r>
                </w:p>
              </w:tc>
              <w:tc>
                <w:tcPr>
                  <w:tcW w:w="128" w:type="pct"/>
                  <w:tcBorders>
                    <w:top w:val="single" w:color="auto" w:sz="4" w:space="0"/>
                    <w:bottom w:val="single" w:color="auto" w:sz="4"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sz w:val="20"/>
                      <w:szCs w:val="20"/>
                    </w:rPr>
                    <w:t>/</w:t>
                  </w:r>
                </w:p>
              </w:tc>
              <w:tc>
                <w:tcPr>
                  <w:tcW w:w="256"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continue"/>
                  <w:noWrap w:val="0"/>
                  <w:tcMar>
                    <w:left w:w="0" w:type="dxa"/>
                    <w:right w:w="0" w:type="dxa"/>
                  </w:tcMar>
                  <w:vAlign w:val="center"/>
                </w:tcPr>
                <w:p>
                  <w:pPr>
                    <w:widowControl/>
                    <w:jc w:val="center"/>
                    <w:textAlignment w:val="center"/>
                    <w:rPr>
                      <w:rFonts w:hint="eastAsia"/>
                      <w:kern w:val="0"/>
                      <w:sz w:val="20"/>
                      <w:szCs w:val="20"/>
                      <w:lang w:bidi="ar"/>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933" w:hRule="atLeast"/>
                <w:jc w:val="center"/>
              </w:trPr>
              <w:tc>
                <w:tcPr>
                  <w:tcW w:w="115" w:type="pct"/>
                  <w:vMerge w:val="continue"/>
                  <w:tcBorders>
                    <w:bottom w:val="single" w:color="auto" w:sz="12" w:space="0"/>
                  </w:tcBorders>
                  <w:noWrap w:val="0"/>
                  <w:vAlign w:val="center"/>
                </w:tcPr>
                <w:p>
                  <w:pPr>
                    <w:jc w:val="center"/>
                    <w:rPr>
                      <w:sz w:val="20"/>
                      <w:szCs w:val="20"/>
                    </w:rPr>
                  </w:pPr>
                </w:p>
              </w:tc>
              <w:tc>
                <w:tcPr>
                  <w:tcW w:w="205" w:type="pct"/>
                  <w:tcBorders>
                    <w:top w:val="single" w:color="auto" w:sz="4" w:space="0"/>
                    <w:bottom w:val="single" w:color="auto" w:sz="12"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汞及其化合物</w:t>
                  </w:r>
                </w:p>
              </w:tc>
              <w:tc>
                <w:tcPr>
                  <w:tcW w:w="194"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0.0004</w:t>
                  </w:r>
                </w:p>
              </w:tc>
              <w:tc>
                <w:tcPr>
                  <w:tcW w:w="225"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2.687kg</w:t>
                  </w:r>
                </w:p>
              </w:tc>
              <w:tc>
                <w:tcPr>
                  <w:tcW w:w="86"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16"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08"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0.053</w:t>
                  </w:r>
                </w:p>
              </w:tc>
              <w:tc>
                <w:tcPr>
                  <w:tcW w:w="208" w:type="pct"/>
                  <w:tcBorders>
                    <w:top w:val="single" w:color="auto" w:sz="4" w:space="0"/>
                    <w:bottom w:val="single" w:color="auto" w:sz="12"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0.0004</w:t>
                  </w:r>
                </w:p>
              </w:tc>
              <w:tc>
                <w:tcPr>
                  <w:tcW w:w="329" w:type="pct"/>
                  <w:tcBorders>
                    <w:top w:val="single" w:color="auto" w:sz="4" w:space="0"/>
                    <w:bottom w:val="single" w:color="auto" w:sz="12" w:space="0"/>
                  </w:tcBorders>
                  <w:shd w:val="clear" w:color="auto" w:fill="auto"/>
                  <w:noWrap w:val="0"/>
                  <w:tcMar>
                    <w:left w:w="0" w:type="dxa"/>
                    <w:right w:w="0" w:type="dxa"/>
                  </w:tcMar>
                  <w:vAlign w:val="center"/>
                </w:tcPr>
                <w:p>
                  <w:pPr>
                    <w:keepNext w:val="0"/>
                    <w:keepLines w:val="0"/>
                    <w:widowControl/>
                    <w:suppressLineNumbers w:val="0"/>
                    <w:jc w:val="center"/>
                    <w:textAlignment w:val="center"/>
                    <w:rPr>
                      <w:rFonts w:hint="eastAsia" w:ascii="Times New Roman" w:hAnsi="Times New Roman" w:eastAsia="宋体" w:cs="Times New Roman"/>
                      <w:kern w:val="0"/>
                      <w:sz w:val="20"/>
                      <w:szCs w:val="20"/>
                      <w:lang w:val="en-US" w:eastAsia="zh-CN" w:bidi="ar"/>
                    </w:rPr>
                  </w:pPr>
                  <w:r>
                    <w:rPr>
                      <w:rFonts w:hint="eastAsia"/>
                      <w:kern w:val="0"/>
                      <w:sz w:val="20"/>
                      <w:szCs w:val="20"/>
                      <w:lang w:val="en-US" w:eastAsia="zh-CN" w:bidi="ar"/>
                    </w:rPr>
                    <w:t>2.687kg</w:t>
                  </w:r>
                </w:p>
              </w:tc>
              <w:tc>
                <w:tcPr>
                  <w:tcW w:w="157"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87"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80" w:type="pct"/>
                  <w:tcBorders>
                    <w:top w:val="single" w:color="auto" w:sz="4" w:space="0"/>
                    <w:bottom w:val="single" w:color="auto" w:sz="12" w:space="0"/>
                  </w:tcBorders>
                  <w:shd w:val="clear" w:color="auto" w:fill="auto"/>
                  <w:noWrap w:val="0"/>
                  <w:tcMar>
                    <w:left w:w="0" w:type="dxa"/>
                    <w:right w:w="0" w:type="dxa"/>
                  </w:tcMar>
                  <w:vAlign w:val="center"/>
                </w:tcPr>
                <w:p>
                  <w:pPr>
                    <w:widowControl/>
                    <w:jc w:val="center"/>
                    <w:textAlignment w:val="center"/>
                    <w:rPr>
                      <w:rFonts w:hint="default" w:ascii="Times New Roman" w:hAnsi="Times New Roman" w:eastAsia="宋体" w:cs="Times New Roman"/>
                      <w:kern w:val="0"/>
                      <w:sz w:val="20"/>
                      <w:szCs w:val="20"/>
                      <w:lang w:val="en-US" w:eastAsia="zh-CN" w:bidi="ar"/>
                    </w:rPr>
                  </w:pPr>
                  <w:r>
                    <w:rPr>
                      <w:rFonts w:hint="eastAsia" w:cs="Times New Roman"/>
                      <w:kern w:val="0"/>
                      <w:sz w:val="20"/>
                      <w:szCs w:val="20"/>
                      <w:lang w:val="en-US" w:eastAsia="zh-CN" w:bidi="ar"/>
                    </w:rPr>
                    <w:t>70</w:t>
                  </w:r>
                </w:p>
              </w:tc>
              <w:tc>
                <w:tcPr>
                  <w:tcW w:w="157"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74"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0.016</w:t>
                  </w:r>
                </w:p>
              </w:tc>
              <w:tc>
                <w:tcPr>
                  <w:tcW w:w="225"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0.00011</w:t>
                  </w:r>
                </w:p>
              </w:tc>
              <w:tc>
                <w:tcPr>
                  <w:tcW w:w="199"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eastAsia" w:cs="Times New Roman"/>
                      <w:i w:val="0"/>
                      <w:iCs w:val="0"/>
                      <w:color w:val="000000"/>
                      <w:kern w:val="0"/>
                      <w:sz w:val="20"/>
                      <w:szCs w:val="20"/>
                      <w:u w:val="none"/>
                      <w:lang w:val="en-US" w:eastAsia="zh-CN" w:bidi="ar"/>
                    </w:rPr>
                  </w:pPr>
                  <w:r>
                    <w:rPr>
                      <w:rFonts w:hint="eastAsia" w:ascii="Times New Roman" w:hAnsi="Times New Roman" w:cs="Times New Roman"/>
                      <w:i w:val="0"/>
                      <w:iCs w:val="0"/>
                      <w:color w:val="000000"/>
                      <w:kern w:val="0"/>
                      <w:sz w:val="20"/>
                      <w:szCs w:val="20"/>
                      <w:u w:val="none"/>
                      <w:lang w:val="en-US" w:eastAsia="zh-CN" w:bidi="ar"/>
                    </w:rPr>
                    <w:t>0.806kg</w:t>
                  </w:r>
                </w:p>
              </w:tc>
              <w:tc>
                <w:tcPr>
                  <w:tcW w:w="107"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22"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24"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89"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33"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57"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215" w:type="pct"/>
                  <w:tcBorders>
                    <w:top w:val="single" w:color="auto" w:sz="4" w:space="0"/>
                    <w:bottom w:val="single" w:color="auto" w:sz="12"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0.03</w:t>
                  </w:r>
                </w:p>
              </w:tc>
              <w:tc>
                <w:tcPr>
                  <w:tcW w:w="128" w:type="pct"/>
                  <w:tcBorders>
                    <w:top w:val="single" w:color="auto" w:sz="4" w:space="0"/>
                    <w:bottom w:val="single" w:color="auto" w:sz="12" w:space="0"/>
                  </w:tcBorders>
                  <w:shd w:val="clear" w:color="auto" w:fill="auto"/>
                  <w:noWrap w:val="0"/>
                  <w:tcMar>
                    <w:left w:w="0" w:type="dxa"/>
                    <w:right w:w="0" w:type="dxa"/>
                  </w:tcMar>
                  <w:vAlign w:val="center"/>
                </w:tcPr>
                <w:p>
                  <w:pPr>
                    <w:jc w:val="center"/>
                    <w:rPr>
                      <w:rFonts w:hint="eastAsia" w:ascii="Times New Roman" w:hAnsi="Times New Roman" w:eastAsia="宋体" w:cs="Times New Roman"/>
                      <w:kern w:val="2"/>
                      <w:sz w:val="20"/>
                      <w:szCs w:val="20"/>
                      <w:lang w:val="en-US" w:eastAsia="zh-CN" w:bidi="ar-SA"/>
                    </w:rPr>
                  </w:pPr>
                  <w:r>
                    <w:rPr>
                      <w:sz w:val="20"/>
                      <w:szCs w:val="20"/>
                    </w:rPr>
                    <w:t>/</w:t>
                  </w:r>
                </w:p>
              </w:tc>
              <w:tc>
                <w:tcPr>
                  <w:tcW w:w="256"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82"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110" w:type="pct"/>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c>
                <w:tcPr>
                  <w:tcW w:w="97" w:type="pct"/>
                  <w:gridSpan w:val="2"/>
                  <w:vMerge w:val="continue"/>
                  <w:tcBorders>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p>
              </w:tc>
            </w:tr>
          </w:tbl>
          <w:p>
            <w:pPr>
              <w:pStyle w:val="180"/>
              <w:spacing w:line="400" w:lineRule="exact"/>
              <w:ind w:firstLine="480"/>
              <w:rPr>
                <w:rFonts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4</w:t>
            </w:r>
            <w:r>
              <w:rPr>
                <w:rFonts w:ascii="Times New Roman" w:hAnsi="Times New Roman" w:eastAsia="宋体" w:cs="Times New Roman"/>
                <w:b/>
                <w:bCs/>
                <w:color w:val="auto"/>
              </w:rPr>
              <w:t>-</w:t>
            </w:r>
            <w:r>
              <w:rPr>
                <w:rFonts w:hint="eastAsia" w:cs="Times New Roman"/>
                <w:b/>
                <w:bCs/>
                <w:color w:val="auto"/>
                <w:lang w:val="en-US" w:eastAsia="zh-CN"/>
              </w:rPr>
              <w:t>3（2）</w:t>
            </w:r>
            <w:r>
              <w:rPr>
                <w:rFonts w:hint="eastAsia" w:ascii="Times New Roman" w:hAnsi="Times New Roman" w:eastAsia="宋体" w:cs="Times New Roman"/>
                <w:b/>
                <w:bCs/>
                <w:color w:val="auto"/>
              </w:rPr>
              <w:t xml:space="preserve"> </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rPr>
              <w:t>本</w:t>
            </w:r>
            <w:r>
              <w:rPr>
                <w:rFonts w:ascii="Times New Roman" w:hAnsi="Times New Roman" w:eastAsia="宋体" w:cs="Times New Roman"/>
                <w:b/>
                <w:bCs/>
                <w:color w:val="auto"/>
              </w:rPr>
              <w:t>项目</w:t>
            </w:r>
            <w:r>
              <w:rPr>
                <w:rFonts w:hint="eastAsia" w:ascii="Times New Roman" w:hAnsi="Times New Roman" w:eastAsia="宋体" w:cs="Times New Roman"/>
                <w:b/>
                <w:bCs/>
                <w:color w:val="auto"/>
                <w:lang w:val="en-US" w:eastAsia="zh-CN"/>
              </w:rPr>
              <w:t>DA001颗粒物合并</w:t>
            </w:r>
            <w:r>
              <w:rPr>
                <w:rFonts w:ascii="Times New Roman" w:hAnsi="Times New Roman" w:eastAsia="宋体" w:cs="Times New Roman"/>
                <w:b/>
                <w:bCs/>
                <w:color w:val="auto"/>
              </w:rPr>
              <w:t>排放情况</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Layout w:type="fixed"/>
              <w:tblCellMar>
                <w:top w:w="0" w:type="dxa"/>
                <w:left w:w="0" w:type="dxa"/>
                <w:bottom w:w="0" w:type="dxa"/>
                <w:right w:w="0" w:type="dxa"/>
              </w:tblCellMar>
            </w:tblPr>
            <w:tblGrid>
              <w:gridCol w:w="459"/>
              <w:gridCol w:w="822"/>
              <w:gridCol w:w="778"/>
              <w:gridCol w:w="901"/>
              <w:gridCol w:w="345"/>
              <w:gridCol w:w="465"/>
              <w:gridCol w:w="832"/>
              <w:gridCol w:w="832"/>
              <w:gridCol w:w="1324"/>
              <w:gridCol w:w="630"/>
              <w:gridCol w:w="1152"/>
              <w:gridCol w:w="721"/>
              <w:gridCol w:w="633"/>
              <w:gridCol w:w="701"/>
              <w:gridCol w:w="901"/>
              <w:gridCol w:w="800"/>
            </w:tblGrid>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40" w:hRule="atLeast"/>
                <w:jc w:val="center"/>
              </w:trPr>
              <w:tc>
                <w:tcPr>
                  <w:tcW w:w="186" w:type="pct"/>
                  <w:vMerge w:val="restart"/>
                  <w:noWrap w:val="0"/>
                  <w:vAlign w:val="center"/>
                </w:tcPr>
                <w:p>
                  <w:pPr>
                    <w:widowControl/>
                    <w:adjustRightInd w:val="0"/>
                    <w:snapToGrid w:val="0"/>
                    <w:jc w:val="center"/>
                    <w:textAlignment w:val="center"/>
                    <w:rPr>
                      <w:b/>
                      <w:bCs/>
                      <w:sz w:val="20"/>
                      <w:szCs w:val="20"/>
                    </w:rPr>
                  </w:pPr>
                  <w:r>
                    <w:rPr>
                      <w:b/>
                      <w:bCs/>
                      <w:sz w:val="20"/>
                      <w:szCs w:val="20"/>
                    </w:rPr>
                    <w:t>产排污环节</w:t>
                  </w:r>
                </w:p>
              </w:tc>
              <w:tc>
                <w:tcPr>
                  <w:tcW w:w="334" w:type="pct"/>
                  <w:vMerge w:val="restart"/>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污染物种类</w:t>
                  </w:r>
                </w:p>
              </w:tc>
              <w:tc>
                <w:tcPr>
                  <w:tcW w:w="682" w:type="pct"/>
                  <w:gridSpan w:val="2"/>
                  <w:noWrap w:val="0"/>
                  <w:tcMar>
                    <w:left w:w="0" w:type="dxa"/>
                    <w:right w:w="0" w:type="dxa"/>
                  </w:tcMar>
                  <w:vAlign w:val="center"/>
                </w:tcPr>
                <w:p>
                  <w:pPr>
                    <w:widowControl/>
                    <w:adjustRightInd w:val="0"/>
                    <w:snapToGrid w:val="0"/>
                    <w:jc w:val="center"/>
                    <w:textAlignment w:val="center"/>
                    <w:rPr>
                      <w:b/>
                      <w:bCs/>
                      <w:sz w:val="20"/>
                      <w:szCs w:val="20"/>
                    </w:rPr>
                  </w:pPr>
                  <w:r>
                    <w:rPr>
                      <w:rFonts w:hint="eastAsia"/>
                      <w:b/>
                      <w:bCs/>
                      <w:sz w:val="20"/>
                      <w:szCs w:val="20"/>
                    </w:rPr>
                    <w:t>产生状况</w:t>
                  </w:r>
                </w:p>
              </w:tc>
              <w:tc>
                <w:tcPr>
                  <w:tcW w:w="140" w:type="pct"/>
                  <w:vMerge w:val="restart"/>
                  <w:noWrap w:val="0"/>
                  <w:tcMar>
                    <w:left w:w="0" w:type="dxa"/>
                    <w:right w:w="0" w:type="dxa"/>
                  </w:tcMar>
                  <w:vAlign w:val="center"/>
                </w:tcPr>
                <w:p>
                  <w:pPr>
                    <w:widowControl/>
                    <w:adjustRightInd w:val="0"/>
                    <w:snapToGrid w:val="0"/>
                    <w:jc w:val="center"/>
                    <w:textAlignment w:val="center"/>
                    <w:rPr>
                      <w:b/>
                      <w:bCs/>
                      <w:sz w:val="20"/>
                      <w:szCs w:val="20"/>
                    </w:rPr>
                  </w:pPr>
                  <w:r>
                    <w:rPr>
                      <w:rFonts w:hint="eastAsia"/>
                      <w:b/>
                      <w:bCs/>
                      <w:sz w:val="20"/>
                      <w:szCs w:val="20"/>
                    </w:rPr>
                    <w:t>收集措施</w:t>
                  </w:r>
                </w:p>
              </w:tc>
              <w:tc>
                <w:tcPr>
                  <w:tcW w:w="189" w:type="pct"/>
                  <w:vMerge w:val="restart"/>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收集效率%</w:t>
                  </w:r>
                </w:p>
              </w:tc>
              <w:tc>
                <w:tcPr>
                  <w:tcW w:w="1215" w:type="pct"/>
                  <w:gridSpan w:val="3"/>
                  <w:tcBorders>
                    <w:bottom w:val="single" w:color="auto" w:sz="4" w:space="0"/>
                  </w:tcBorders>
                  <w:noWrap w:val="0"/>
                  <w:tcMar>
                    <w:left w:w="0" w:type="dxa"/>
                    <w:right w:w="0" w:type="dxa"/>
                  </w:tcMar>
                  <w:vAlign w:val="center"/>
                </w:tcPr>
                <w:p>
                  <w:pPr>
                    <w:widowControl/>
                    <w:adjustRightInd w:val="0"/>
                    <w:snapToGrid w:val="0"/>
                    <w:jc w:val="center"/>
                    <w:textAlignment w:val="center"/>
                    <w:rPr>
                      <w:rFonts w:hint="eastAsia"/>
                      <w:b/>
                      <w:bCs/>
                      <w:sz w:val="20"/>
                      <w:szCs w:val="20"/>
                    </w:rPr>
                  </w:pPr>
                  <w:r>
                    <w:rPr>
                      <w:rFonts w:hint="eastAsia"/>
                      <w:b/>
                      <w:bCs/>
                      <w:sz w:val="20"/>
                      <w:szCs w:val="20"/>
                    </w:rPr>
                    <w:t>有组织</w:t>
                  </w:r>
                  <w:r>
                    <w:rPr>
                      <w:b/>
                      <w:bCs/>
                      <w:sz w:val="20"/>
                      <w:szCs w:val="20"/>
                    </w:rPr>
                    <w:t>产生</w:t>
                  </w:r>
                  <w:r>
                    <w:rPr>
                      <w:rFonts w:hint="eastAsia"/>
                      <w:b/>
                      <w:bCs/>
                      <w:sz w:val="20"/>
                      <w:szCs w:val="20"/>
                    </w:rPr>
                    <w:t>情况</w:t>
                  </w:r>
                </w:p>
              </w:tc>
              <w:tc>
                <w:tcPr>
                  <w:tcW w:w="256" w:type="pct"/>
                  <w:vMerge w:val="restart"/>
                  <w:tcBorders>
                    <w:bottom w:val="nil"/>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排放形式</w:t>
                  </w:r>
                </w:p>
              </w:tc>
              <w:tc>
                <w:tcPr>
                  <w:tcW w:w="1019" w:type="pct"/>
                  <w:gridSpan w:val="3"/>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治理设施</w:t>
                  </w:r>
                </w:p>
              </w:tc>
              <w:tc>
                <w:tcPr>
                  <w:tcW w:w="976" w:type="pct"/>
                  <w:gridSpan w:val="3"/>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排放情况</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cantSplit/>
                <w:trHeight w:val="340" w:hRule="atLeast"/>
                <w:jc w:val="center"/>
              </w:trPr>
              <w:tc>
                <w:tcPr>
                  <w:tcW w:w="186" w:type="pct"/>
                  <w:vMerge w:val="continue"/>
                  <w:tcBorders>
                    <w:bottom w:val="single" w:color="auto" w:sz="12" w:space="0"/>
                  </w:tcBorders>
                  <w:noWrap w:val="0"/>
                  <w:vAlign w:val="center"/>
                </w:tcPr>
                <w:p>
                  <w:pPr>
                    <w:widowControl/>
                    <w:adjustRightInd w:val="0"/>
                    <w:snapToGrid w:val="0"/>
                    <w:jc w:val="center"/>
                    <w:textAlignment w:val="center"/>
                    <w:rPr>
                      <w:b/>
                      <w:bCs/>
                      <w:sz w:val="20"/>
                      <w:szCs w:val="20"/>
                    </w:rPr>
                  </w:pPr>
                </w:p>
              </w:tc>
              <w:tc>
                <w:tcPr>
                  <w:tcW w:w="334" w:type="pct"/>
                  <w:vMerge w:val="continue"/>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316"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速率</w:t>
                  </w:r>
                </w:p>
                <w:p>
                  <w:pPr>
                    <w:widowControl/>
                    <w:adjustRightInd w:val="0"/>
                    <w:snapToGrid w:val="0"/>
                    <w:jc w:val="center"/>
                    <w:textAlignment w:val="center"/>
                    <w:rPr>
                      <w:b/>
                      <w:bCs/>
                      <w:sz w:val="20"/>
                      <w:szCs w:val="20"/>
                    </w:rPr>
                  </w:pPr>
                  <w:r>
                    <w:rPr>
                      <w:b/>
                      <w:bCs/>
                      <w:sz w:val="20"/>
                      <w:szCs w:val="20"/>
                    </w:rPr>
                    <w:t>kg/h</w:t>
                  </w:r>
                </w:p>
              </w:tc>
              <w:tc>
                <w:tcPr>
                  <w:tcW w:w="366"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产生量</w:t>
                  </w:r>
                </w:p>
                <w:p>
                  <w:pPr>
                    <w:widowControl/>
                    <w:adjustRightInd w:val="0"/>
                    <w:snapToGrid w:val="0"/>
                    <w:jc w:val="center"/>
                    <w:textAlignment w:val="center"/>
                    <w:rPr>
                      <w:b/>
                      <w:bCs/>
                      <w:sz w:val="20"/>
                      <w:szCs w:val="20"/>
                    </w:rPr>
                  </w:pPr>
                  <w:r>
                    <w:rPr>
                      <w:b/>
                      <w:bCs/>
                      <w:sz w:val="20"/>
                      <w:szCs w:val="20"/>
                    </w:rPr>
                    <w:t>t/a</w:t>
                  </w:r>
                </w:p>
              </w:tc>
              <w:tc>
                <w:tcPr>
                  <w:tcW w:w="140" w:type="pct"/>
                  <w:vMerge w:val="continue"/>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189" w:type="pct"/>
                  <w:vMerge w:val="continue"/>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338" w:type="pct"/>
                  <w:tcBorders>
                    <w:top w:val="single" w:color="auto" w:sz="4" w:space="0"/>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浓度</w:t>
                  </w:r>
                </w:p>
                <w:p>
                  <w:pPr>
                    <w:widowControl/>
                    <w:adjustRightInd w:val="0"/>
                    <w:snapToGrid w:val="0"/>
                    <w:jc w:val="center"/>
                    <w:textAlignment w:val="center"/>
                    <w:rPr>
                      <w:b/>
                      <w:bCs/>
                      <w:sz w:val="20"/>
                      <w:szCs w:val="20"/>
                    </w:rPr>
                  </w:pPr>
                  <w:r>
                    <w:rPr>
                      <w:b/>
                      <w:bCs/>
                      <w:sz w:val="20"/>
                      <w:szCs w:val="20"/>
                    </w:rPr>
                    <w:t>mg/ m3</w:t>
                  </w:r>
                </w:p>
              </w:tc>
              <w:tc>
                <w:tcPr>
                  <w:tcW w:w="338" w:type="pct"/>
                  <w:tcBorders>
                    <w:top w:val="single" w:color="auto" w:sz="4" w:space="0"/>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速率</w:t>
                  </w:r>
                </w:p>
                <w:p>
                  <w:pPr>
                    <w:widowControl/>
                    <w:adjustRightInd w:val="0"/>
                    <w:snapToGrid w:val="0"/>
                    <w:jc w:val="center"/>
                    <w:textAlignment w:val="center"/>
                    <w:rPr>
                      <w:b/>
                      <w:bCs/>
                      <w:sz w:val="20"/>
                      <w:szCs w:val="20"/>
                    </w:rPr>
                  </w:pPr>
                  <w:r>
                    <w:rPr>
                      <w:b/>
                      <w:bCs/>
                      <w:sz w:val="20"/>
                      <w:szCs w:val="20"/>
                    </w:rPr>
                    <w:t>kg/h</w:t>
                  </w:r>
                </w:p>
              </w:tc>
              <w:tc>
                <w:tcPr>
                  <w:tcW w:w="538" w:type="pct"/>
                  <w:tcBorders>
                    <w:top w:val="single" w:color="auto" w:sz="4" w:space="0"/>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产生量</w:t>
                  </w:r>
                </w:p>
                <w:p>
                  <w:pPr>
                    <w:widowControl/>
                    <w:adjustRightInd w:val="0"/>
                    <w:snapToGrid w:val="0"/>
                    <w:jc w:val="center"/>
                    <w:textAlignment w:val="center"/>
                    <w:rPr>
                      <w:b/>
                      <w:bCs/>
                      <w:sz w:val="20"/>
                      <w:szCs w:val="20"/>
                    </w:rPr>
                  </w:pPr>
                  <w:r>
                    <w:rPr>
                      <w:b/>
                      <w:bCs/>
                      <w:sz w:val="20"/>
                      <w:szCs w:val="20"/>
                    </w:rPr>
                    <w:t>t/a</w:t>
                  </w:r>
                </w:p>
              </w:tc>
              <w:tc>
                <w:tcPr>
                  <w:tcW w:w="256" w:type="pct"/>
                  <w:vMerge w:val="continue"/>
                  <w:tcBorders>
                    <w:top w:val="nil"/>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p>
              </w:tc>
              <w:tc>
                <w:tcPr>
                  <w:tcW w:w="468"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处理能力</w:t>
                  </w:r>
                  <w:r>
                    <w:rPr>
                      <w:rFonts w:hint="eastAsia"/>
                      <w:b/>
                      <w:bCs/>
                      <w:sz w:val="20"/>
                      <w:szCs w:val="20"/>
                    </w:rPr>
                    <w:t>及风量</w:t>
                  </w:r>
                </w:p>
              </w:tc>
              <w:tc>
                <w:tcPr>
                  <w:tcW w:w="293"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治理工艺去除率%</w:t>
                  </w:r>
                </w:p>
              </w:tc>
              <w:tc>
                <w:tcPr>
                  <w:tcW w:w="257"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是否为可行技术</w:t>
                  </w:r>
                </w:p>
              </w:tc>
              <w:tc>
                <w:tcPr>
                  <w:tcW w:w="285"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浓度</w:t>
                  </w:r>
                </w:p>
                <w:p>
                  <w:pPr>
                    <w:widowControl/>
                    <w:adjustRightInd w:val="0"/>
                    <w:snapToGrid w:val="0"/>
                    <w:jc w:val="center"/>
                    <w:textAlignment w:val="center"/>
                    <w:rPr>
                      <w:b/>
                      <w:bCs/>
                      <w:sz w:val="20"/>
                      <w:szCs w:val="20"/>
                    </w:rPr>
                  </w:pPr>
                  <w:r>
                    <w:rPr>
                      <w:b/>
                      <w:bCs/>
                      <w:sz w:val="20"/>
                      <w:szCs w:val="20"/>
                    </w:rPr>
                    <w:t>mg/ m</w:t>
                  </w:r>
                  <w:r>
                    <w:rPr>
                      <w:b/>
                      <w:bCs/>
                      <w:sz w:val="20"/>
                      <w:szCs w:val="20"/>
                      <w:vertAlign w:val="superscript"/>
                    </w:rPr>
                    <w:t>3</w:t>
                  </w:r>
                </w:p>
              </w:tc>
              <w:tc>
                <w:tcPr>
                  <w:tcW w:w="366"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速率</w:t>
                  </w:r>
                </w:p>
                <w:p>
                  <w:pPr>
                    <w:widowControl/>
                    <w:adjustRightInd w:val="0"/>
                    <w:snapToGrid w:val="0"/>
                    <w:jc w:val="center"/>
                    <w:textAlignment w:val="center"/>
                    <w:rPr>
                      <w:b/>
                      <w:bCs/>
                      <w:sz w:val="20"/>
                      <w:szCs w:val="20"/>
                    </w:rPr>
                  </w:pPr>
                  <w:r>
                    <w:rPr>
                      <w:b/>
                      <w:bCs/>
                      <w:sz w:val="20"/>
                      <w:szCs w:val="20"/>
                    </w:rPr>
                    <w:t>kg/h</w:t>
                  </w:r>
                </w:p>
              </w:tc>
              <w:tc>
                <w:tcPr>
                  <w:tcW w:w="325" w:type="pct"/>
                  <w:tcBorders>
                    <w:bottom w:val="single" w:color="auto" w:sz="12" w:space="0"/>
                  </w:tcBorders>
                  <w:noWrap w:val="0"/>
                  <w:tcMar>
                    <w:left w:w="0" w:type="dxa"/>
                    <w:right w:w="0" w:type="dxa"/>
                  </w:tcMar>
                  <w:vAlign w:val="center"/>
                </w:tcPr>
                <w:p>
                  <w:pPr>
                    <w:widowControl/>
                    <w:adjustRightInd w:val="0"/>
                    <w:snapToGrid w:val="0"/>
                    <w:jc w:val="center"/>
                    <w:textAlignment w:val="center"/>
                    <w:rPr>
                      <w:b/>
                      <w:bCs/>
                      <w:sz w:val="20"/>
                      <w:szCs w:val="20"/>
                    </w:rPr>
                  </w:pPr>
                  <w:r>
                    <w:rPr>
                      <w:b/>
                      <w:bCs/>
                      <w:sz w:val="20"/>
                      <w:szCs w:val="20"/>
                    </w:rPr>
                    <w:t>排放量t/a</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40" w:hRule="atLeast"/>
                <w:jc w:val="center"/>
              </w:trPr>
              <w:tc>
                <w:tcPr>
                  <w:tcW w:w="186" w:type="pct"/>
                  <w:vMerge w:val="restart"/>
                  <w:tcBorders>
                    <w:top w:val="single" w:color="auto" w:sz="12" w:space="0"/>
                  </w:tcBorders>
                  <w:noWrap w:val="0"/>
                  <w:vAlign w:val="center"/>
                </w:tcPr>
                <w:p>
                  <w:pPr>
                    <w:jc w:val="center"/>
                    <w:rPr>
                      <w:rFonts w:hint="eastAsia"/>
                      <w:sz w:val="20"/>
                      <w:szCs w:val="20"/>
                      <w:lang w:val="en-US" w:eastAsia="zh-CN"/>
                    </w:rPr>
                  </w:pPr>
                  <w:r>
                    <w:rPr>
                      <w:rFonts w:hint="eastAsia"/>
                      <w:sz w:val="20"/>
                      <w:szCs w:val="20"/>
                      <w:lang w:val="en-US" w:eastAsia="zh-CN"/>
                    </w:rPr>
                    <w:t>拉毛、刷呢、剪毛、烫光、摇粒、</w:t>
                  </w:r>
                </w:p>
                <w:p>
                  <w:pPr>
                    <w:jc w:val="center"/>
                    <w:rPr>
                      <w:sz w:val="20"/>
                      <w:szCs w:val="20"/>
                    </w:rPr>
                  </w:pPr>
                  <w:r>
                    <w:rPr>
                      <w:rFonts w:hint="eastAsia"/>
                      <w:sz w:val="20"/>
                      <w:szCs w:val="20"/>
                    </w:rPr>
                    <w:t>定型</w:t>
                  </w:r>
                  <w:r>
                    <w:rPr>
                      <w:rFonts w:hint="eastAsia"/>
                      <w:sz w:val="20"/>
                      <w:szCs w:val="20"/>
                      <w:lang w:eastAsia="zh-CN"/>
                    </w:rPr>
                    <w:t>、</w:t>
                  </w:r>
                  <w:r>
                    <w:rPr>
                      <w:rFonts w:hint="eastAsia"/>
                      <w:sz w:val="20"/>
                      <w:szCs w:val="20"/>
                      <w:lang w:val="en-US" w:eastAsia="zh-CN"/>
                    </w:rPr>
                    <w:t>蒸呢废气</w:t>
                  </w:r>
                </w:p>
              </w:tc>
              <w:tc>
                <w:tcPr>
                  <w:tcW w:w="334" w:type="pct"/>
                  <w:tcBorders>
                    <w:top w:val="single" w:color="auto" w:sz="12" w:space="0"/>
                    <w:bottom w:val="single" w:color="auto" w:sz="4" w:space="0"/>
                  </w:tcBorders>
                  <w:noWrap w:val="0"/>
                  <w:tcMar>
                    <w:left w:w="0" w:type="dxa"/>
                    <w:right w:w="0" w:type="dxa"/>
                  </w:tcMar>
                  <w:vAlign w:val="center"/>
                </w:tcPr>
                <w:p>
                  <w:pPr>
                    <w:jc w:val="center"/>
                    <w:rPr>
                      <w:rFonts w:hint="eastAsia" w:eastAsia="宋体"/>
                      <w:sz w:val="20"/>
                      <w:szCs w:val="20"/>
                      <w:lang w:val="en-US" w:eastAsia="zh-CN"/>
                    </w:rPr>
                  </w:pPr>
                  <w:r>
                    <w:rPr>
                      <w:rFonts w:hint="eastAsia"/>
                      <w:sz w:val="20"/>
                      <w:szCs w:val="20"/>
                      <w:lang w:val="en-US" w:eastAsia="zh-CN"/>
                    </w:rPr>
                    <w:t>颗粒物</w:t>
                  </w:r>
                </w:p>
              </w:tc>
              <w:tc>
                <w:tcPr>
                  <w:tcW w:w="316"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1.069</w:t>
                  </w:r>
                </w:p>
              </w:tc>
              <w:tc>
                <w:tcPr>
                  <w:tcW w:w="366"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kern w:val="0"/>
                      <w:sz w:val="20"/>
                      <w:szCs w:val="20"/>
                      <w:lang w:val="en-US" w:eastAsia="zh-CN" w:bidi="ar"/>
                    </w:rPr>
                  </w:pPr>
                  <w:r>
                    <w:rPr>
                      <w:rFonts w:hint="eastAsia"/>
                      <w:kern w:val="0"/>
                      <w:sz w:val="20"/>
                      <w:szCs w:val="20"/>
                      <w:lang w:val="en-US" w:eastAsia="zh-CN" w:bidi="ar"/>
                    </w:rPr>
                    <w:t>7.7</w:t>
                  </w:r>
                </w:p>
              </w:tc>
              <w:tc>
                <w:tcPr>
                  <w:tcW w:w="140"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default"/>
                      <w:sz w:val="20"/>
                      <w:szCs w:val="20"/>
                      <w:lang w:val="en-US" w:eastAsia="zh-CN"/>
                    </w:rPr>
                  </w:pPr>
                  <w:r>
                    <w:rPr>
                      <w:rFonts w:hint="eastAsia"/>
                      <w:sz w:val="20"/>
                      <w:szCs w:val="20"/>
                      <w:lang w:val="en-US" w:eastAsia="zh-CN"/>
                    </w:rPr>
                    <w:t>封闭车间+集气罩</w:t>
                  </w:r>
                </w:p>
              </w:tc>
              <w:tc>
                <w:tcPr>
                  <w:tcW w:w="189"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99</w:t>
                  </w:r>
                </w:p>
              </w:tc>
              <w:tc>
                <w:tcPr>
                  <w:tcW w:w="338"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44.125</w:t>
                  </w:r>
                </w:p>
              </w:tc>
              <w:tc>
                <w:tcPr>
                  <w:tcW w:w="338"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1.059</w:t>
                  </w:r>
                </w:p>
              </w:tc>
              <w:tc>
                <w:tcPr>
                  <w:tcW w:w="538" w:type="pct"/>
                  <w:tcBorders>
                    <w:top w:val="single" w:color="auto" w:sz="12" w:space="0"/>
                    <w:bottom w:val="single" w:color="auto" w:sz="4" w:space="0"/>
                  </w:tcBorders>
                  <w:noWrap w:val="0"/>
                  <w:tcMar>
                    <w:left w:w="0" w:type="dxa"/>
                    <w:right w:w="0" w:type="dxa"/>
                  </w:tcMar>
                  <w:vAlign w:val="center"/>
                </w:tcPr>
                <w:p>
                  <w:pPr>
                    <w:keepNext w:val="0"/>
                    <w:keepLines w:val="0"/>
                    <w:widowControl/>
                    <w:suppressLineNumbers w:val="0"/>
                    <w:jc w:val="center"/>
                    <w:textAlignment w:val="center"/>
                    <w:rPr>
                      <w:rFonts w:hint="default"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7.623</w:t>
                  </w:r>
                </w:p>
              </w:tc>
              <w:tc>
                <w:tcPr>
                  <w:tcW w:w="256" w:type="pct"/>
                  <w:vMerge w:val="restart"/>
                  <w:tcBorders>
                    <w:top w:val="single" w:color="auto" w:sz="12" w:space="0"/>
                    <w:bottom w:val="single" w:color="auto" w:sz="4" w:space="0"/>
                  </w:tcBorders>
                  <w:noWrap w:val="0"/>
                  <w:tcMar>
                    <w:left w:w="0" w:type="dxa"/>
                    <w:right w:w="0" w:type="dxa"/>
                  </w:tcMar>
                  <w:vAlign w:val="center"/>
                </w:tcPr>
                <w:p>
                  <w:pPr>
                    <w:widowControl/>
                    <w:jc w:val="center"/>
                    <w:textAlignment w:val="center"/>
                    <w:rPr>
                      <w:kern w:val="0"/>
                      <w:sz w:val="20"/>
                      <w:szCs w:val="20"/>
                      <w:lang w:bidi="ar"/>
                    </w:rPr>
                  </w:pPr>
                  <w:r>
                    <w:rPr>
                      <w:rFonts w:hint="eastAsia"/>
                      <w:kern w:val="0"/>
                      <w:sz w:val="20"/>
                      <w:szCs w:val="20"/>
                      <w:lang w:bidi="ar"/>
                    </w:rPr>
                    <w:t>有组织</w:t>
                  </w:r>
                </w:p>
              </w:tc>
              <w:tc>
                <w:tcPr>
                  <w:tcW w:w="468"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eastAsia"/>
                      <w:kern w:val="0"/>
                      <w:sz w:val="20"/>
                      <w:szCs w:val="20"/>
                      <w:lang w:bidi="ar"/>
                    </w:rPr>
                  </w:pPr>
                  <w:r>
                    <w:rPr>
                      <w:rFonts w:hint="eastAsia"/>
                      <w:kern w:val="0"/>
                      <w:sz w:val="20"/>
                      <w:szCs w:val="20"/>
                      <w:lang w:val="en-US" w:eastAsia="zh-CN" w:bidi="ar"/>
                    </w:rPr>
                    <w:t>布袋除尘</w:t>
                  </w:r>
                  <w:r>
                    <w:rPr>
                      <w:rFonts w:hint="eastAsia"/>
                      <w:kern w:val="0"/>
                      <w:sz w:val="20"/>
                      <w:szCs w:val="20"/>
                      <w:lang w:bidi="ar"/>
                    </w:rPr>
                    <w:t>，</w:t>
                  </w:r>
                  <w:r>
                    <w:rPr>
                      <w:rFonts w:hint="eastAsia"/>
                      <w:bCs/>
                      <w:iCs/>
                      <w:snapToGrid w:val="0"/>
                      <w:spacing w:val="-4"/>
                      <w:kern w:val="0"/>
                      <w:sz w:val="20"/>
                      <w:szCs w:val="20"/>
                      <w:lang w:val="en-US" w:eastAsia="zh-CN" w:bidi="en-US"/>
                    </w:rPr>
                    <w:t>240</w:t>
                  </w:r>
                  <w:r>
                    <w:rPr>
                      <w:rFonts w:hint="eastAsia"/>
                      <w:bCs/>
                      <w:iCs/>
                      <w:snapToGrid w:val="0"/>
                      <w:spacing w:val="-4"/>
                      <w:kern w:val="0"/>
                      <w:sz w:val="20"/>
                      <w:szCs w:val="20"/>
                      <w:lang w:bidi="en-US"/>
                    </w:rPr>
                    <w:t>00</w:t>
                  </w:r>
                  <w:r>
                    <w:rPr>
                      <w:sz w:val="20"/>
                      <w:szCs w:val="20"/>
                    </w:rPr>
                    <w:t>m</w:t>
                  </w:r>
                  <w:r>
                    <w:rPr>
                      <w:sz w:val="20"/>
                      <w:szCs w:val="20"/>
                      <w:vertAlign w:val="superscript"/>
                    </w:rPr>
                    <w:t>3</w:t>
                  </w:r>
                  <w:r>
                    <w:rPr>
                      <w:sz w:val="20"/>
                      <w:szCs w:val="20"/>
                    </w:rPr>
                    <w:t>/h</w:t>
                  </w:r>
                </w:p>
              </w:tc>
              <w:tc>
                <w:tcPr>
                  <w:tcW w:w="293"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default"/>
                      <w:kern w:val="0"/>
                      <w:sz w:val="20"/>
                      <w:szCs w:val="20"/>
                      <w:lang w:val="en-US" w:eastAsia="zh-CN" w:bidi="ar"/>
                    </w:rPr>
                  </w:pPr>
                  <w:r>
                    <w:rPr>
                      <w:rFonts w:hint="eastAsia"/>
                      <w:kern w:val="0"/>
                      <w:sz w:val="20"/>
                      <w:szCs w:val="20"/>
                      <w:lang w:val="en-US" w:eastAsia="zh-CN" w:bidi="ar"/>
                    </w:rPr>
                    <w:t>99</w:t>
                  </w:r>
                </w:p>
              </w:tc>
              <w:tc>
                <w:tcPr>
                  <w:tcW w:w="257" w:type="pct"/>
                  <w:tcBorders>
                    <w:top w:val="single" w:color="auto" w:sz="12" w:space="0"/>
                    <w:bottom w:val="single" w:color="auto" w:sz="4" w:space="0"/>
                  </w:tcBorders>
                  <w:noWrap w:val="0"/>
                  <w:tcMar>
                    <w:left w:w="0" w:type="dxa"/>
                    <w:right w:w="0" w:type="dxa"/>
                  </w:tcMar>
                  <w:vAlign w:val="center"/>
                </w:tcPr>
                <w:p>
                  <w:pPr>
                    <w:widowControl/>
                    <w:jc w:val="center"/>
                    <w:textAlignment w:val="center"/>
                    <w:rPr>
                      <w:rFonts w:hint="eastAsia" w:eastAsia="宋体"/>
                      <w:kern w:val="0"/>
                      <w:sz w:val="20"/>
                      <w:szCs w:val="20"/>
                      <w:lang w:val="en-US" w:eastAsia="zh-CN" w:bidi="ar"/>
                    </w:rPr>
                  </w:pPr>
                  <w:r>
                    <w:rPr>
                      <w:rFonts w:hint="eastAsia"/>
                      <w:kern w:val="0"/>
                      <w:sz w:val="20"/>
                      <w:szCs w:val="20"/>
                      <w:lang w:val="en-US" w:eastAsia="zh-CN" w:bidi="ar"/>
                    </w:rPr>
                    <w:t>是</w:t>
                  </w:r>
                </w:p>
              </w:tc>
              <w:tc>
                <w:tcPr>
                  <w:tcW w:w="285" w:type="pct"/>
                  <w:vMerge w:val="restart"/>
                  <w:tcBorders>
                    <w:top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0.712</w:t>
                  </w:r>
                </w:p>
              </w:tc>
              <w:tc>
                <w:tcPr>
                  <w:tcW w:w="366" w:type="pct"/>
                  <w:vMerge w:val="restart"/>
                  <w:tcBorders>
                    <w:top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0.0165</w:t>
                  </w:r>
                </w:p>
              </w:tc>
              <w:tc>
                <w:tcPr>
                  <w:tcW w:w="325" w:type="pct"/>
                  <w:vMerge w:val="restart"/>
                  <w:tcBorders>
                    <w:top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0.123</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4" w:space="0"/>
                </w:tblBorders>
                <w:tblCellMar>
                  <w:top w:w="0" w:type="dxa"/>
                  <w:left w:w="0" w:type="dxa"/>
                  <w:bottom w:w="0" w:type="dxa"/>
                  <w:right w:w="0" w:type="dxa"/>
                </w:tblCellMar>
              </w:tblPrEx>
              <w:trPr>
                <w:trHeight w:val="340" w:hRule="atLeast"/>
                <w:jc w:val="center"/>
              </w:trPr>
              <w:tc>
                <w:tcPr>
                  <w:tcW w:w="186" w:type="pct"/>
                  <w:vMerge w:val="continue"/>
                  <w:noWrap w:val="0"/>
                  <w:vAlign w:val="center"/>
                </w:tcPr>
                <w:p>
                  <w:pPr>
                    <w:jc w:val="center"/>
                    <w:rPr>
                      <w:sz w:val="20"/>
                      <w:szCs w:val="20"/>
                    </w:rPr>
                  </w:pPr>
                </w:p>
              </w:tc>
              <w:tc>
                <w:tcPr>
                  <w:tcW w:w="334" w:type="pct"/>
                  <w:tcBorders>
                    <w:top w:val="single" w:color="auto" w:sz="4" w:space="0"/>
                    <w:bottom w:val="single" w:color="auto" w:sz="12" w:space="0"/>
                  </w:tcBorders>
                  <w:noWrap w:val="0"/>
                  <w:tcMar>
                    <w:left w:w="0" w:type="dxa"/>
                    <w:right w:w="0" w:type="dxa"/>
                  </w:tcMar>
                  <w:vAlign w:val="center"/>
                </w:tcPr>
                <w:p>
                  <w:pPr>
                    <w:jc w:val="center"/>
                    <w:rPr>
                      <w:rFonts w:hint="eastAsia"/>
                      <w:sz w:val="20"/>
                      <w:szCs w:val="20"/>
                    </w:rPr>
                  </w:pPr>
                  <w:r>
                    <w:rPr>
                      <w:sz w:val="20"/>
                      <w:szCs w:val="20"/>
                    </w:rPr>
                    <w:t>颗粒物</w:t>
                  </w:r>
                </w:p>
              </w:tc>
              <w:tc>
                <w:tcPr>
                  <w:tcW w:w="316"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0.034</w:t>
                  </w:r>
                </w:p>
              </w:tc>
              <w:tc>
                <w:tcPr>
                  <w:tcW w:w="366"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0.246</w:t>
                  </w:r>
                </w:p>
              </w:tc>
              <w:tc>
                <w:tcPr>
                  <w:tcW w:w="140" w:type="pct"/>
                  <w:tcBorders>
                    <w:top w:val="single" w:color="auto" w:sz="4" w:space="0"/>
                    <w:bottom w:val="single" w:color="auto" w:sz="12" w:space="0"/>
                  </w:tcBorders>
                  <w:noWrap w:val="0"/>
                  <w:tcMar>
                    <w:left w:w="0" w:type="dxa"/>
                    <w:right w:w="0" w:type="dxa"/>
                  </w:tcMar>
                  <w:vAlign w:val="center"/>
                </w:tcPr>
                <w:p>
                  <w:pPr>
                    <w:widowControl/>
                    <w:jc w:val="center"/>
                    <w:textAlignment w:val="center"/>
                    <w:rPr>
                      <w:kern w:val="0"/>
                      <w:sz w:val="20"/>
                      <w:szCs w:val="20"/>
                      <w:lang w:bidi="ar"/>
                    </w:rPr>
                  </w:pPr>
                  <w:r>
                    <w:rPr>
                      <w:rFonts w:hint="eastAsia"/>
                      <w:kern w:val="0"/>
                      <w:sz w:val="20"/>
                      <w:szCs w:val="20"/>
                      <w:lang w:val="en-US" w:eastAsia="zh-CN" w:bidi="ar"/>
                    </w:rPr>
                    <w:t>设备</w:t>
                  </w:r>
                  <w:r>
                    <w:rPr>
                      <w:rFonts w:hint="eastAsia"/>
                      <w:kern w:val="0"/>
                      <w:sz w:val="20"/>
                      <w:szCs w:val="20"/>
                      <w:lang w:bidi="ar"/>
                    </w:rPr>
                    <w:t>密闭收集</w:t>
                  </w:r>
                </w:p>
              </w:tc>
              <w:tc>
                <w:tcPr>
                  <w:tcW w:w="189" w:type="pct"/>
                  <w:tcBorders>
                    <w:top w:val="single" w:color="auto" w:sz="4" w:space="0"/>
                    <w:bottom w:val="single" w:color="auto" w:sz="12"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bidi="ar"/>
                    </w:rPr>
                    <w:t>9</w:t>
                  </w:r>
                  <w:r>
                    <w:rPr>
                      <w:rFonts w:hint="eastAsia"/>
                      <w:kern w:val="0"/>
                      <w:sz w:val="20"/>
                      <w:szCs w:val="20"/>
                      <w:lang w:val="en-US" w:eastAsia="zh-CN" w:bidi="ar"/>
                    </w:rPr>
                    <w:t>5</w:t>
                  </w:r>
                </w:p>
              </w:tc>
              <w:tc>
                <w:tcPr>
                  <w:tcW w:w="338"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1.35</w:t>
                  </w:r>
                </w:p>
              </w:tc>
              <w:tc>
                <w:tcPr>
                  <w:tcW w:w="338"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0.033</w:t>
                  </w:r>
                </w:p>
              </w:tc>
              <w:tc>
                <w:tcPr>
                  <w:tcW w:w="538" w:type="pct"/>
                  <w:tcBorders>
                    <w:top w:val="single" w:color="auto" w:sz="4" w:space="0"/>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0.234</w:t>
                  </w:r>
                </w:p>
              </w:tc>
              <w:tc>
                <w:tcPr>
                  <w:tcW w:w="256" w:type="pct"/>
                  <w:vMerge w:val="continue"/>
                  <w:tcBorders>
                    <w:top w:val="single" w:color="auto" w:sz="4" w:space="0"/>
                    <w:bottom w:val="single" w:color="auto" w:sz="12" w:space="0"/>
                  </w:tcBorders>
                  <w:noWrap w:val="0"/>
                  <w:tcMar>
                    <w:left w:w="0" w:type="dxa"/>
                    <w:right w:w="0" w:type="dxa"/>
                  </w:tcMar>
                  <w:vAlign w:val="center"/>
                </w:tcPr>
                <w:p>
                  <w:pPr>
                    <w:widowControl/>
                    <w:jc w:val="center"/>
                    <w:textAlignment w:val="center"/>
                    <w:rPr>
                      <w:kern w:val="0"/>
                      <w:sz w:val="20"/>
                      <w:szCs w:val="20"/>
                      <w:lang w:bidi="ar"/>
                    </w:rPr>
                  </w:pPr>
                </w:p>
              </w:tc>
              <w:tc>
                <w:tcPr>
                  <w:tcW w:w="468" w:type="pct"/>
                  <w:tcBorders>
                    <w:top w:val="single" w:color="auto" w:sz="4" w:space="0"/>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r>
                    <w:rPr>
                      <w:rFonts w:hint="eastAsia"/>
                      <w:kern w:val="0"/>
                      <w:sz w:val="20"/>
                      <w:szCs w:val="20"/>
                      <w:lang w:val="en-US" w:eastAsia="zh-CN" w:bidi="ar"/>
                    </w:rPr>
                    <w:t>水喷淋+静电净化</w:t>
                  </w:r>
                  <w:r>
                    <w:rPr>
                      <w:rFonts w:hint="eastAsia"/>
                      <w:kern w:val="0"/>
                      <w:sz w:val="20"/>
                      <w:szCs w:val="20"/>
                      <w:lang w:bidi="ar"/>
                    </w:rPr>
                    <w:t>，</w:t>
                  </w:r>
                  <w:r>
                    <w:rPr>
                      <w:rFonts w:hint="eastAsia"/>
                      <w:bCs/>
                      <w:iCs/>
                      <w:snapToGrid w:val="0"/>
                      <w:spacing w:val="-4"/>
                      <w:kern w:val="0"/>
                      <w:sz w:val="20"/>
                      <w:szCs w:val="20"/>
                      <w:lang w:val="en-US" w:eastAsia="zh-CN" w:bidi="en-US"/>
                    </w:rPr>
                    <w:t>240</w:t>
                  </w:r>
                  <w:r>
                    <w:rPr>
                      <w:rFonts w:hint="eastAsia"/>
                      <w:bCs/>
                      <w:iCs/>
                      <w:snapToGrid w:val="0"/>
                      <w:spacing w:val="-4"/>
                      <w:kern w:val="0"/>
                      <w:sz w:val="20"/>
                      <w:szCs w:val="20"/>
                      <w:lang w:bidi="en-US"/>
                    </w:rPr>
                    <w:t>00</w:t>
                  </w:r>
                  <w:r>
                    <w:rPr>
                      <w:sz w:val="20"/>
                      <w:szCs w:val="20"/>
                    </w:rPr>
                    <w:t>m</w:t>
                  </w:r>
                  <w:r>
                    <w:rPr>
                      <w:sz w:val="20"/>
                      <w:szCs w:val="20"/>
                      <w:vertAlign w:val="superscript"/>
                    </w:rPr>
                    <w:t>3</w:t>
                  </w:r>
                  <w:r>
                    <w:rPr>
                      <w:sz w:val="20"/>
                      <w:szCs w:val="20"/>
                    </w:rPr>
                    <w:t>/h</w:t>
                  </w:r>
                </w:p>
              </w:tc>
              <w:tc>
                <w:tcPr>
                  <w:tcW w:w="293" w:type="pct"/>
                  <w:tcBorders>
                    <w:top w:val="single" w:color="auto" w:sz="4" w:space="0"/>
                    <w:bottom w:val="single" w:color="auto" w:sz="12" w:space="0"/>
                  </w:tcBorders>
                  <w:noWrap w:val="0"/>
                  <w:tcMar>
                    <w:left w:w="0" w:type="dxa"/>
                    <w:right w:w="0" w:type="dxa"/>
                  </w:tcMar>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80</w:t>
                  </w:r>
                </w:p>
              </w:tc>
              <w:tc>
                <w:tcPr>
                  <w:tcW w:w="257" w:type="pct"/>
                  <w:tcBorders>
                    <w:top w:val="single" w:color="auto" w:sz="4" w:space="0"/>
                    <w:bottom w:val="single" w:color="auto" w:sz="12" w:space="0"/>
                  </w:tcBorders>
                  <w:noWrap w:val="0"/>
                  <w:tcMar>
                    <w:left w:w="0" w:type="dxa"/>
                    <w:right w:w="0" w:type="dxa"/>
                  </w:tcMar>
                  <w:vAlign w:val="center"/>
                </w:tcPr>
                <w:p>
                  <w:pPr>
                    <w:widowControl/>
                    <w:jc w:val="center"/>
                    <w:textAlignment w:val="center"/>
                    <w:rPr>
                      <w:rFonts w:hint="eastAsia"/>
                      <w:kern w:val="0"/>
                      <w:sz w:val="20"/>
                      <w:szCs w:val="20"/>
                      <w:lang w:bidi="ar"/>
                    </w:rPr>
                  </w:pPr>
                  <w:r>
                    <w:rPr>
                      <w:rFonts w:hint="eastAsia"/>
                      <w:kern w:val="0"/>
                      <w:sz w:val="20"/>
                      <w:szCs w:val="20"/>
                      <w:lang w:bidi="ar"/>
                    </w:rPr>
                    <w:t>是</w:t>
                  </w:r>
                </w:p>
              </w:tc>
              <w:tc>
                <w:tcPr>
                  <w:tcW w:w="285" w:type="pct"/>
                  <w:vMerge w:val="continue"/>
                  <w:tcBorders>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366" w:type="pct"/>
                  <w:vMerge w:val="continue"/>
                  <w:tcBorders>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p>
              </w:tc>
              <w:tc>
                <w:tcPr>
                  <w:tcW w:w="325" w:type="pct"/>
                  <w:vMerge w:val="continue"/>
                  <w:tcBorders>
                    <w:bottom w:val="single" w:color="auto" w:sz="12" w:space="0"/>
                  </w:tcBorders>
                  <w:noWrap w:val="0"/>
                  <w:tcMar>
                    <w:left w:w="0" w:type="dxa"/>
                    <w:right w:w="0" w:type="dxa"/>
                  </w:tcMar>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p>
              </w:tc>
            </w:tr>
          </w:tbl>
          <w:p>
            <w:pPr>
              <w:pStyle w:val="180"/>
              <w:spacing w:line="400" w:lineRule="exact"/>
              <w:ind w:firstLine="480"/>
              <w:rPr>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rPr>
              <w:t>4</w:t>
            </w:r>
            <w:r>
              <w:rPr>
                <w:rFonts w:ascii="Times New Roman" w:hAnsi="Times New Roman" w:eastAsia="宋体" w:cs="Times New Roman"/>
                <w:b/>
                <w:bCs/>
                <w:color w:val="auto"/>
              </w:rPr>
              <w:t>-</w:t>
            </w:r>
            <w:r>
              <w:rPr>
                <w:rFonts w:hint="eastAsia" w:cs="Times New Roman"/>
                <w:b/>
                <w:bCs/>
                <w:color w:val="auto"/>
                <w:lang w:val="en-US" w:eastAsia="zh-CN"/>
              </w:rPr>
              <w:t xml:space="preserve">4 </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rPr>
              <w:t>本</w:t>
            </w:r>
            <w:r>
              <w:rPr>
                <w:rFonts w:ascii="Times New Roman" w:hAnsi="Times New Roman" w:eastAsia="宋体" w:cs="Times New Roman"/>
                <w:b/>
                <w:bCs/>
                <w:color w:val="auto"/>
              </w:rPr>
              <w:t>项目</w:t>
            </w:r>
            <w:r>
              <w:rPr>
                <w:rFonts w:hint="eastAsia" w:ascii="Times New Roman" w:hAnsi="Times New Roman" w:eastAsia="宋体" w:cs="Times New Roman"/>
                <w:b/>
                <w:bCs/>
                <w:color w:val="auto"/>
                <w:lang w:val="en-US" w:eastAsia="zh-CN"/>
              </w:rPr>
              <w:t>无</w:t>
            </w:r>
            <w:r>
              <w:rPr>
                <w:rFonts w:ascii="Times New Roman" w:hAnsi="Times New Roman" w:eastAsia="宋体" w:cs="Times New Roman"/>
                <w:b/>
                <w:bCs/>
                <w:color w:val="auto"/>
              </w:rPr>
              <w:t>组织废气产生及排放情况</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1247"/>
              <w:gridCol w:w="1304"/>
              <w:gridCol w:w="1416"/>
              <w:gridCol w:w="1472"/>
              <w:gridCol w:w="1436"/>
              <w:gridCol w:w="952"/>
              <w:gridCol w:w="841"/>
              <w:gridCol w:w="841"/>
              <w:gridCol w:w="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1894" w:type="dxa"/>
                  <w:gridSpan w:val="2"/>
                  <w:vMerge w:val="restart"/>
                  <w:noWrap w:val="0"/>
                  <w:vAlign w:val="center"/>
                </w:tcPr>
                <w:p>
                  <w:pPr>
                    <w:jc w:val="center"/>
                    <w:rPr>
                      <w:rFonts w:hint="eastAsia"/>
                      <w:b/>
                      <w:sz w:val="20"/>
                      <w:szCs w:val="20"/>
                    </w:rPr>
                  </w:pPr>
                  <w:r>
                    <w:rPr>
                      <w:rFonts w:hint="eastAsia"/>
                      <w:b/>
                      <w:sz w:val="20"/>
                      <w:szCs w:val="20"/>
                    </w:rPr>
                    <w:t>污染源</w:t>
                  </w:r>
                </w:p>
              </w:tc>
              <w:tc>
                <w:tcPr>
                  <w:tcW w:w="1247" w:type="dxa"/>
                  <w:vMerge w:val="restart"/>
                  <w:noWrap w:val="0"/>
                  <w:vAlign w:val="center"/>
                </w:tcPr>
                <w:p>
                  <w:pPr>
                    <w:jc w:val="center"/>
                    <w:rPr>
                      <w:rFonts w:hint="eastAsia"/>
                      <w:b/>
                      <w:sz w:val="20"/>
                      <w:szCs w:val="20"/>
                    </w:rPr>
                  </w:pPr>
                  <w:r>
                    <w:rPr>
                      <w:rFonts w:hint="eastAsia"/>
                      <w:b/>
                      <w:sz w:val="20"/>
                      <w:szCs w:val="20"/>
                    </w:rPr>
                    <w:t>污染物名称</w:t>
                  </w:r>
                </w:p>
              </w:tc>
              <w:tc>
                <w:tcPr>
                  <w:tcW w:w="2720" w:type="dxa"/>
                  <w:gridSpan w:val="2"/>
                  <w:noWrap w:val="0"/>
                  <w:vAlign w:val="center"/>
                </w:tcPr>
                <w:p>
                  <w:pPr>
                    <w:jc w:val="center"/>
                    <w:rPr>
                      <w:rFonts w:hint="eastAsia"/>
                      <w:b/>
                      <w:sz w:val="20"/>
                      <w:szCs w:val="20"/>
                    </w:rPr>
                  </w:pPr>
                  <w:r>
                    <w:rPr>
                      <w:rFonts w:hint="eastAsia"/>
                      <w:b/>
                      <w:sz w:val="20"/>
                      <w:szCs w:val="20"/>
                    </w:rPr>
                    <w:t>产生情况</w:t>
                  </w:r>
                </w:p>
              </w:tc>
              <w:tc>
                <w:tcPr>
                  <w:tcW w:w="2908" w:type="dxa"/>
                  <w:gridSpan w:val="2"/>
                  <w:noWrap w:val="0"/>
                  <w:vAlign w:val="center"/>
                </w:tcPr>
                <w:p>
                  <w:pPr>
                    <w:jc w:val="center"/>
                    <w:rPr>
                      <w:rFonts w:hint="eastAsia"/>
                      <w:b/>
                      <w:sz w:val="20"/>
                      <w:szCs w:val="20"/>
                    </w:rPr>
                  </w:pPr>
                  <w:r>
                    <w:rPr>
                      <w:rFonts w:hint="eastAsia"/>
                      <w:b/>
                      <w:sz w:val="20"/>
                      <w:szCs w:val="20"/>
                    </w:rPr>
                    <w:t>排放情况</w:t>
                  </w:r>
                </w:p>
              </w:tc>
              <w:tc>
                <w:tcPr>
                  <w:tcW w:w="952" w:type="dxa"/>
                  <w:vMerge w:val="restart"/>
                  <w:noWrap w:val="0"/>
                  <w:vAlign w:val="center"/>
                </w:tcPr>
                <w:p>
                  <w:pPr>
                    <w:jc w:val="center"/>
                    <w:rPr>
                      <w:rFonts w:hint="eastAsia"/>
                      <w:b/>
                      <w:sz w:val="20"/>
                      <w:szCs w:val="20"/>
                    </w:rPr>
                  </w:pPr>
                  <w:r>
                    <w:rPr>
                      <w:rFonts w:hint="eastAsia"/>
                      <w:b/>
                      <w:sz w:val="20"/>
                      <w:szCs w:val="20"/>
                    </w:rPr>
                    <w:t>排放时间/h</w:t>
                  </w:r>
                </w:p>
              </w:tc>
              <w:tc>
                <w:tcPr>
                  <w:tcW w:w="841" w:type="dxa"/>
                  <w:vMerge w:val="restart"/>
                  <w:noWrap w:val="0"/>
                  <w:vAlign w:val="center"/>
                </w:tcPr>
                <w:p>
                  <w:pPr>
                    <w:jc w:val="center"/>
                    <w:rPr>
                      <w:rFonts w:hint="eastAsia"/>
                      <w:b/>
                      <w:sz w:val="20"/>
                      <w:szCs w:val="20"/>
                    </w:rPr>
                  </w:pPr>
                  <w:r>
                    <w:rPr>
                      <w:rFonts w:hint="eastAsia"/>
                      <w:b/>
                      <w:sz w:val="20"/>
                      <w:szCs w:val="20"/>
                    </w:rPr>
                    <w:t>面源长度/</w:t>
                  </w:r>
                  <w:r>
                    <w:rPr>
                      <w:rFonts w:hint="eastAsia"/>
                      <w:b/>
                      <w:sz w:val="20"/>
                      <w:szCs w:val="20"/>
                      <w:lang w:eastAsia="zh-Hans"/>
                    </w:rPr>
                    <w:t>m</w:t>
                  </w:r>
                </w:p>
              </w:tc>
              <w:tc>
                <w:tcPr>
                  <w:tcW w:w="841" w:type="dxa"/>
                  <w:vMerge w:val="restart"/>
                  <w:noWrap w:val="0"/>
                  <w:vAlign w:val="center"/>
                </w:tcPr>
                <w:p>
                  <w:pPr>
                    <w:jc w:val="center"/>
                    <w:rPr>
                      <w:rFonts w:hint="eastAsia"/>
                      <w:b/>
                      <w:sz w:val="20"/>
                      <w:szCs w:val="20"/>
                    </w:rPr>
                  </w:pPr>
                  <w:r>
                    <w:rPr>
                      <w:rFonts w:hint="eastAsia"/>
                      <w:b/>
                      <w:sz w:val="20"/>
                      <w:szCs w:val="20"/>
                    </w:rPr>
                    <w:t>面源长度/</w:t>
                  </w:r>
                  <w:r>
                    <w:rPr>
                      <w:rFonts w:hint="eastAsia"/>
                      <w:b/>
                      <w:sz w:val="20"/>
                      <w:szCs w:val="20"/>
                      <w:lang w:eastAsia="zh-Hans"/>
                    </w:rPr>
                    <w:t>m</w:t>
                  </w:r>
                </w:p>
              </w:tc>
              <w:tc>
                <w:tcPr>
                  <w:tcW w:w="893" w:type="dxa"/>
                  <w:vMerge w:val="restart"/>
                  <w:noWrap w:val="0"/>
                  <w:vAlign w:val="center"/>
                </w:tcPr>
                <w:p>
                  <w:pPr>
                    <w:jc w:val="center"/>
                    <w:rPr>
                      <w:rFonts w:hint="eastAsia"/>
                      <w:b/>
                      <w:sz w:val="20"/>
                      <w:szCs w:val="20"/>
                    </w:rPr>
                  </w:pPr>
                  <w:r>
                    <w:rPr>
                      <w:rFonts w:hint="eastAsia"/>
                      <w:b/>
                      <w:sz w:val="20"/>
                      <w:szCs w:val="20"/>
                    </w:rPr>
                    <w:t>面源高度/</w:t>
                  </w:r>
                  <w:r>
                    <w:rPr>
                      <w:rFonts w:hint="eastAsia"/>
                      <w:b/>
                      <w:sz w:val="20"/>
                      <w:szCs w:val="20"/>
                      <w:lang w:eastAsia="zh-Hans"/>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894" w:type="dxa"/>
                  <w:gridSpan w:val="2"/>
                  <w:vMerge w:val="continue"/>
                  <w:noWrap w:val="0"/>
                  <w:vAlign w:val="center"/>
                </w:tcPr>
                <w:p>
                  <w:pPr>
                    <w:jc w:val="center"/>
                    <w:rPr>
                      <w:rFonts w:hint="eastAsia"/>
                      <w:bCs/>
                      <w:sz w:val="20"/>
                      <w:szCs w:val="20"/>
                    </w:rPr>
                  </w:pPr>
                </w:p>
              </w:tc>
              <w:tc>
                <w:tcPr>
                  <w:tcW w:w="1247" w:type="dxa"/>
                  <w:vMerge w:val="continue"/>
                  <w:noWrap w:val="0"/>
                  <w:vAlign w:val="center"/>
                </w:tcPr>
                <w:p>
                  <w:pPr>
                    <w:jc w:val="center"/>
                    <w:rPr>
                      <w:rFonts w:hint="eastAsia"/>
                      <w:bCs/>
                      <w:sz w:val="20"/>
                      <w:szCs w:val="20"/>
                    </w:rPr>
                  </w:pPr>
                </w:p>
              </w:tc>
              <w:tc>
                <w:tcPr>
                  <w:tcW w:w="1304" w:type="dxa"/>
                  <w:noWrap w:val="0"/>
                  <w:vAlign w:val="center"/>
                </w:tcPr>
                <w:p>
                  <w:pPr>
                    <w:jc w:val="center"/>
                    <w:rPr>
                      <w:rFonts w:hint="eastAsia"/>
                      <w:b/>
                      <w:sz w:val="20"/>
                      <w:szCs w:val="20"/>
                    </w:rPr>
                  </w:pPr>
                  <w:r>
                    <w:rPr>
                      <w:rFonts w:hint="eastAsia"/>
                      <w:b/>
                      <w:sz w:val="20"/>
                      <w:szCs w:val="20"/>
                    </w:rPr>
                    <w:t>产生量/t/a</w:t>
                  </w:r>
                </w:p>
              </w:tc>
              <w:tc>
                <w:tcPr>
                  <w:tcW w:w="1416" w:type="dxa"/>
                  <w:noWrap w:val="0"/>
                  <w:vAlign w:val="center"/>
                </w:tcPr>
                <w:p>
                  <w:pPr>
                    <w:jc w:val="center"/>
                    <w:rPr>
                      <w:rFonts w:hint="eastAsia"/>
                      <w:b/>
                      <w:sz w:val="20"/>
                      <w:szCs w:val="20"/>
                    </w:rPr>
                  </w:pPr>
                  <w:r>
                    <w:rPr>
                      <w:rFonts w:hint="eastAsia"/>
                      <w:b/>
                      <w:sz w:val="20"/>
                      <w:szCs w:val="20"/>
                    </w:rPr>
                    <w:t>产生速率/kg/h</w:t>
                  </w:r>
                </w:p>
              </w:tc>
              <w:tc>
                <w:tcPr>
                  <w:tcW w:w="1472" w:type="dxa"/>
                  <w:noWrap w:val="0"/>
                  <w:vAlign w:val="center"/>
                </w:tcPr>
                <w:p>
                  <w:pPr>
                    <w:jc w:val="center"/>
                    <w:rPr>
                      <w:rFonts w:hint="eastAsia"/>
                      <w:b/>
                      <w:sz w:val="20"/>
                      <w:szCs w:val="20"/>
                    </w:rPr>
                  </w:pPr>
                  <w:r>
                    <w:rPr>
                      <w:rFonts w:hint="eastAsia"/>
                      <w:b/>
                      <w:sz w:val="20"/>
                      <w:szCs w:val="20"/>
                    </w:rPr>
                    <w:t>排放量/t/a</w:t>
                  </w:r>
                </w:p>
              </w:tc>
              <w:tc>
                <w:tcPr>
                  <w:tcW w:w="1436" w:type="dxa"/>
                  <w:noWrap w:val="0"/>
                  <w:vAlign w:val="center"/>
                </w:tcPr>
                <w:p>
                  <w:pPr>
                    <w:jc w:val="center"/>
                    <w:rPr>
                      <w:rFonts w:hint="eastAsia"/>
                      <w:b/>
                      <w:sz w:val="20"/>
                      <w:szCs w:val="20"/>
                    </w:rPr>
                  </w:pPr>
                  <w:r>
                    <w:rPr>
                      <w:rFonts w:hint="eastAsia"/>
                      <w:b/>
                      <w:sz w:val="20"/>
                      <w:szCs w:val="20"/>
                    </w:rPr>
                    <w:t>排放速率/kg/h</w:t>
                  </w:r>
                </w:p>
              </w:tc>
              <w:tc>
                <w:tcPr>
                  <w:tcW w:w="952" w:type="dxa"/>
                  <w:vMerge w:val="continue"/>
                  <w:noWrap w:val="0"/>
                  <w:vAlign w:val="center"/>
                </w:tcPr>
                <w:p>
                  <w:pPr>
                    <w:jc w:val="center"/>
                    <w:rPr>
                      <w:rFonts w:hint="eastAsia"/>
                      <w:bCs/>
                      <w:sz w:val="20"/>
                      <w:szCs w:val="20"/>
                    </w:rPr>
                  </w:pPr>
                </w:p>
              </w:tc>
              <w:tc>
                <w:tcPr>
                  <w:tcW w:w="841" w:type="dxa"/>
                  <w:vMerge w:val="continue"/>
                  <w:noWrap w:val="0"/>
                  <w:vAlign w:val="center"/>
                </w:tcPr>
                <w:p>
                  <w:pPr>
                    <w:jc w:val="center"/>
                    <w:rPr>
                      <w:rFonts w:hint="eastAsia"/>
                      <w:bCs/>
                      <w:sz w:val="20"/>
                      <w:szCs w:val="20"/>
                    </w:rPr>
                  </w:pPr>
                </w:p>
              </w:tc>
              <w:tc>
                <w:tcPr>
                  <w:tcW w:w="841" w:type="dxa"/>
                  <w:vMerge w:val="continue"/>
                  <w:noWrap w:val="0"/>
                  <w:vAlign w:val="center"/>
                </w:tcPr>
                <w:p>
                  <w:pPr>
                    <w:jc w:val="center"/>
                    <w:rPr>
                      <w:rFonts w:hint="eastAsia"/>
                      <w:bCs/>
                      <w:sz w:val="20"/>
                      <w:szCs w:val="20"/>
                    </w:rPr>
                  </w:pPr>
                </w:p>
              </w:tc>
              <w:tc>
                <w:tcPr>
                  <w:tcW w:w="893" w:type="dxa"/>
                  <w:vMerge w:val="continue"/>
                  <w:noWrap w:val="0"/>
                  <w:vAlign w:val="center"/>
                </w:tcPr>
                <w:p>
                  <w:pPr>
                    <w:jc w:val="center"/>
                    <w:rPr>
                      <w:rFonts w:hint="eastAsia"/>
                      <w:bCs/>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4" w:type="dxa"/>
                  <w:vMerge w:val="restart"/>
                  <w:noWrap w:val="0"/>
                  <w:vAlign w:val="center"/>
                </w:tcPr>
                <w:p>
                  <w:pPr>
                    <w:jc w:val="center"/>
                    <w:rPr>
                      <w:rFonts w:hint="default" w:eastAsia="宋体"/>
                      <w:bCs/>
                      <w:sz w:val="20"/>
                      <w:szCs w:val="20"/>
                      <w:lang w:val="en-US" w:eastAsia="zh-CN"/>
                    </w:rPr>
                  </w:pPr>
                  <w:bookmarkStart w:id="18" w:name="OLE_LINK2" w:colFirst="1" w:colLast="67"/>
                  <w:r>
                    <w:rPr>
                      <w:rFonts w:hint="eastAsia"/>
                      <w:bCs/>
                      <w:sz w:val="20"/>
                      <w:szCs w:val="20"/>
                      <w:lang w:val="en-US" w:eastAsia="zh-CN"/>
                    </w:rPr>
                    <w:t>生产车间</w:t>
                  </w:r>
                </w:p>
              </w:tc>
              <w:tc>
                <w:tcPr>
                  <w:tcW w:w="1260" w:type="dxa"/>
                  <w:noWrap w:val="0"/>
                  <w:vAlign w:val="center"/>
                </w:tcPr>
                <w:p>
                  <w:pPr>
                    <w:jc w:val="center"/>
                    <w:rPr>
                      <w:rFonts w:hint="eastAsia" w:eastAsia="宋体"/>
                      <w:bCs/>
                      <w:sz w:val="20"/>
                      <w:szCs w:val="20"/>
                      <w:lang w:eastAsia="zh-CN"/>
                    </w:rPr>
                  </w:pPr>
                  <w:r>
                    <w:rPr>
                      <w:rFonts w:hint="eastAsia"/>
                      <w:sz w:val="20"/>
                      <w:szCs w:val="20"/>
                      <w:lang w:val="en-US" w:eastAsia="zh-CN"/>
                    </w:rPr>
                    <w:t>拉毛、刷呢、剪毛、烫光、摇粒、</w:t>
                  </w:r>
                </w:p>
              </w:tc>
              <w:tc>
                <w:tcPr>
                  <w:tcW w:w="1247" w:type="dxa"/>
                  <w:noWrap w:val="0"/>
                  <w:vAlign w:val="center"/>
                </w:tcPr>
                <w:p>
                  <w:pPr>
                    <w:jc w:val="center"/>
                    <w:rPr>
                      <w:rFonts w:hint="eastAsia"/>
                      <w:bCs/>
                      <w:sz w:val="20"/>
                      <w:szCs w:val="20"/>
                    </w:rPr>
                  </w:pPr>
                  <w:r>
                    <w:rPr>
                      <w:rFonts w:hint="eastAsia"/>
                      <w:bCs/>
                      <w:sz w:val="20"/>
                      <w:szCs w:val="20"/>
                    </w:rPr>
                    <w:t>颗粒物</w:t>
                  </w:r>
                </w:p>
              </w:tc>
              <w:tc>
                <w:tcPr>
                  <w:tcW w:w="1304" w:type="dxa"/>
                  <w:noWrap w:val="0"/>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0.077</w:t>
                  </w:r>
                </w:p>
              </w:tc>
              <w:tc>
                <w:tcPr>
                  <w:tcW w:w="1416" w:type="dxa"/>
                  <w:noWrap w:val="0"/>
                  <w:vAlign w:val="center"/>
                </w:tcPr>
                <w:p>
                  <w:pPr>
                    <w:widowControl/>
                    <w:jc w:val="center"/>
                    <w:textAlignment w:val="center"/>
                    <w:rPr>
                      <w:rFonts w:hint="default" w:eastAsia="宋体"/>
                      <w:bCs/>
                      <w:sz w:val="20"/>
                      <w:szCs w:val="20"/>
                      <w:lang w:val="en-US" w:eastAsia="zh-CN"/>
                    </w:rPr>
                  </w:pPr>
                  <w:r>
                    <w:rPr>
                      <w:rFonts w:hint="eastAsia"/>
                      <w:bCs/>
                      <w:sz w:val="20"/>
                      <w:szCs w:val="20"/>
                      <w:lang w:val="en-US" w:eastAsia="zh-CN"/>
                    </w:rPr>
                    <w:t>0.011</w:t>
                  </w:r>
                </w:p>
              </w:tc>
              <w:tc>
                <w:tcPr>
                  <w:tcW w:w="1472" w:type="dxa"/>
                  <w:noWrap w:val="0"/>
                  <w:vAlign w:val="center"/>
                </w:tcPr>
                <w:p>
                  <w:pPr>
                    <w:widowControl/>
                    <w:jc w:val="center"/>
                    <w:textAlignment w:val="center"/>
                    <w:rPr>
                      <w:rFonts w:hint="default"/>
                      <w:kern w:val="0"/>
                      <w:sz w:val="20"/>
                      <w:szCs w:val="20"/>
                      <w:lang w:val="en-US" w:bidi="ar"/>
                    </w:rPr>
                  </w:pPr>
                  <w:r>
                    <w:rPr>
                      <w:rFonts w:hint="eastAsia"/>
                      <w:kern w:val="0"/>
                      <w:sz w:val="20"/>
                      <w:szCs w:val="20"/>
                      <w:lang w:val="en-US" w:eastAsia="zh-CN" w:bidi="ar"/>
                    </w:rPr>
                    <w:t>0.077</w:t>
                  </w:r>
                </w:p>
              </w:tc>
              <w:tc>
                <w:tcPr>
                  <w:tcW w:w="1436" w:type="dxa"/>
                  <w:noWrap w:val="0"/>
                  <w:vAlign w:val="center"/>
                </w:tcPr>
                <w:p>
                  <w:pPr>
                    <w:widowControl/>
                    <w:jc w:val="center"/>
                    <w:textAlignment w:val="center"/>
                    <w:rPr>
                      <w:rFonts w:hint="eastAsia"/>
                      <w:bCs/>
                      <w:sz w:val="20"/>
                      <w:szCs w:val="20"/>
                    </w:rPr>
                  </w:pPr>
                  <w:r>
                    <w:rPr>
                      <w:rFonts w:hint="eastAsia"/>
                      <w:bCs/>
                      <w:sz w:val="20"/>
                      <w:szCs w:val="20"/>
                      <w:lang w:val="en-US" w:eastAsia="zh-CN"/>
                    </w:rPr>
                    <w:t>0.011</w:t>
                  </w:r>
                </w:p>
              </w:tc>
              <w:tc>
                <w:tcPr>
                  <w:tcW w:w="952" w:type="dxa"/>
                  <w:vMerge w:val="restart"/>
                  <w:noWrap w:val="0"/>
                  <w:vAlign w:val="center"/>
                </w:tcPr>
                <w:p>
                  <w:pPr>
                    <w:jc w:val="center"/>
                    <w:rPr>
                      <w:rFonts w:hint="eastAsia"/>
                      <w:bCs/>
                      <w:sz w:val="20"/>
                      <w:szCs w:val="20"/>
                    </w:rPr>
                  </w:pPr>
                  <w:r>
                    <w:rPr>
                      <w:rFonts w:hint="eastAsia"/>
                      <w:bCs/>
                      <w:sz w:val="20"/>
                      <w:szCs w:val="20"/>
                    </w:rPr>
                    <w:t>7200</w:t>
                  </w:r>
                </w:p>
              </w:tc>
              <w:tc>
                <w:tcPr>
                  <w:tcW w:w="841" w:type="dxa"/>
                  <w:noWrap w:val="0"/>
                  <w:vAlign w:val="center"/>
                </w:tcPr>
                <w:p>
                  <w:pPr>
                    <w:jc w:val="center"/>
                    <w:rPr>
                      <w:rFonts w:hint="default" w:eastAsia="宋体"/>
                      <w:bCs/>
                      <w:sz w:val="20"/>
                      <w:szCs w:val="20"/>
                      <w:lang w:val="en-US" w:eastAsia="zh-CN"/>
                    </w:rPr>
                  </w:pPr>
                  <w:r>
                    <w:rPr>
                      <w:rFonts w:hint="eastAsia"/>
                      <w:bCs/>
                      <w:sz w:val="20"/>
                      <w:szCs w:val="20"/>
                      <w:lang w:val="en-US" w:eastAsia="zh-CN"/>
                    </w:rPr>
                    <w:t>20</w:t>
                  </w:r>
                </w:p>
              </w:tc>
              <w:tc>
                <w:tcPr>
                  <w:tcW w:w="841" w:type="dxa"/>
                  <w:noWrap w:val="0"/>
                  <w:vAlign w:val="center"/>
                </w:tcPr>
                <w:p>
                  <w:pPr>
                    <w:jc w:val="center"/>
                    <w:rPr>
                      <w:rFonts w:hint="default" w:eastAsia="宋体"/>
                      <w:bCs/>
                      <w:sz w:val="20"/>
                      <w:szCs w:val="20"/>
                      <w:lang w:val="en-US" w:eastAsia="zh-CN"/>
                    </w:rPr>
                  </w:pPr>
                  <w:r>
                    <w:rPr>
                      <w:rFonts w:hint="eastAsia"/>
                      <w:bCs/>
                      <w:sz w:val="20"/>
                      <w:szCs w:val="20"/>
                      <w:lang w:val="en-US" w:eastAsia="zh-CN"/>
                    </w:rPr>
                    <w:t>10</w:t>
                  </w:r>
                </w:p>
              </w:tc>
              <w:tc>
                <w:tcPr>
                  <w:tcW w:w="893" w:type="dxa"/>
                  <w:noWrap w:val="0"/>
                  <w:vAlign w:val="center"/>
                </w:tcPr>
                <w:p>
                  <w:pPr>
                    <w:jc w:val="center"/>
                    <w:rPr>
                      <w:rFonts w:hint="eastAsia" w:eastAsia="宋体"/>
                      <w:bCs/>
                      <w:sz w:val="20"/>
                      <w:szCs w:val="20"/>
                      <w:lang w:val="en-US" w:eastAsia="zh-CN"/>
                    </w:rPr>
                  </w:pPr>
                  <w:r>
                    <w:rPr>
                      <w:rFonts w:hint="eastAsia"/>
                      <w:bCs/>
                      <w:sz w:val="20"/>
                      <w:szCs w:val="20"/>
                      <w:lang w:val="en-US" w:eastAsia="zh-CN"/>
                    </w:rPr>
                    <w:t>5</w:t>
                  </w:r>
                </w:p>
              </w:tc>
            </w:tr>
            <w:bookmarkEnd w:id="18"/>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4" w:type="dxa"/>
                  <w:vMerge w:val="continue"/>
                  <w:noWrap w:val="0"/>
                  <w:vAlign w:val="center"/>
                </w:tcPr>
                <w:p>
                  <w:pPr>
                    <w:jc w:val="center"/>
                    <w:rPr>
                      <w:rFonts w:hint="eastAsia"/>
                      <w:bCs/>
                      <w:sz w:val="20"/>
                      <w:szCs w:val="20"/>
                    </w:rPr>
                  </w:pPr>
                </w:p>
              </w:tc>
              <w:tc>
                <w:tcPr>
                  <w:tcW w:w="1260" w:type="dxa"/>
                  <w:vMerge w:val="restart"/>
                  <w:noWrap w:val="0"/>
                  <w:vAlign w:val="center"/>
                </w:tcPr>
                <w:p>
                  <w:pPr>
                    <w:jc w:val="center"/>
                    <w:rPr>
                      <w:rFonts w:hint="eastAsia"/>
                      <w:bCs/>
                      <w:sz w:val="20"/>
                      <w:szCs w:val="20"/>
                    </w:rPr>
                  </w:pPr>
                  <w:r>
                    <w:rPr>
                      <w:rFonts w:hint="eastAsia"/>
                      <w:bCs/>
                      <w:sz w:val="20"/>
                      <w:szCs w:val="20"/>
                    </w:rPr>
                    <w:t>定型</w:t>
                  </w:r>
                  <w:r>
                    <w:rPr>
                      <w:rFonts w:hint="eastAsia"/>
                      <w:bCs/>
                      <w:sz w:val="20"/>
                      <w:szCs w:val="20"/>
                      <w:lang w:eastAsia="zh-CN"/>
                    </w:rPr>
                    <w:t>、</w:t>
                  </w:r>
                  <w:r>
                    <w:rPr>
                      <w:rFonts w:hint="eastAsia"/>
                      <w:sz w:val="20"/>
                      <w:szCs w:val="20"/>
                      <w:lang w:val="en-US" w:eastAsia="zh-CN"/>
                    </w:rPr>
                    <w:t>蒸呢废气</w:t>
                  </w:r>
                </w:p>
              </w:tc>
              <w:tc>
                <w:tcPr>
                  <w:tcW w:w="1247" w:type="dxa"/>
                  <w:noWrap w:val="0"/>
                  <w:vAlign w:val="center"/>
                </w:tcPr>
                <w:p>
                  <w:pPr>
                    <w:jc w:val="center"/>
                    <w:rPr>
                      <w:rFonts w:hint="eastAsia"/>
                      <w:bCs/>
                      <w:sz w:val="20"/>
                      <w:szCs w:val="20"/>
                    </w:rPr>
                  </w:pPr>
                  <w:r>
                    <w:rPr>
                      <w:rFonts w:hint="eastAsia"/>
                      <w:bCs/>
                      <w:sz w:val="20"/>
                      <w:szCs w:val="20"/>
                    </w:rPr>
                    <w:t>颗粒物</w:t>
                  </w:r>
                </w:p>
              </w:tc>
              <w:tc>
                <w:tcPr>
                  <w:tcW w:w="1304" w:type="dxa"/>
                  <w:noWrap w:val="0"/>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0.0025</w:t>
                  </w:r>
                </w:p>
              </w:tc>
              <w:tc>
                <w:tcPr>
                  <w:tcW w:w="1416" w:type="dxa"/>
                  <w:noWrap w:val="0"/>
                  <w:vAlign w:val="center"/>
                </w:tcPr>
                <w:p>
                  <w:pPr>
                    <w:widowControl/>
                    <w:jc w:val="center"/>
                    <w:textAlignment w:val="center"/>
                    <w:rPr>
                      <w:rFonts w:hint="default" w:eastAsia="宋体"/>
                      <w:bCs/>
                      <w:sz w:val="20"/>
                      <w:szCs w:val="20"/>
                      <w:lang w:val="en-US" w:eastAsia="zh-CN"/>
                    </w:rPr>
                  </w:pPr>
                  <w:r>
                    <w:rPr>
                      <w:rFonts w:hint="eastAsia"/>
                      <w:bCs/>
                      <w:sz w:val="20"/>
                      <w:szCs w:val="20"/>
                      <w:lang w:val="en-US" w:eastAsia="zh-CN"/>
                    </w:rPr>
                    <w:t>0.0003</w:t>
                  </w:r>
                </w:p>
              </w:tc>
              <w:tc>
                <w:tcPr>
                  <w:tcW w:w="1472" w:type="dxa"/>
                  <w:noWrap w:val="0"/>
                  <w:vAlign w:val="center"/>
                </w:tcPr>
                <w:p>
                  <w:pPr>
                    <w:widowControl/>
                    <w:jc w:val="center"/>
                    <w:textAlignment w:val="center"/>
                    <w:rPr>
                      <w:rFonts w:hint="default"/>
                      <w:kern w:val="0"/>
                      <w:sz w:val="20"/>
                      <w:szCs w:val="20"/>
                      <w:lang w:val="en-US" w:bidi="ar"/>
                    </w:rPr>
                  </w:pPr>
                  <w:r>
                    <w:rPr>
                      <w:rFonts w:hint="eastAsia"/>
                      <w:kern w:val="0"/>
                      <w:sz w:val="20"/>
                      <w:szCs w:val="20"/>
                      <w:lang w:val="en-US" w:eastAsia="zh-CN" w:bidi="ar"/>
                    </w:rPr>
                    <w:t>0.0025</w:t>
                  </w:r>
                </w:p>
              </w:tc>
              <w:tc>
                <w:tcPr>
                  <w:tcW w:w="1436" w:type="dxa"/>
                  <w:noWrap w:val="0"/>
                  <w:vAlign w:val="center"/>
                </w:tcPr>
                <w:p>
                  <w:pPr>
                    <w:widowControl/>
                    <w:jc w:val="center"/>
                    <w:textAlignment w:val="center"/>
                    <w:rPr>
                      <w:rFonts w:hint="eastAsia"/>
                      <w:bCs/>
                      <w:sz w:val="20"/>
                      <w:szCs w:val="20"/>
                    </w:rPr>
                  </w:pPr>
                  <w:r>
                    <w:rPr>
                      <w:rFonts w:hint="eastAsia"/>
                      <w:bCs/>
                      <w:sz w:val="20"/>
                      <w:szCs w:val="20"/>
                      <w:lang w:val="en-US" w:eastAsia="zh-CN"/>
                    </w:rPr>
                    <w:t>0.0003</w:t>
                  </w:r>
                </w:p>
              </w:tc>
              <w:tc>
                <w:tcPr>
                  <w:tcW w:w="952" w:type="dxa"/>
                  <w:vMerge w:val="continue"/>
                  <w:noWrap w:val="0"/>
                  <w:vAlign w:val="center"/>
                </w:tcPr>
                <w:p>
                  <w:pPr>
                    <w:jc w:val="center"/>
                    <w:rPr>
                      <w:rFonts w:hint="eastAsia"/>
                      <w:bCs/>
                      <w:sz w:val="20"/>
                      <w:szCs w:val="20"/>
                    </w:rPr>
                  </w:pPr>
                </w:p>
              </w:tc>
              <w:tc>
                <w:tcPr>
                  <w:tcW w:w="841" w:type="dxa"/>
                  <w:vMerge w:val="restart"/>
                  <w:shd w:val="clear" w:color="auto" w:fill="auto"/>
                  <w:noWrap w:val="0"/>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60</w:t>
                  </w:r>
                </w:p>
              </w:tc>
              <w:tc>
                <w:tcPr>
                  <w:tcW w:w="841" w:type="dxa"/>
                  <w:vMerge w:val="restart"/>
                  <w:shd w:val="clear" w:color="auto" w:fill="auto"/>
                  <w:noWrap w:val="0"/>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lang w:val="en-US" w:eastAsia="zh-CN"/>
                    </w:rPr>
                    <w:t>20</w:t>
                  </w:r>
                </w:p>
              </w:tc>
              <w:tc>
                <w:tcPr>
                  <w:tcW w:w="893" w:type="dxa"/>
                  <w:vMerge w:val="restart"/>
                  <w:shd w:val="clear" w:color="auto" w:fill="auto"/>
                  <w:noWrap w:val="0"/>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8</w:t>
                  </w:r>
                  <w:r>
                    <w:rPr>
                      <w:rFonts w:hint="eastAsia"/>
                      <w:bCs/>
                      <w:sz w:val="20"/>
                      <w:szCs w:val="20"/>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34" w:type="dxa"/>
                  <w:vMerge w:val="continue"/>
                  <w:noWrap w:val="0"/>
                  <w:vAlign w:val="center"/>
                </w:tcPr>
                <w:p>
                  <w:pPr>
                    <w:jc w:val="center"/>
                    <w:rPr>
                      <w:rFonts w:hint="eastAsia"/>
                      <w:bCs/>
                      <w:sz w:val="20"/>
                      <w:szCs w:val="20"/>
                    </w:rPr>
                  </w:pPr>
                </w:p>
              </w:tc>
              <w:tc>
                <w:tcPr>
                  <w:tcW w:w="1260" w:type="dxa"/>
                  <w:vMerge w:val="continue"/>
                  <w:noWrap w:val="0"/>
                  <w:vAlign w:val="center"/>
                </w:tcPr>
                <w:p>
                  <w:pPr>
                    <w:jc w:val="center"/>
                    <w:rPr>
                      <w:rFonts w:hint="eastAsia"/>
                      <w:bCs/>
                      <w:sz w:val="20"/>
                      <w:szCs w:val="20"/>
                    </w:rPr>
                  </w:pPr>
                </w:p>
              </w:tc>
              <w:tc>
                <w:tcPr>
                  <w:tcW w:w="1247" w:type="dxa"/>
                  <w:noWrap w:val="0"/>
                  <w:vAlign w:val="center"/>
                </w:tcPr>
                <w:p>
                  <w:pPr>
                    <w:jc w:val="center"/>
                    <w:rPr>
                      <w:rFonts w:hint="eastAsia"/>
                      <w:bCs/>
                      <w:sz w:val="20"/>
                      <w:szCs w:val="20"/>
                    </w:rPr>
                  </w:pPr>
                  <w:r>
                    <w:rPr>
                      <w:rFonts w:hint="eastAsia"/>
                      <w:bCs/>
                      <w:sz w:val="20"/>
                      <w:szCs w:val="20"/>
                    </w:rPr>
                    <w:t>非甲烷总烃</w:t>
                  </w:r>
                </w:p>
              </w:tc>
              <w:tc>
                <w:tcPr>
                  <w:tcW w:w="1304" w:type="dxa"/>
                  <w:noWrap w:val="0"/>
                  <w:vAlign w:val="center"/>
                </w:tcPr>
                <w:p>
                  <w:pPr>
                    <w:widowControl/>
                    <w:jc w:val="center"/>
                    <w:textAlignment w:val="center"/>
                    <w:rPr>
                      <w:rFonts w:hint="default" w:eastAsia="宋体"/>
                      <w:kern w:val="0"/>
                      <w:sz w:val="20"/>
                      <w:szCs w:val="20"/>
                      <w:lang w:val="en-US" w:eastAsia="zh-CN" w:bidi="ar"/>
                    </w:rPr>
                  </w:pPr>
                  <w:r>
                    <w:rPr>
                      <w:rFonts w:hint="eastAsia"/>
                      <w:kern w:val="0"/>
                      <w:sz w:val="20"/>
                      <w:szCs w:val="20"/>
                      <w:lang w:val="en-US" w:eastAsia="zh-CN" w:bidi="ar"/>
                    </w:rPr>
                    <w:t>0.081</w:t>
                  </w:r>
                </w:p>
              </w:tc>
              <w:tc>
                <w:tcPr>
                  <w:tcW w:w="1416" w:type="dxa"/>
                  <w:noWrap w:val="0"/>
                  <w:vAlign w:val="center"/>
                </w:tcPr>
                <w:p>
                  <w:pPr>
                    <w:widowControl/>
                    <w:jc w:val="center"/>
                    <w:textAlignment w:val="center"/>
                    <w:rPr>
                      <w:rFonts w:hint="default" w:eastAsia="宋体"/>
                      <w:bCs/>
                      <w:sz w:val="20"/>
                      <w:szCs w:val="20"/>
                      <w:lang w:val="en-US" w:eastAsia="zh-CN"/>
                    </w:rPr>
                  </w:pPr>
                  <w:r>
                    <w:rPr>
                      <w:rFonts w:hint="eastAsia"/>
                      <w:bCs/>
                      <w:sz w:val="20"/>
                      <w:szCs w:val="20"/>
                      <w:lang w:val="en-US" w:eastAsia="zh-CN"/>
                    </w:rPr>
                    <w:t>0.011</w:t>
                  </w:r>
                </w:p>
              </w:tc>
              <w:tc>
                <w:tcPr>
                  <w:tcW w:w="1472" w:type="dxa"/>
                  <w:noWrap w:val="0"/>
                  <w:vAlign w:val="center"/>
                </w:tcPr>
                <w:p>
                  <w:pPr>
                    <w:widowControl/>
                    <w:jc w:val="center"/>
                    <w:textAlignment w:val="center"/>
                    <w:rPr>
                      <w:rFonts w:hint="default"/>
                      <w:kern w:val="0"/>
                      <w:sz w:val="20"/>
                      <w:szCs w:val="20"/>
                      <w:lang w:val="en-US" w:bidi="ar"/>
                    </w:rPr>
                  </w:pPr>
                  <w:r>
                    <w:rPr>
                      <w:rFonts w:hint="eastAsia"/>
                      <w:kern w:val="0"/>
                      <w:sz w:val="20"/>
                      <w:szCs w:val="20"/>
                      <w:lang w:val="en-US" w:eastAsia="zh-CN" w:bidi="ar"/>
                    </w:rPr>
                    <w:t>0.081</w:t>
                  </w:r>
                </w:p>
              </w:tc>
              <w:tc>
                <w:tcPr>
                  <w:tcW w:w="1436" w:type="dxa"/>
                  <w:noWrap w:val="0"/>
                  <w:vAlign w:val="center"/>
                </w:tcPr>
                <w:p>
                  <w:pPr>
                    <w:widowControl/>
                    <w:jc w:val="center"/>
                    <w:textAlignment w:val="center"/>
                    <w:rPr>
                      <w:rFonts w:hint="default"/>
                      <w:bCs/>
                      <w:sz w:val="20"/>
                      <w:szCs w:val="20"/>
                      <w:lang w:val="en-US"/>
                    </w:rPr>
                  </w:pPr>
                  <w:r>
                    <w:rPr>
                      <w:rFonts w:hint="eastAsia"/>
                      <w:bCs/>
                      <w:sz w:val="20"/>
                      <w:szCs w:val="20"/>
                      <w:lang w:val="en-US" w:eastAsia="zh-CN"/>
                    </w:rPr>
                    <w:t>0.011</w:t>
                  </w:r>
                </w:p>
              </w:tc>
              <w:tc>
                <w:tcPr>
                  <w:tcW w:w="952" w:type="dxa"/>
                  <w:vMerge w:val="continue"/>
                  <w:noWrap w:val="0"/>
                  <w:vAlign w:val="center"/>
                </w:tcPr>
                <w:p>
                  <w:pPr>
                    <w:jc w:val="center"/>
                    <w:rPr>
                      <w:rFonts w:hint="eastAsia"/>
                      <w:bCs/>
                      <w:sz w:val="20"/>
                      <w:szCs w:val="20"/>
                    </w:rPr>
                  </w:pPr>
                </w:p>
              </w:tc>
              <w:tc>
                <w:tcPr>
                  <w:tcW w:w="841" w:type="dxa"/>
                  <w:vMerge w:val="continue"/>
                  <w:noWrap w:val="0"/>
                  <w:vAlign w:val="center"/>
                </w:tcPr>
                <w:p>
                  <w:pPr>
                    <w:jc w:val="center"/>
                    <w:rPr>
                      <w:rFonts w:hint="eastAsia"/>
                      <w:bCs/>
                      <w:sz w:val="20"/>
                      <w:szCs w:val="20"/>
                    </w:rPr>
                  </w:pPr>
                </w:p>
              </w:tc>
              <w:tc>
                <w:tcPr>
                  <w:tcW w:w="841" w:type="dxa"/>
                  <w:vMerge w:val="continue"/>
                  <w:noWrap w:val="0"/>
                  <w:vAlign w:val="center"/>
                </w:tcPr>
                <w:p>
                  <w:pPr>
                    <w:jc w:val="center"/>
                    <w:rPr>
                      <w:rFonts w:hint="eastAsia"/>
                      <w:bCs/>
                      <w:sz w:val="20"/>
                      <w:szCs w:val="20"/>
                    </w:rPr>
                  </w:pPr>
                </w:p>
              </w:tc>
              <w:tc>
                <w:tcPr>
                  <w:tcW w:w="893" w:type="dxa"/>
                  <w:vMerge w:val="continue"/>
                  <w:noWrap w:val="0"/>
                  <w:vAlign w:val="center"/>
                </w:tcPr>
                <w:p>
                  <w:pPr>
                    <w:jc w:val="center"/>
                    <w:rPr>
                      <w:rFonts w:hint="eastAsia"/>
                      <w:bCs/>
                      <w:sz w:val="20"/>
                      <w:szCs w:val="20"/>
                    </w:rPr>
                  </w:pPr>
                </w:p>
              </w:tc>
            </w:tr>
          </w:tbl>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非正常排放指生产中开停车（工、炉）、设备检修、工艺设备运转异常等非正常工况下的污染物排放，以及污染排放控制措施达不到应有效率等情况下的排放，对周边环境保护目标造成影响。本次考虑</w:t>
            </w:r>
            <w:r>
              <w:rPr>
                <w:rFonts w:hint="eastAsia"/>
                <w:kern w:val="0"/>
                <w:sz w:val="21"/>
              </w:rPr>
              <w:t>水喷淋和静电除尘装置失效对颗粒物、非甲烷总烃的处理效率降为0%，多管旋风除尘和布袋除尘器失效对颗粒物的处理效率降为0%，低氮燃烧装置和SNCR脱硝装置失效对NOx的处理效率降为0%</w:t>
            </w:r>
            <w:r>
              <w:rPr>
                <w:rFonts w:hint="eastAsia"/>
                <w:color w:val="auto"/>
                <w:kern w:val="0"/>
                <w:szCs w:val="21"/>
              </w:rPr>
              <w:t>，一旦装置出现故障，应立即停产直至恢复正常。非正常排放</w:t>
            </w:r>
            <w:r>
              <w:rPr>
                <w:color w:val="auto"/>
                <w:kern w:val="0"/>
                <w:szCs w:val="21"/>
              </w:rPr>
              <w:t>污染源强见</w:t>
            </w:r>
            <w:r>
              <w:rPr>
                <w:rFonts w:hint="eastAsia"/>
                <w:color w:val="auto"/>
                <w:kern w:val="0"/>
                <w:szCs w:val="21"/>
              </w:rPr>
              <w:t>下表</w:t>
            </w:r>
            <w:r>
              <w:rPr>
                <w:color w:val="auto"/>
                <w:kern w:val="0"/>
                <w:szCs w:val="21"/>
              </w:rPr>
              <w:t>。</w:t>
            </w:r>
          </w:p>
          <w:p>
            <w:pPr>
              <w:pStyle w:val="180"/>
              <w:spacing w:line="400" w:lineRule="exact"/>
              <w:ind w:firstLine="480"/>
              <w:rPr>
                <w:rFonts w:hint="eastAsia" w:eastAsia="宋体"/>
                <w:b/>
                <w:bCs/>
                <w:color w:val="auto"/>
                <w:lang w:eastAsia="zh-CN"/>
              </w:rPr>
            </w:pPr>
            <w:r>
              <w:rPr>
                <w:b/>
                <w:bCs/>
                <w:color w:val="auto"/>
              </w:rPr>
              <w:t>表4-</w:t>
            </w:r>
            <w:r>
              <w:rPr>
                <w:rFonts w:hint="eastAsia"/>
                <w:b/>
                <w:bCs/>
                <w:color w:val="auto"/>
                <w:lang w:val="en-US" w:eastAsia="zh-CN"/>
              </w:rPr>
              <w:t>5</w:t>
            </w:r>
            <w:r>
              <w:rPr>
                <w:b/>
                <w:bCs/>
                <w:color w:val="auto"/>
              </w:rPr>
              <w:t xml:space="preserve">  非正常工况有组织废气污染源强</w:t>
            </w:r>
          </w:p>
          <w:tbl>
            <w:tblPr>
              <w:tblStyle w:val="91"/>
              <w:tblW w:w="497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288"/>
              <w:gridCol w:w="1143"/>
              <w:gridCol w:w="1303"/>
              <w:gridCol w:w="1487"/>
              <w:gridCol w:w="1647"/>
              <w:gridCol w:w="1286"/>
              <w:gridCol w:w="30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pct"/>
                  <w:tcBorders>
                    <w:top w:val="single" w:color="auto" w:sz="12" w:space="0"/>
                    <w:left w:val="nil"/>
                    <w:bottom w:val="single" w:color="auto" w:sz="12" w:space="0"/>
                  </w:tcBorders>
                  <w:vAlign w:val="center"/>
                </w:tcPr>
                <w:p>
                  <w:pPr>
                    <w:jc w:val="center"/>
                    <w:rPr>
                      <w:b/>
                      <w:color w:val="auto"/>
                      <w:sz w:val="20"/>
                      <w:szCs w:val="20"/>
                    </w:rPr>
                  </w:pPr>
                  <w:r>
                    <w:rPr>
                      <w:b/>
                      <w:color w:val="auto"/>
                      <w:sz w:val="20"/>
                      <w:szCs w:val="20"/>
                    </w:rPr>
                    <w:t>污染源</w:t>
                  </w:r>
                </w:p>
              </w:tc>
              <w:tc>
                <w:tcPr>
                  <w:tcW w:w="527" w:type="pct"/>
                  <w:tcBorders>
                    <w:top w:val="single" w:color="auto" w:sz="12" w:space="0"/>
                    <w:bottom w:val="single" w:color="auto" w:sz="12" w:space="0"/>
                  </w:tcBorders>
                  <w:vAlign w:val="center"/>
                </w:tcPr>
                <w:p>
                  <w:pPr>
                    <w:jc w:val="center"/>
                    <w:rPr>
                      <w:b/>
                      <w:color w:val="auto"/>
                      <w:sz w:val="20"/>
                      <w:szCs w:val="20"/>
                    </w:rPr>
                  </w:pPr>
                  <w:r>
                    <w:rPr>
                      <w:b/>
                      <w:color w:val="auto"/>
                      <w:sz w:val="20"/>
                      <w:szCs w:val="20"/>
                    </w:rPr>
                    <w:t>污染物</w:t>
                  </w:r>
                </w:p>
              </w:tc>
              <w:tc>
                <w:tcPr>
                  <w:tcW w:w="468" w:type="pct"/>
                  <w:tcBorders>
                    <w:top w:val="single" w:color="auto" w:sz="12" w:space="0"/>
                    <w:bottom w:val="single" w:color="auto" w:sz="12" w:space="0"/>
                  </w:tcBorders>
                  <w:vAlign w:val="center"/>
                </w:tcPr>
                <w:p>
                  <w:pPr>
                    <w:jc w:val="center"/>
                    <w:rPr>
                      <w:b/>
                      <w:color w:val="auto"/>
                      <w:sz w:val="20"/>
                      <w:szCs w:val="20"/>
                    </w:rPr>
                  </w:pPr>
                  <w:r>
                    <w:rPr>
                      <w:b/>
                      <w:color w:val="auto"/>
                      <w:sz w:val="20"/>
                      <w:szCs w:val="20"/>
                    </w:rPr>
                    <w:t>年发生频次（次）</w:t>
                  </w:r>
                </w:p>
              </w:tc>
              <w:tc>
                <w:tcPr>
                  <w:tcW w:w="533" w:type="pct"/>
                  <w:tcBorders>
                    <w:top w:val="single" w:color="auto" w:sz="12" w:space="0"/>
                    <w:bottom w:val="single" w:color="auto" w:sz="12" w:space="0"/>
                  </w:tcBorders>
                  <w:vAlign w:val="center"/>
                </w:tcPr>
                <w:p>
                  <w:pPr>
                    <w:jc w:val="center"/>
                    <w:rPr>
                      <w:b/>
                      <w:color w:val="auto"/>
                      <w:sz w:val="20"/>
                      <w:szCs w:val="20"/>
                    </w:rPr>
                  </w:pPr>
                  <w:r>
                    <w:rPr>
                      <w:b/>
                      <w:color w:val="auto"/>
                      <w:sz w:val="20"/>
                      <w:szCs w:val="20"/>
                    </w:rPr>
                    <w:t>单次持续时间（h）</w:t>
                  </w:r>
                </w:p>
              </w:tc>
              <w:tc>
                <w:tcPr>
                  <w:tcW w:w="609" w:type="pct"/>
                  <w:tcBorders>
                    <w:top w:val="single" w:color="auto" w:sz="12" w:space="0"/>
                    <w:bottom w:val="single" w:color="auto" w:sz="12" w:space="0"/>
                  </w:tcBorders>
                  <w:vAlign w:val="center"/>
                </w:tcPr>
                <w:p>
                  <w:pPr>
                    <w:jc w:val="center"/>
                    <w:rPr>
                      <w:b/>
                      <w:color w:val="auto"/>
                      <w:sz w:val="20"/>
                      <w:szCs w:val="20"/>
                    </w:rPr>
                  </w:pPr>
                  <w:r>
                    <w:rPr>
                      <w:rFonts w:hint="eastAsia"/>
                      <w:b/>
                      <w:color w:val="auto"/>
                      <w:sz w:val="20"/>
                      <w:szCs w:val="20"/>
                    </w:rPr>
                    <w:t>单次</w:t>
                  </w:r>
                  <w:r>
                    <w:rPr>
                      <w:b/>
                      <w:color w:val="auto"/>
                      <w:sz w:val="20"/>
                      <w:szCs w:val="20"/>
                    </w:rPr>
                    <w:t>排放浓度（mg/m</w:t>
                  </w:r>
                  <w:r>
                    <w:rPr>
                      <w:b/>
                      <w:color w:val="auto"/>
                      <w:sz w:val="20"/>
                      <w:szCs w:val="20"/>
                      <w:vertAlign w:val="superscript"/>
                    </w:rPr>
                    <w:t>3</w:t>
                  </w:r>
                  <w:r>
                    <w:rPr>
                      <w:b/>
                      <w:color w:val="auto"/>
                      <w:sz w:val="20"/>
                      <w:szCs w:val="20"/>
                    </w:rPr>
                    <w:t>）</w:t>
                  </w:r>
                </w:p>
              </w:tc>
              <w:tc>
                <w:tcPr>
                  <w:tcW w:w="674" w:type="pct"/>
                  <w:tcBorders>
                    <w:top w:val="single" w:color="auto" w:sz="12" w:space="0"/>
                    <w:bottom w:val="single" w:color="auto" w:sz="12" w:space="0"/>
                  </w:tcBorders>
                  <w:vAlign w:val="center"/>
                </w:tcPr>
                <w:p>
                  <w:pPr>
                    <w:jc w:val="center"/>
                    <w:rPr>
                      <w:b/>
                      <w:color w:val="auto"/>
                      <w:sz w:val="20"/>
                      <w:szCs w:val="20"/>
                    </w:rPr>
                  </w:pPr>
                  <w:r>
                    <w:rPr>
                      <w:rFonts w:hint="eastAsia"/>
                      <w:b/>
                      <w:color w:val="auto"/>
                      <w:sz w:val="20"/>
                      <w:szCs w:val="20"/>
                    </w:rPr>
                    <w:t>单次</w:t>
                  </w:r>
                  <w:r>
                    <w:rPr>
                      <w:b/>
                      <w:color w:val="auto"/>
                      <w:sz w:val="20"/>
                      <w:szCs w:val="20"/>
                    </w:rPr>
                    <w:t>排放速率（kg/h）</w:t>
                  </w:r>
                </w:p>
              </w:tc>
              <w:tc>
                <w:tcPr>
                  <w:tcW w:w="526" w:type="pct"/>
                  <w:tcBorders>
                    <w:top w:val="single" w:color="auto" w:sz="12" w:space="0"/>
                    <w:bottom w:val="single" w:color="auto" w:sz="12" w:space="0"/>
                  </w:tcBorders>
                  <w:vAlign w:val="center"/>
                </w:tcPr>
                <w:p>
                  <w:pPr>
                    <w:jc w:val="center"/>
                    <w:rPr>
                      <w:b/>
                      <w:color w:val="auto"/>
                      <w:sz w:val="20"/>
                      <w:szCs w:val="20"/>
                    </w:rPr>
                  </w:pPr>
                  <w:r>
                    <w:rPr>
                      <w:rFonts w:hint="eastAsia"/>
                      <w:b/>
                      <w:color w:val="auto"/>
                      <w:sz w:val="20"/>
                      <w:szCs w:val="20"/>
                    </w:rPr>
                    <w:t>单次</w:t>
                  </w:r>
                  <w:r>
                    <w:rPr>
                      <w:b/>
                      <w:color w:val="auto"/>
                      <w:sz w:val="20"/>
                      <w:szCs w:val="20"/>
                    </w:rPr>
                    <w:t>排放量（kg</w:t>
                  </w:r>
                  <w:r>
                    <w:rPr>
                      <w:rFonts w:hint="eastAsia"/>
                      <w:b/>
                      <w:color w:val="auto"/>
                      <w:sz w:val="20"/>
                      <w:szCs w:val="20"/>
                    </w:rPr>
                    <w:t>/次</w:t>
                  </w:r>
                  <w:r>
                    <w:rPr>
                      <w:b/>
                      <w:color w:val="auto"/>
                      <w:sz w:val="20"/>
                      <w:szCs w:val="20"/>
                    </w:rPr>
                    <w:t>）</w:t>
                  </w:r>
                </w:p>
              </w:tc>
              <w:tc>
                <w:tcPr>
                  <w:tcW w:w="1237" w:type="pct"/>
                  <w:tcBorders>
                    <w:top w:val="single" w:color="auto" w:sz="12" w:space="0"/>
                    <w:bottom w:val="single" w:color="auto" w:sz="12" w:space="0"/>
                    <w:right w:val="nil"/>
                  </w:tcBorders>
                  <w:vAlign w:val="center"/>
                </w:tcPr>
                <w:p>
                  <w:pPr>
                    <w:jc w:val="center"/>
                    <w:rPr>
                      <w:b/>
                      <w:color w:val="auto"/>
                      <w:sz w:val="20"/>
                      <w:szCs w:val="20"/>
                    </w:rPr>
                  </w:pPr>
                  <w:r>
                    <w:rPr>
                      <w:rFonts w:hint="eastAsia"/>
                      <w:b/>
                      <w:color w:val="auto"/>
                      <w:sz w:val="20"/>
                      <w:szCs w:val="20"/>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421" w:type="pct"/>
                  <w:vMerge w:val="restart"/>
                  <w:tcBorders>
                    <w:top w:val="single" w:color="auto" w:sz="12" w:space="0"/>
                    <w:left w:val="nil"/>
                  </w:tcBorders>
                  <w:vAlign w:val="center"/>
                </w:tcPr>
                <w:p>
                  <w:pPr>
                    <w:jc w:val="center"/>
                    <w:rPr>
                      <w:rFonts w:hint="default" w:eastAsia="宋体"/>
                      <w:color w:val="auto"/>
                      <w:sz w:val="20"/>
                      <w:szCs w:val="20"/>
                      <w:lang w:val="en-US" w:eastAsia="zh-CN"/>
                    </w:rPr>
                  </w:pPr>
                  <w:r>
                    <w:rPr>
                      <w:rFonts w:hint="eastAsia"/>
                      <w:color w:val="auto"/>
                      <w:sz w:val="20"/>
                      <w:szCs w:val="20"/>
                      <w:lang w:val="en-US" w:eastAsia="zh-CN"/>
                    </w:rPr>
                    <w:t>DA001</w:t>
                  </w:r>
                </w:p>
              </w:tc>
              <w:tc>
                <w:tcPr>
                  <w:tcW w:w="527" w:type="pct"/>
                  <w:tcBorders>
                    <w:top w:val="single" w:color="auto" w:sz="12" w:space="0"/>
                    <w:bottom w:val="single" w:color="auto" w:sz="4" w:space="0"/>
                  </w:tcBorders>
                  <w:vAlign w:val="center"/>
                </w:tcPr>
                <w:p>
                  <w:pPr>
                    <w:jc w:val="center"/>
                    <w:rPr>
                      <w:rFonts w:hint="eastAsia" w:eastAsia="宋体"/>
                      <w:color w:val="auto"/>
                      <w:sz w:val="20"/>
                      <w:szCs w:val="20"/>
                      <w:lang w:eastAsia="zh-CN"/>
                    </w:rPr>
                  </w:pPr>
                  <w:r>
                    <w:rPr>
                      <w:rFonts w:hint="eastAsia"/>
                      <w:color w:val="auto"/>
                      <w:sz w:val="20"/>
                      <w:szCs w:val="20"/>
                      <w:lang w:val="en-US" w:eastAsia="zh-CN"/>
                    </w:rPr>
                    <w:t>颗粒物</w:t>
                  </w:r>
                </w:p>
              </w:tc>
              <w:tc>
                <w:tcPr>
                  <w:tcW w:w="468" w:type="pct"/>
                  <w:tcBorders>
                    <w:top w:val="single" w:color="auto" w:sz="12" w:space="0"/>
                    <w:bottom w:val="single" w:color="auto" w:sz="4" w:space="0"/>
                  </w:tcBorders>
                  <w:vAlign w:val="center"/>
                </w:tcPr>
                <w:p>
                  <w:pPr>
                    <w:widowControl/>
                    <w:jc w:val="center"/>
                    <w:rPr>
                      <w:rFonts w:eastAsia="等线"/>
                      <w:color w:val="auto"/>
                      <w:sz w:val="20"/>
                      <w:szCs w:val="20"/>
                    </w:rPr>
                  </w:pPr>
                  <w:r>
                    <w:rPr>
                      <w:color w:val="auto"/>
                      <w:sz w:val="20"/>
                      <w:szCs w:val="20"/>
                    </w:rPr>
                    <w:t>1</w:t>
                  </w:r>
                  <w:r>
                    <w:rPr>
                      <w:rFonts w:hint="eastAsia"/>
                      <w:color w:val="auto"/>
                      <w:sz w:val="20"/>
                      <w:szCs w:val="20"/>
                    </w:rPr>
                    <w:t>~2</w:t>
                  </w:r>
                </w:p>
              </w:tc>
              <w:tc>
                <w:tcPr>
                  <w:tcW w:w="533" w:type="pct"/>
                  <w:tcBorders>
                    <w:top w:val="single" w:color="auto" w:sz="12" w:space="0"/>
                    <w:bottom w:val="single" w:color="auto" w:sz="4" w:space="0"/>
                  </w:tcBorders>
                  <w:vAlign w:val="center"/>
                </w:tcPr>
                <w:p>
                  <w:pPr>
                    <w:widowControl/>
                    <w:jc w:val="center"/>
                    <w:rPr>
                      <w:rFonts w:eastAsia="等线"/>
                      <w:color w:val="auto"/>
                      <w:sz w:val="20"/>
                      <w:szCs w:val="20"/>
                    </w:rPr>
                  </w:pPr>
                  <w:r>
                    <w:rPr>
                      <w:color w:val="auto"/>
                      <w:sz w:val="20"/>
                      <w:szCs w:val="20"/>
                    </w:rPr>
                    <w:t>0.5</w:t>
                  </w:r>
                </w:p>
              </w:tc>
              <w:tc>
                <w:tcPr>
                  <w:tcW w:w="609" w:type="pct"/>
                  <w:tcBorders>
                    <w:top w:val="single" w:color="auto" w:sz="12" w:space="0"/>
                    <w:bottom w:val="single" w:color="auto" w:sz="4" w:space="0"/>
                  </w:tcBorders>
                  <w:shd w:val="clear" w:color="auto" w:fill="auto"/>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eastAsia="宋体"/>
                      <w:kern w:val="0"/>
                      <w:sz w:val="20"/>
                      <w:szCs w:val="20"/>
                      <w:lang w:val="en-US" w:eastAsia="zh-CN" w:bidi="ar"/>
                    </w:rPr>
                    <w:t>45.8</w:t>
                  </w:r>
                </w:p>
              </w:tc>
              <w:tc>
                <w:tcPr>
                  <w:tcW w:w="674" w:type="pct"/>
                  <w:tcBorders>
                    <w:top w:val="single" w:color="auto" w:sz="12" w:space="0"/>
                    <w:bottom w:val="single" w:color="auto" w:sz="4" w:space="0"/>
                  </w:tcBorders>
                  <w:shd w:val="clear" w:color="auto" w:fill="auto"/>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eastAsia="宋体"/>
                      <w:kern w:val="0"/>
                      <w:sz w:val="20"/>
                      <w:szCs w:val="20"/>
                      <w:lang w:val="en-US" w:eastAsia="zh-CN" w:bidi="ar"/>
                    </w:rPr>
                    <w:t>1.1</w:t>
                  </w:r>
                </w:p>
              </w:tc>
              <w:tc>
                <w:tcPr>
                  <w:tcW w:w="526" w:type="pct"/>
                  <w:tcBorders>
                    <w:top w:val="single" w:color="auto" w:sz="12" w:space="0"/>
                    <w:bottom w:val="single" w:color="auto" w:sz="4" w:space="0"/>
                  </w:tcBorders>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eastAsia="宋体"/>
                      <w:kern w:val="0"/>
                      <w:sz w:val="20"/>
                      <w:szCs w:val="20"/>
                      <w:lang w:val="en-US" w:eastAsia="zh-CN" w:bidi="ar"/>
                    </w:rPr>
                    <w:t>0.55</w:t>
                  </w:r>
                </w:p>
              </w:tc>
              <w:tc>
                <w:tcPr>
                  <w:tcW w:w="1237" w:type="pct"/>
                  <w:vMerge w:val="restart"/>
                  <w:tcBorders>
                    <w:top w:val="single" w:color="auto" w:sz="12" w:space="0"/>
                    <w:right w:val="nil"/>
                  </w:tcBorders>
                  <w:vAlign w:val="center"/>
                </w:tcPr>
                <w:p>
                  <w:pPr>
                    <w:jc w:val="center"/>
                    <w:rPr>
                      <w:color w:val="auto"/>
                      <w:sz w:val="20"/>
                      <w:szCs w:val="20"/>
                    </w:rPr>
                  </w:pPr>
                  <w:r>
                    <w:rPr>
                      <w:rFonts w:hint="eastAsia"/>
                      <w:color w:val="auto"/>
                      <w:sz w:val="20"/>
                      <w:szCs w:val="20"/>
                    </w:rPr>
                    <w:t>制定环保管理制度，有专职环保人员每天定期巡查，做好废气处理设施台账记录，厂区配套监控系统等，加强对废气处理装置的定期检查维护。若发生非正常排放情况，应立即停止生产，待设备恢复正常后方可继续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pPr>
                    <w:pStyle w:val="575"/>
                    <w:spacing w:after="0"/>
                    <w:rPr>
                      <w:sz w:val="21"/>
                      <w:szCs w:val="22"/>
                    </w:rPr>
                  </w:pPr>
                </w:p>
              </w:tc>
              <w:tc>
                <w:tcPr>
                  <w:tcW w:w="527" w:type="pct"/>
                  <w:vAlign w:val="center"/>
                </w:tcPr>
                <w:p>
                  <w:pPr>
                    <w:pStyle w:val="575"/>
                    <w:spacing w:after="0"/>
                    <w:rPr>
                      <w:rFonts w:hint="eastAsia" w:eastAsia="宋体"/>
                      <w:color w:val="auto"/>
                      <w:sz w:val="20"/>
                      <w:szCs w:val="20"/>
                      <w:lang w:val="en-US" w:eastAsia="zh-CN"/>
                    </w:rPr>
                  </w:pPr>
                  <w:r>
                    <w:rPr>
                      <w:rFonts w:hint="eastAsia"/>
                      <w:color w:val="auto"/>
                      <w:sz w:val="20"/>
                      <w:szCs w:val="20"/>
                      <w:lang w:val="en-US" w:eastAsia="zh-CN"/>
                    </w:rPr>
                    <w:t>非甲烷总烃</w:t>
                  </w:r>
                </w:p>
              </w:tc>
              <w:tc>
                <w:tcPr>
                  <w:tcW w:w="468" w:type="pct"/>
                  <w:vAlign w:val="center"/>
                </w:tcPr>
                <w:p>
                  <w:pPr>
                    <w:widowControl/>
                    <w:jc w:val="center"/>
                    <w:rPr>
                      <w:rFonts w:hint="eastAsia"/>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rFonts w:hint="eastAsia"/>
                      <w:color w:val="auto"/>
                      <w:sz w:val="20"/>
                      <w:szCs w:val="20"/>
                    </w:rPr>
                  </w:pPr>
                  <w:r>
                    <w:rPr>
                      <w:color w:val="auto"/>
                      <w:sz w:val="20"/>
                      <w:szCs w:val="20"/>
                    </w:rPr>
                    <w:t>0.5</w:t>
                  </w:r>
                </w:p>
              </w:tc>
              <w:tc>
                <w:tcPr>
                  <w:tcW w:w="609" w:type="pct"/>
                  <w:shd w:val="clear" w:color="auto" w:fill="auto"/>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9.375</w:t>
                  </w:r>
                </w:p>
              </w:tc>
              <w:tc>
                <w:tcPr>
                  <w:tcW w:w="674" w:type="pct"/>
                  <w:shd w:val="clear" w:color="auto" w:fill="auto"/>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0.225</w:t>
                  </w:r>
                </w:p>
              </w:tc>
              <w:tc>
                <w:tcPr>
                  <w:tcW w:w="526" w:type="pct"/>
                  <w:vAlign w:val="center"/>
                </w:tcPr>
                <w:p>
                  <w:pPr>
                    <w:keepNext w:val="0"/>
                    <w:keepLines w:val="0"/>
                    <w:widowControl/>
                    <w:suppressLineNumbers w:val="0"/>
                    <w:jc w:val="center"/>
                    <w:textAlignment w:val="center"/>
                    <w:rPr>
                      <w:rFonts w:hint="default" w:eastAsia="宋体"/>
                      <w:kern w:val="0"/>
                      <w:sz w:val="20"/>
                      <w:szCs w:val="20"/>
                      <w:lang w:val="en-US" w:eastAsia="zh-CN" w:bidi="ar"/>
                    </w:rPr>
                  </w:pPr>
                  <w:r>
                    <w:rPr>
                      <w:rFonts w:hint="eastAsia"/>
                      <w:kern w:val="0"/>
                      <w:sz w:val="20"/>
                      <w:szCs w:val="20"/>
                      <w:lang w:val="en-US" w:eastAsia="zh-CN" w:bidi="ar"/>
                    </w:rPr>
                    <w:t>0.113</w:t>
                  </w:r>
                </w:p>
              </w:tc>
              <w:tc>
                <w:tcPr>
                  <w:tcW w:w="1237" w:type="pct"/>
                  <w:vMerge w:val="continue"/>
                  <w:tcBorders>
                    <w:right w:val="nil"/>
                  </w:tcBorders>
                  <w:vAlign w:val="center"/>
                </w:tcPr>
                <w:p>
                  <w:pPr>
                    <w:pStyle w:val="575"/>
                    <w:spacing w:after="0"/>
                    <w:rPr>
                      <w:rFonts w:hint="eastAsia"/>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421" w:type="pct"/>
                  <w:vMerge w:val="restart"/>
                  <w:tcBorders>
                    <w:left w:val="nil"/>
                  </w:tcBorders>
                  <w:vAlign w:val="center"/>
                </w:tcPr>
                <w:p>
                  <w:pPr>
                    <w:jc w:val="center"/>
                    <w:rPr>
                      <w:rFonts w:hint="default" w:eastAsia="宋体"/>
                      <w:color w:val="auto"/>
                      <w:sz w:val="20"/>
                      <w:szCs w:val="20"/>
                      <w:lang w:val="en-US" w:eastAsia="zh-CN"/>
                    </w:rPr>
                  </w:pPr>
                  <w:r>
                    <w:rPr>
                      <w:rFonts w:hint="eastAsia"/>
                      <w:color w:val="auto"/>
                      <w:sz w:val="20"/>
                      <w:szCs w:val="20"/>
                      <w:lang w:val="en-US" w:eastAsia="zh-CN"/>
                    </w:rPr>
                    <w:t>DA002</w:t>
                  </w:r>
                </w:p>
              </w:tc>
              <w:tc>
                <w:tcPr>
                  <w:tcW w:w="527" w:type="pct"/>
                  <w:vAlign w:val="center"/>
                </w:tcPr>
                <w:p>
                  <w:pPr>
                    <w:widowControl/>
                    <w:jc w:val="center"/>
                    <w:rPr>
                      <w:rFonts w:hint="eastAsia" w:ascii="Times New Roman" w:hAnsi="Times New Roman" w:eastAsia="宋体" w:cs="Times New Roman"/>
                      <w:color w:val="auto"/>
                      <w:sz w:val="20"/>
                      <w:szCs w:val="20"/>
                    </w:rPr>
                  </w:pPr>
                  <w:r>
                    <w:rPr>
                      <w:rFonts w:ascii="Times New Roman" w:hAnsi="Times New Roman" w:eastAsia="宋体" w:cs="Times New Roman"/>
                      <w:color w:val="auto"/>
                      <w:sz w:val="20"/>
                      <w:szCs w:val="20"/>
                    </w:rPr>
                    <w:t>颗粒物</w:t>
                  </w:r>
                </w:p>
              </w:tc>
              <w:tc>
                <w:tcPr>
                  <w:tcW w:w="468" w:type="pct"/>
                  <w:vAlign w:val="center"/>
                </w:tcPr>
                <w:p>
                  <w:pPr>
                    <w:widowControl/>
                    <w:jc w:val="center"/>
                    <w:rPr>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color w:val="auto"/>
                      <w:sz w:val="20"/>
                      <w:szCs w:val="20"/>
                    </w:rPr>
                  </w:pPr>
                  <w:r>
                    <w:rPr>
                      <w:color w:val="auto"/>
                      <w:sz w:val="20"/>
                      <w:szCs w:val="20"/>
                    </w:rPr>
                    <w:t>0.5</w:t>
                  </w:r>
                </w:p>
              </w:tc>
              <w:tc>
                <w:tcPr>
                  <w:tcW w:w="609"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69.29</w:t>
                  </w:r>
                </w:p>
              </w:tc>
              <w:tc>
                <w:tcPr>
                  <w:tcW w:w="674"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kern w:val="0"/>
                      <w:sz w:val="20"/>
                      <w:szCs w:val="20"/>
                      <w:lang w:val="en-US" w:eastAsia="zh-CN" w:bidi="ar"/>
                    </w:rPr>
                    <w:t>0.485</w:t>
                  </w:r>
                </w:p>
              </w:tc>
              <w:tc>
                <w:tcPr>
                  <w:tcW w:w="526" w:type="pct"/>
                  <w:vAlign w:val="center"/>
                </w:tcPr>
                <w:p>
                  <w:pPr>
                    <w:keepNext w:val="0"/>
                    <w:keepLines w:val="0"/>
                    <w:widowControl/>
                    <w:suppressLineNumbers w:val="0"/>
                    <w:jc w:val="center"/>
                    <w:textAlignment w:val="center"/>
                    <w:rPr>
                      <w:rFonts w:hint="default"/>
                      <w:color w:val="auto"/>
                      <w:sz w:val="20"/>
                      <w:szCs w:val="20"/>
                      <w:lang w:val="en-US" w:eastAsia="zh-CN"/>
                    </w:rPr>
                  </w:pPr>
                  <w:r>
                    <w:rPr>
                      <w:rFonts w:hint="eastAsia"/>
                      <w:kern w:val="0"/>
                      <w:sz w:val="20"/>
                      <w:szCs w:val="20"/>
                      <w:lang w:val="en-US" w:eastAsia="zh-CN" w:bidi="ar"/>
                    </w:rPr>
                    <w:t>0.242</w:t>
                  </w:r>
                </w:p>
              </w:tc>
              <w:tc>
                <w:tcPr>
                  <w:tcW w:w="1237" w:type="pct"/>
                  <w:vMerge w:val="continue"/>
                  <w:tcBorders>
                    <w:right w:val="nil"/>
                  </w:tcBorders>
                  <w:vAlign w:val="center"/>
                </w:tcPr>
                <w:p>
                  <w:pPr>
                    <w:jc w:val="center"/>
                    <w:rPr>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pPr>
                    <w:pStyle w:val="575"/>
                    <w:spacing w:after="0"/>
                    <w:rPr>
                      <w:sz w:val="21"/>
                      <w:szCs w:val="22"/>
                    </w:rPr>
                  </w:pPr>
                </w:p>
              </w:tc>
              <w:tc>
                <w:tcPr>
                  <w:tcW w:w="527" w:type="pct"/>
                  <w:vAlign w:val="center"/>
                </w:tcPr>
                <w:p>
                  <w:pPr>
                    <w:widowControl/>
                    <w:jc w:val="center"/>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SO</w:t>
                  </w:r>
                  <w:r>
                    <w:rPr>
                      <w:rFonts w:hint="eastAsia" w:ascii="Times New Roman" w:hAnsi="Times New Roman" w:eastAsia="宋体" w:cs="Times New Roman"/>
                      <w:color w:val="auto"/>
                      <w:sz w:val="20"/>
                      <w:szCs w:val="20"/>
                      <w:vertAlign w:val="subscript"/>
                      <w:lang w:val="en-US" w:eastAsia="zh-CN"/>
                    </w:rPr>
                    <w:t>2</w:t>
                  </w:r>
                </w:p>
              </w:tc>
              <w:tc>
                <w:tcPr>
                  <w:tcW w:w="468" w:type="pct"/>
                  <w:vAlign w:val="center"/>
                </w:tcPr>
                <w:p>
                  <w:pPr>
                    <w:widowControl/>
                    <w:jc w:val="center"/>
                    <w:rPr>
                      <w:rFonts w:hint="eastAsia"/>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rFonts w:hint="eastAsia"/>
                      <w:color w:val="auto"/>
                      <w:sz w:val="20"/>
                      <w:szCs w:val="20"/>
                    </w:rPr>
                  </w:pPr>
                  <w:r>
                    <w:rPr>
                      <w:color w:val="auto"/>
                      <w:sz w:val="20"/>
                      <w:szCs w:val="20"/>
                    </w:rPr>
                    <w:t>0.5</w:t>
                  </w:r>
                </w:p>
              </w:tc>
              <w:tc>
                <w:tcPr>
                  <w:tcW w:w="609"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47.14</w:t>
                  </w:r>
                </w:p>
              </w:tc>
              <w:tc>
                <w:tcPr>
                  <w:tcW w:w="674"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kern w:val="0"/>
                      <w:sz w:val="20"/>
                      <w:szCs w:val="20"/>
                      <w:lang w:val="en-US" w:eastAsia="zh-CN" w:bidi="ar"/>
                    </w:rPr>
                    <w:t>0.33</w:t>
                  </w:r>
                </w:p>
              </w:tc>
              <w:tc>
                <w:tcPr>
                  <w:tcW w:w="526" w:type="pct"/>
                  <w:vAlign w:val="center"/>
                </w:tcPr>
                <w:p>
                  <w:pPr>
                    <w:keepNext w:val="0"/>
                    <w:keepLines w:val="0"/>
                    <w:widowControl/>
                    <w:suppressLineNumbers w:val="0"/>
                    <w:jc w:val="center"/>
                    <w:textAlignment w:val="center"/>
                    <w:rPr>
                      <w:rFonts w:hint="default" w:eastAsia="宋体"/>
                      <w:color w:val="auto"/>
                      <w:sz w:val="20"/>
                      <w:szCs w:val="20"/>
                      <w:lang w:val="en-US" w:eastAsia="zh-CN"/>
                    </w:rPr>
                  </w:pPr>
                  <w:r>
                    <w:rPr>
                      <w:rFonts w:hint="eastAsia"/>
                      <w:kern w:val="0"/>
                      <w:sz w:val="20"/>
                      <w:szCs w:val="20"/>
                      <w:lang w:val="en-US" w:eastAsia="zh-CN" w:bidi="ar"/>
                    </w:rPr>
                    <w:t>0.165</w:t>
                  </w:r>
                </w:p>
              </w:tc>
              <w:tc>
                <w:tcPr>
                  <w:tcW w:w="1237" w:type="pct"/>
                  <w:vMerge w:val="continue"/>
                  <w:tcBorders>
                    <w:right w:val="nil"/>
                  </w:tcBorders>
                  <w:vAlign w:val="center"/>
                </w:tcPr>
                <w:p>
                  <w:pPr>
                    <w:pStyle w:val="575"/>
                    <w:spacing w:after="0"/>
                    <w:rPr>
                      <w:rFonts w:hint="eastAsia"/>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pPr>
                    <w:pStyle w:val="575"/>
                    <w:spacing w:after="0"/>
                    <w:rPr>
                      <w:rFonts w:hint="eastAsia"/>
                      <w:color w:val="auto"/>
                      <w:sz w:val="20"/>
                      <w:szCs w:val="20"/>
                    </w:rPr>
                  </w:pPr>
                </w:p>
              </w:tc>
              <w:tc>
                <w:tcPr>
                  <w:tcW w:w="527" w:type="pct"/>
                  <w:vAlign w:val="center"/>
                </w:tcPr>
                <w:p>
                  <w:pPr>
                    <w:widowControl/>
                    <w:jc w:val="center"/>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NO</w:t>
                  </w:r>
                  <w:r>
                    <w:rPr>
                      <w:rFonts w:hint="eastAsia" w:ascii="Times New Roman" w:hAnsi="Times New Roman" w:eastAsia="宋体" w:cs="Times New Roman"/>
                      <w:color w:val="auto"/>
                      <w:sz w:val="20"/>
                      <w:szCs w:val="20"/>
                      <w:vertAlign w:val="subscript"/>
                      <w:lang w:val="en-US" w:eastAsia="zh-CN"/>
                    </w:rPr>
                    <w:t>x</w:t>
                  </w:r>
                </w:p>
              </w:tc>
              <w:tc>
                <w:tcPr>
                  <w:tcW w:w="468" w:type="pct"/>
                  <w:vAlign w:val="center"/>
                </w:tcPr>
                <w:p>
                  <w:pPr>
                    <w:widowControl/>
                    <w:jc w:val="center"/>
                    <w:rPr>
                      <w:rFonts w:hint="eastAsia"/>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rFonts w:hint="eastAsia"/>
                      <w:color w:val="auto"/>
                      <w:sz w:val="20"/>
                      <w:szCs w:val="20"/>
                    </w:rPr>
                  </w:pPr>
                  <w:r>
                    <w:rPr>
                      <w:color w:val="auto"/>
                      <w:sz w:val="20"/>
                      <w:szCs w:val="20"/>
                    </w:rPr>
                    <w:t>0.5</w:t>
                  </w:r>
                </w:p>
              </w:tc>
              <w:tc>
                <w:tcPr>
                  <w:tcW w:w="1487"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98.61</w:t>
                  </w:r>
                </w:p>
              </w:tc>
              <w:tc>
                <w:tcPr>
                  <w:tcW w:w="1647"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kern w:val="0"/>
                      <w:sz w:val="20"/>
                      <w:szCs w:val="20"/>
                      <w:lang w:val="en-US" w:eastAsia="zh-CN" w:bidi="ar"/>
                    </w:rPr>
                    <w:t>0.69</w:t>
                  </w:r>
                </w:p>
              </w:tc>
              <w:tc>
                <w:tcPr>
                  <w:tcW w:w="526" w:type="pct"/>
                  <w:vAlign w:val="center"/>
                </w:tcPr>
                <w:p>
                  <w:pPr>
                    <w:keepNext w:val="0"/>
                    <w:keepLines w:val="0"/>
                    <w:widowControl/>
                    <w:suppressLineNumbers w:val="0"/>
                    <w:jc w:val="center"/>
                    <w:textAlignment w:val="center"/>
                    <w:rPr>
                      <w:rFonts w:hint="default" w:eastAsia="宋体"/>
                      <w:color w:val="auto"/>
                      <w:sz w:val="20"/>
                      <w:szCs w:val="20"/>
                      <w:lang w:val="en-US" w:eastAsia="zh-CN"/>
                    </w:rPr>
                  </w:pPr>
                  <w:r>
                    <w:rPr>
                      <w:rFonts w:hint="eastAsia"/>
                      <w:kern w:val="0"/>
                      <w:sz w:val="20"/>
                      <w:szCs w:val="20"/>
                      <w:lang w:val="en-US" w:eastAsia="zh-CN" w:bidi="ar"/>
                    </w:rPr>
                    <w:t>0.35</w:t>
                  </w:r>
                </w:p>
              </w:tc>
              <w:tc>
                <w:tcPr>
                  <w:tcW w:w="1237" w:type="pct"/>
                  <w:vMerge w:val="continue"/>
                  <w:tcBorders>
                    <w:right w:val="nil"/>
                  </w:tcBorders>
                  <w:vAlign w:val="center"/>
                </w:tcPr>
                <w:p>
                  <w:pPr>
                    <w:pStyle w:val="575"/>
                    <w:spacing w:after="0"/>
                    <w:rPr>
                      <w:rFonts w:hint="eastAsia"/>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pPr>
                    <w:pStyle w:val="575"/>
                    <w:spacing w:after="0"/>
                    <w:rPr>
                      <w:rFonts w:hint="eastAsia"/>
                      <w:color w:val="auto"/>
                      <w:sz w:val="20"/>
                      <w:szCs w:val="20"/>
                    </w:rPr>
                  </w:pPr>
                </w:p>
              </w:tc>
              <w:tc>
                <w:tcPr>
                  <w:tcW w:w="527" w:type="pct"/>
                  <w:vAlign w:val="center"/>
                </w:tcPr>
                <w:p>
                  <w:pPr>
                    <w:widowControl/>
                    <w:jc w:val="center"/>
                    <w:rPr>
                      <w:rFonts w:hint="eastAsia"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lang w:val="en-US" w:eastAsia="zh-CN"/>
                    </w:rPr>
                    <w:t>汞及其化合物</w:t>
                  </w:r>
                </w:p>
              </w:tc>
              <w:tc>
                <w:tcPr>
                  <w:tcW w:w="468" w:type="pct"/>
                  <w:vAlign w:val="center"/>
                </w:tcPr>
                <w:p>
                  <w:pPr>
                    <w:widowControl/>
                    <w:jc w:val="center"/>
                    <w:rPr>
                      <w:rFonts w:hint="eastAsia"/>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rFonts w:hint="eastAsia"/>
                      <w:color w:val="auto"/>
                      <w:sz w:val="20"/>
                      <w:szCs w:val="20"/>
                    </w:rPr>
                  </w:pPr>
                  <w:r>
                    <w:rPr>
                      <w:color w:val="auto"/>
                      <w:sz w:val="20"/>
                      <w:szCs w:val="20"/>
                    </w:rPr>
                    <w:t>0.5</w:t>
                  </w:r>
                </w:p>
              </w:tc>
              <w:tc>
                <w:tcPr>
                  <w:tcW w:w="609" w:type="pct"/>
                  <w:vAlign w:val="center"/>
                </w:tcPr>
                <w:p>
                  <w:pPr>
                    <w:keepNext w:val="0"/>
                    <w:keepLines w:val="0"/>
                    <w:widowControl/>
                    <w:suppressLineNumbers w:val="0"/>
                    <w:jc w:val="center"/>
                    <w:textAlignment w:val="center"/>
                    <w:rPr>
                      <w:rFonts w:hint="eastAsia"/>
                      <w:color w:val="auto"/>
                      <w:sz w:val="20"/>
                      <w:szCs w:val="20"/>
                    </w:rPr>
                  </w:pPr>
                  <w:r>
                    <w:rPr>
                      <w:rFonts w:hint="eastAsia" w:cs="Times New Roman"/>
                      <w:i w:val="0"/>
                      <w:iCs w:val="0"/>
                      <w:color w:val="000000"/>
                      <w:kern w:val="0"/>
                      <w:sz w:val="20"/>
                      <w:szCs w:val="20"/>
                      <w:u w:val="none"/>
                      <w:lang w:val="en-US" w:eastAsia="zh-CN" w:bidi="ar"/>
                    </w:rPr>
                    <w:t>0.028</w:t>
                  </w:r>
                </w:p>
              </w:tc>
              <w:tc>
                <w:tcPr>
                  <w:tcW w:w="674" w:type="pct"/>
                  <w:vAlign w:val="center"/>
                </w:tcPr>
                <w:p>
                  <w:pPr>
                    <w:keepNext w:val="0"/>
                    <w:keepLines w:val="0"/>
                    <w:widowControl/>
                    <w:suppressLineNumbers w:val="0"/>
                    <w:jc w:val="center"/>
                    <w:textAlignment w:val="center"/>
                    <w:rPr>
                      <w:rFonts w:hint="eastAsia"/>
                      <w:color w:val="auto"/>
                      <w:sz w:val="20"/>
                      <w:szCs w:val="20"/>
                    </w:rPr>
                  </w:pPr>
                  <w:r>
                    <w:rPr>
                      <w:rFonts w:hint="eastAsia"/>
                      <w:kern w:val="0"/>
                      <w:sz w:val="20"/>
                      <w:szCs w:val="20"/>
                      <w:lang w:val="en-US" w:eastAsia="zh-CN" w:bidi="ar"/>
                    </w:rPr>
                    <w:t>0.0002</w:t>
                  </w:r>
                </w:p>
              </w:tc>
              <w:tc>
                <w:tcPr>
                  <w:tcW w:w="526" w:type="pct"/>
                  <w:vAlign w:val="center"/>
                </w:tcPr>
                <w:p>
                  <w:pPr>
                    <w:keepNext w:val="0"/>
                    <w:keepLines w:val="0"/>
                    <w:widowControl/>
                    <w:suppressLineNumbers w:val="0"/>
                    <w:jc w:val="center"/>
                    <w:textAlignment w:val="center"/>
                    <w:rPr>
                      <w:rFonts w:hint="default" w:eastAsia="宋体"/>
                      <w:color w:val="auto"/>
                      <w:sz w:val="20"/>
                      <w:szCs w:val="20"/>
                      <w:lang w:val="en-US" w:eastAsia="zh-CN"/>
                    </w:rPr>
                  </w:pPr>
                  <w:r>
                    <w:rPr>
                      <w:rFonts w:hint="eastAsia"/>
                      <w:kern w:val="0"/>
                      <w:sz w:val="20"/>
                      <w:szCs w:val="20"/>
                      <w:lang w:val="en-US" w:eastAsia="zh-CN" w:bidi="ar"/>
                    </w:rPr>
                    <w:t>0.0001</w:t>
                  </w:r>
                </w:p>
              </w:tc>
              <w:tc>
                <w:tcPr>
                  <w:tcW w:w="1237" w:type="pct"/>
                  <w:vMerge w:val="continue"/>
                  <w:tcBorders>
                    <w:right w:val="nil"/>
                  </w:tcBorders>
                  <w:vAlign w:val="center"/>
                </w:tcPr>
                <w:p>
                  <w:pPr>
                    <w:pStyle w:val="575"/>
                    <w:spacing w:after="0"/>
                    <w:rPr>
                      <w:rFonts w:hint="eastAsia"/>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restart"/>
                  <w:tcBorders>
                    <w:left w:val="nil"/>
                  </w:tcBorders>
                  <w:vAlign w:val="center"/>
                </w:tcPr>
                <w:p>
                  <w:pPr>
                    <w:pStyle w:val="575"/>
                    <w:spacing w:after="0"/>
                    <w:rPr>
                      <w:rFonts w:hint="default" w:eastAsia="宋体"/>
                      <w:color w:val="auto"/>
                      <w:sz w:val="20"/>
                      <w:szCs w:val="20"/>
                      <w:lang w:val="en-US" w:eastAsia="zh-CN"/>
                    </w:rPr>
                  </w:pPr>
                  <w:r>
                    <w:rPr>
                      <w:rFonts w:hint="eastAsia"/>
                      <w:color w:val="auto"/>
                      <w:sz w:val="20"/>
                      <w:szCs w:val="20"/>
                      <w:lang w:val="en-US" w:eastAsia="zh-CN"/>
                    </w:rPr>
                    <w:t>DA003</w:t>
                  </w:r>
                </w:p>
              </w:tc>
              <w:tc>
                <w:tcPr>
                  <w:tcW w:w="527" w:type="pct"/>
                  <w:vAlign w:val="center"/>
                </w:tcPr>
                <w:p>
                  <w:pPr>
                    <w:widowControl/>
                    <w:jc w:val="center"/>
                    <w:rPr>
                      <w:rFonts w:hint="eastAsia" w:ascii="Times New Roman" w:hAnsi="Times New Roman" w:eastAsia="宋体" w:cs="Times New Roman"/>
                      <w:color w:val="auto"/>
                      <w:sz w:val="20"/>
                      <w:szCs w:val="20"/>
                      <w:lang w:val="en-US" w:eastAsia="zh-CN"/>
                    </w:rPr>
                  </w:pPr>
                  <w:r>
                    <w:rPr>
                      <w:rFonts w:ascii="Times New Roman" w:hAnsi="Times New Roman" w:eastAsia="宋体" w:cs="Times New Roman"/>
                      <w:color w:val="auto"/>
                      <w:sz w:val="20"/>
                      <w:szCs w:val="20"/>
                    </w:rPr>
                    <w:t>颗粒物</w:t>
                  </w:r>
                </w:p>
              </w:tc>
              <w:tc>
                <w:tcPr>
                  <w:tcW w:w="468" w:type="pct"/>
                  <w:vAlign w:val="center"/>
                </w:tcPr>
                <w:p>
                  <w:pPr>
                    <w:widowControl/>
                    <w:jc w:val="center"/>
                    <w:rPr>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color w:val="auto"/>
                      <w:sz w:val="20"/>
                      <w:szCs w:val="20"/>
                    </w:rPr>
                  </w:pPr>
                  <w:r>
                    <w:rPr>
                      <w:color w:val="auto"/>
                      <w:sz w:val="20"/>
                      <w:szCs w:val="20"/>
                    </w:rPr>
                    <w:t>0.5</w:t>
                  </w:r>
                </w:p>
              </w:tc>
              <w:tc>
                <w:tcPr>
                  <w:tcW w:w="609"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69.29</w:t>
                  </w:r>
                </w:p>
              </w:tc>
              <w:tc>
                <w:tcPr>
                  <w:tcW w:w="674"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kern w:val="0"/>
                      <w:sz w:val="20"/>
                      <w:szCs w:val="20"/>
                      <w:lang w:val="en-US" w:eastAsia="zh-CN" w:bidi="ar"/>
                    </w:rPr>
                    <w:t>0.485</w:t>
                  </w:r>
                </w:p>
              </w:tc>
              <w:tc>
                <w:tcPr>
                  <w:tcW w:w="526"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0"/>
                      <w:szCs w:val="20"/>
                      <w:lang w:val="en-US" w:eastAsia="zh-CN" w:bidi="ar-SA"/>
                    </w:rPr>
                  </w:pPr>
                  <w:r>
                    <w:rPr>
                      <w:rFonts w:hint="eastAsia"/>
                      <w:kern w:val="0"/>
                      <w:sz w:val="20"/>
                      <w:szCs w:val="20"/>
                      <w:lang w:val="en-US" w:eastAsia="zh-CN" w:bidi="ar"/>
                    </w:rPr>
                    <w:t>0.242</w:t>
                  </w:r>
                </w:p>
              </w:tc>
              <w:tc>
                <w:tcPr>
                  <w:tcW w:w="1237" w:type="pct"/>
                  <w:vMerge w:val="continue"/>
                  <w:tcBorders>
                    <w:right w:val="nil"/>
                  </w:tcBorders>
                  <w:vAlign w:val="center"/>
                </w:tcPr>
                <w:p>
                  <w:pPr>
                    <w:pStyle w:val="575"/>
                    <w:spacing w:after="0"/>
                    <w:rPr>
                      <w:rFonts w:hint="eastAsia"/>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pPr>
                    <w:pStyle w:val="575"/>
                    <w:spacing w:after="0"/>
                    <w:rPr>
                      <w:rFonts w:hint="eastAsia"/>
                      <w:color w:val="auto"/>
                      <w:sz w:val="20"/>
                      <w:szCs w:val="20"/>
                    </w:rPr>
                  </w:pPr>
                </w:p>
              </w:tc>
              <w:tc>
                <w:tcPr>
                  <w:tcW w:w="527" w:type="pct"/>
                  <w:vAlign w:val="center"/>
                </w:tcPr>
                <w:p>
                  <w:pPr>
                    <w:widowControl/>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SO</w:t>
                  </w:r>
                  <w:r>
                    <w:rPr>
                      <w:rFonts w:hint="eastAsia" w:ascii="Times New Roman" w:hAnsi="Times New Roman" w:eastAsia="宋体" w:cs="Times New Roman"/>
                      <w:color w:val="auto"/>
                      <w:sz w:val="20"/>
                      <w:szCs w:val="20"/>
                      <w:vertAlign w:val="subscript"/>
                      <w:lang w:val="en-US" w:eastAsia="zh-CN"/>
                    </w:rPr>
                    <w:t>2</w:t>
                  </w:r>
                </w:p>
              </w:tc>
              <w:tc>
                <w:tcPr>
                  <w:tcW w:w="468" w:type="pct"/>
                  <w:vAlign w:val="center"/>
                </w:tcPr>
                <w:p>
                  <w:pPr>
                    <w:widowControl/>
                    <w:jc w:val="center"/>
                    <w:rPr>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color w:val="auto"/>
                      <w:sz w:val="20"/>
                      <w:szCs w:val="20"/>
                    </w:rPr>
                  </w:pPr>
                  <w:r>
                    <w:rPr>
                      <w:color w:val="auto"/>
                      <w:sz w:val="20"/>
                      <w:szCs w:val="20"/>
                    </w:rPr>
                    <w:t>0.5</w:t>
                  </w:r>
                </w:p>
              </w:tc>
              <w:tc>
                <w:tcPr>
                  <w:tcW w:w="609"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47.14</w:t>
                  </w:r>
                </w:p>
              </w:tc>
              <w:tc>
                <w:tcPr>
                  <w:tcW w:w="674"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kern w:val="0"/>
                      <w:sz w:val="20"/>
                      <w:szCs w:val="20"/>
                      <w:lang w:val="en-US" w:eastAsia="zh-CN" w:bidi="ar"/>
                    </w:rPr>
                    <w:t>0.33</w:t>
                  </w:r>
                </w:p>
              </w:tc>
              <w:tc>
                <w:tcPr>
                  <w:tcW w:w="526" w:type="pct"/>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0"/>
                      <w:szCs w:val="20"/>
                      <w:lang w:val="en-US" w:eastAsia="zh-CN" w:bidi="ar-SA"/>
                    </w:rPr>
                  </w:pPr>
                  <w:r>
                    <w:rPr>
                      <w:rFonts w:hint="eastAsia"/>
                      <w:kern w:val="0"/>
                      <w:sz w:val="20"/>
                      <w:szCs w:val="20"/>
                      <w:lang w:val="en-US" w:eastAsia="zh-CN" w:bidi="ar"/>
                    </w:rPr>
                    <w:t>0.165</w:t>
                  </w:r>
                </w:p>
              </w:tc>
              <w:tc>
                <w:tcPr>
                  <w:tcW w:w="1237" w:type="pct"/>
                  <w:vMerge w:val="continue"/>
                  <w:tcBorders>
                    <w:right w:val="nil"/>
                  </w:tcBorders>
                  <w:vAlign w:val="center"/>
                </w:tcPr>
                <w:p>
                  <w:pPr>
                    <w:pStyle w:val="575"/>
                    <w:spacing w:after="0"/>
                    <w:rPr>
                      <w:rFonts w:hint="eastAsia"/>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pPr>
                    <w:pStyle w:val="575"/>
                    <w:spacing w:after="0"/>
                    <w:rPr>
                      <w:rFonts w:hint="eastAsia"/>
                      <w:color w:val="auto"/>
                      <w:sz w:val="20"/>
                      <w:szCs w:val="20"/>
                    </w:rPr>
                  </w:pPr>
                </w:p>
              </w:tc>
              <w:tc>
                <w:tcPr>
                  <w:tcW w:w="527" w:type="pct"/>
                  <w:vAlign w:val="center"/>
                </w:tcPr>
                <w:p>
                  <w:pPr>
                    <w:widowControl/>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NO</w:t>
                  </w:r>
                  <w:r>
                    <w:rPr>
                      <w:rFonts w:hint="eastAsia" w:ascii="Times New Roman" w:hAnsi="Times New Roman" w:eastAsia="宋体" w:cs="Times New Roman"/>
                      <w:color w:val="auto"/>
                      <w:sz w:val="20"/>
                      <w:szCs w:val="20"/>
                      <w:vertAlign w:val="subscript"/>
                      <w:lang w:val="en-US" w:eastAsia="zh-CN"/>
                    </w:rPr>
                    <w:t>x</w:t>
                  </w:r>
                </w:p>
              </w:tc>
              <w:tc>
                <w:tcPr>
                  <w:tcW w:w="468" w:type="pct"/>
                  <w:vAlign w:val="center"/>
                </w:tcPr>
                <w:p>
                  <w:pPr>
                    <w:widowControl/>
                    <w:jc w:val="center"/>
                    <w:rPr>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color w:val="auto"/>
                      <w:sz w:val="20"/>
                      <w:szCs w:val="20"/>
                    </w:rPr>
                  </w:pPr>
                  <w:r>
                    <w:rPr>
                      <w:color w:val="auto"/>
                      <w:sz w:val="20"/>
                      <w:szCs w:val="20"/>
                    </w:rPr>
                    <w:t>0.5</w:t>
                  </w:r>
                </w:p>
              </w:tc>
              <w:tc>
                <w:tcPr>
                  <w:tcW w:w="1487"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cs="Times New Roman"/>
                      <w:i w:val="0"/>
                      <w:iCs w:val="0"/>
                      <w:color w:val="000000"/>
                      <w:kern w:val="0"/>
                      <w:sz w:val="20"/>
                      <w:szCs w:val="20"/>
                      <w:u w:val="none"/>
                      <w:lang w:val="en-US" w:eastAsia="zh-CN" w:bidi="ar"/>
                    </w:rPr>
                    <w:t>98.61</w:t>
                  </w:r>
                </w:p>
              </w:tc>
              <w:tc>
                <w:tcPr>
                  <w:tcW w:w="1647"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kern w:val="0"/>
                      <w:sz w:val="20"/>
                      <w:szCs w:val="20"/>
                      <w:lang w:val="en-US" w:eastAsia="zh-CN" w:bidi="ar"/>
                    </w:rPr>
                    <w:t>0.69</w:t>
                  </w:r>
                </w:p>
              </w:tc>
              <w:tc>
                <w:tcPr>
                  <w:tcW w:w="1286"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0"/>
                      <w:szCs w:val="20"/>
                      <w:lang w:val="en-US" w:eastAsia="zh-CN" w:bidi="ar-SA"/>
                    </w:rPr>
                  </w:pPr>
                  <w:r>
                    <w:rPr>
                      <w:rFonts w:hint="eastAsia"/>
                      <w:kern w:val="0"/>
                      <w:sz w:val="20"/>
                      <w:szCs w:val="20"/>
                      <w:lang w:val="en-US" w:eastAsia="zh-CN" w:bidi="ar"/>
                    </w:rPr>
                    <w:t>0.35</w:t>
                  </w:r>
                </w:p>
              </w:tc>
              <w:tc>
                <w:tcPr>
                  <w:tcW w:w="1237" w:type="pct"/>
                  <w:vMerge w:val="continue"/>
                  <w:tcBorders>
                    <w:right w:val="nil"/>
                  </w:tcBorders>
                  <w:vAlign w:val="center"/>
                </w:tcPr>
                <w:p>
                  <w:pPr>
                    <w:pStyle w:val="575"/>
                    <w:spacing w:after="0"/>
                    <w:rPr>
                      <w:rFonts w:hint="eastAsia"/>
                      <w:color w:val="auto"/>
                      <w:sz w:val="20"/>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1" w:type="pct"/>
                  <w:vMerge w:val="continue"/>
                  <w:tcBorders>
                    <w:left w:val="nil"/>
                  </w:tcBorders>
                  <w:vAlign w:val="center"/>
                </w:tcPr>
                <w:p>
                  <w:pPr>
                    <w:pStyle w:val="575"/>
                    <w:spacing w:after="0"/>
                    <w:rPr>
                      <w:rFonts w:hint="eastAsia"/>
                      <w:color w:val="auto"/>
                      <w:sz w:val="20"/>
                      <w:szCs w:val="20"/>
                    </w:rPr>
                  </w:pPr>
                </w:p>
              </w:tc>
              <w:tc>
                <w:tcPr>
                  <w:tcW w:w="527" w:type="pct"/>
                  <w:vAlign w:val="center"/>
                </w:tcPr>
                <w:p>
                  <w:pPr>
                    <w:widowControl/>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汞及其化合物</w:t>
                  </w:r>
                </w:p>
              </w:tc>
              <w:tc>
                <w:tcPr>
                  <w:tcW w:w="468" w:type="pct"/>
                  <w:vAlign w:val="center"/>
                </w:tcPr>
                <w:p>
                  <w:pPr>
                    <w:widowControl/>
                    <w:jc w:val="center"/>
                    <w:rPr>
                      <w:color w:val="auto"/>
                      <w:sz w:val="20"/>
                      <w:szCs w:val="20"/>
                    </w:rPr>
                  </w:pPr>
                  <w:r>
                    <w:rPr>
                      <w:color w:val="auto"/>
                      <w:sz w:val="20"/>
                      <w:szCs w:val="20"/>
                    </w:rPr>
                    <w:t>1</w:t>
                  </w:r>
                  <w:r>
                    <w:rPr>
                      <w:rFonts w:hint="eastAsia"/>
                      <w:color w:val="auto"/>
                      <w:sz w:val="20"/>
                      <w:szCs w:val="20"/>
                    </w:rPr>
                    <w:t>~2</w:t>
                  </w:r>
                </w:p>
              </w:tc>
              <w:tc>
                <w:tcPr>
                  <w:tcW w:w="533" w:type="pct"/>
                  <w:vAlign w:val="center"/>
                </w:tcPr>
                <w:p>
                  <w:pPr>
                    <w:widowControl/>
                    <w:jc w:val="center"/>
                    <w:rPr>
                      <w:color w:val="auto"/>
                      <w:sz w:val="20"/>
                      <w:szCs w:val="20"/>
                    </w:rPr>
                  </w:pPr>
                  <w:r>
                    <w:rPr>
                      <w:color w:val="auto"/>
                      <w:sz w:val="20"/>
                      <w:szCs w:val="20"/>
                    </w:rPr>
                    <w:t>0.5</w:t>
                  </w:r>
                </w:p>
              </w:tc>
              <w:tc>
                <w:tcPr>
                  <w:tcW w:w="1461"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0"/>
                      <w:szCs w:val="20"/>
                      <w:lang w:val="en-US" w:eastAsia="zh-CN" w:bidi="ar-SA"/>
                    </w:rPr>
                  </w:pPr>
                  <w:r>
                    <w:rPr>
                      <w:rFonts w:hint="eastAsia" w:cs="Times New Roman"/>
                      <w:i w:val="0"/>
                      <w:iCs w:val="0"/>
                      <w:color w:val="000000"/>
                      <w:kern w:val="0"/>
                      <w:sz w:val="20"/>
                      <w:szCs w:val="20"/>
                      <w:u w:val="none"/>
                      <w:lang w:val="en-US" w:eastAsia="zh-CN" w:bidi="ar"/>
                    </w:rPr>
                    <w:t>0.053</w:t>
                  </w:r>
                </w:p>
              </w:tc>
              <w:tc>
                <w:tcPr>
                  <w:tcW w:w="1618" w:type="dxa"/>
                  <w:shd w:val="clear" w:color="auto" w:fill="auto"/>
                  <w:vAlign w:val="center"/>
                </w:tcPr>
                <w:p>
                  <w:pPr>
                    <w:keepNext w:val="0"/>
                    <w:keepLines w:val="0"/>
                    <w:widowControl/>
                    <w:suppressLineNumbers w:val="0"/>
                    <w:jc w:val="center"/>
                    <w:textAlignment w:val="center"/>
                    <w:rPr>
                      <w:rFonts w:hint="eastAsia" w:ascii="Times New Roman" w:hAnsi="Times New Roman" w:eastAsia="宋体" w:cs="Times New Roman"/>
                      <w:color w:val="auto"/>
                      <w:kern w:val="2"/>
                      <w:sz w:val="20"/>
                      <w:szCs w:val="20"/>
                      <w:lang w:val="en-US" w:eastAsia="zh-CN" w:bidi="ar-SA"/>
                    </w:rPr>
                  </w:pPr>
                  <w:r>
                    <w:rPr>
                      <w:rFonts w:hint="eastAsia"/>
                      <w:kern w:val="0"/>
                      <w:sz w:val="20"/>
                      <w:szCs w:val="20"/>
                      <w:lang w:val="en-US" w:eastAsia="zh-CN" w:bidi="ar"/>
                    </w:rPr>
                    <w:t>0.0004</w:t>
                  </w:r>
                </w:p>
              </w:tc>
              <w:tc>
                <w:tcPr>
                  <w:tcW w:w="526" w:type="pct"/>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2"/>
                      <w:sz w:val="20"/>
                      <w:szCs w:val="20"/>
                      <w:lang w:val="en-US" w:eastAsia="zh-CN" w:bidi="ar-SA"/>
                    </w:rPr>
                  </w:pPr>
                  <w:r>
                    <w:rPr>
                      <w:rFonts w:hint="eastAsia"/>
                      <w:kern w:val="0"/>
                      <w:sz w:val="20"/>
                      <w:szCs w:val="20"/>
                      <w:lang w:val="en-US" w:eastAsia="zh-CN" w:bidi="ar"/>
                    </w:rPr>
                    <w:t>0.0002</w:t>
                  </w:r>
                </w:p>
              </w:tc>
              <w:tc>
                <w:tcPr>
                  <w:tcW w:w="1237" w:type="pct"/>
                  <w:vMerge w:val="continue"/>
                  <w:tcBorders>
                    <w:right w:val="nil"/>
                  </w:tcBorders>
                  <w:vAlign w:val="center"/>
                </w:tcPr>
                <w:p>
                  <w:pPr>
                    <w:pStyle w:val="575"/>
                    <w:spacing w:after="0"/>
                    <w:rPr>
                      <w:rFonts w:hint="eastAsia"/>
                      <w:color w:val="auto"/>
                      <w:sz w:val="20"/>
                      <w:szCs w:val="20"/>
                    </w:rPr>
                  </w:pPr>
                </w:p>
              </w:tc>
            </w:tr>
          </w:tbl>
          <w:p>
            <w:pPr>
              <w:rPr>
                <w:color w:val="auto"/>
              </w:rPr>
            </w:pPr>
          </w:p>
        </w:tc>
      </w:tr>
    </w:tbl>
    <w:p>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9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1" w:type="dxa"/>
            <w:vAlign w:val="center"/>
          </w:tcPr>
          <w:p>
            <w:pPr>
              <w:adjustRightInd w:val="0"/>
              <w:snapToGrid w:val="0"/>
              <w:jc w:val="center"/>
              <w:rPr>
                <w:color w:val="auto"/>
              </w:rPr>
            </w:pPr>
            <w:r>
              <w:rPr>
                <w:bCs/>
                <w:color w:val="auto"/>
                <w:szCs w:val="21"/>
              </w:rPr>
              <w:t>运营期环境影响和保护措施</w:t>
            </w:r>
          </w:p>
        </w:tc>
        <w:tc>
          <w:tcPr>
            <w:tcW w:w="8414" w:type="dxa"/>
          </w:tcPr>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w:t>
            </w:r>
            <w:r>
              <w:rPr>
                <w:rFonts w:hint="eastAsia"/>
                <w:b/>
                <w:bCs/>
                <w:color w:val="auto"/>
                <w:kern w:val="0"/>
                <w:szCs w:val="21"/>
                <w:lang w:val="en-US" w:eastAsia="zh-CN"/>
              </w:rPr>
              <w:t>2</w:t>
            </w:r>
            <w:r>
              <w:rPr>
                <w:b/>
                <w:bCs/>
                <w:color w:val="auto"/>
                <w:kern w:val="0"/>
                <w:szCs w:val="21"/>
              </w:rPr>
              <w:t>）废气污染治理措施可行性分析</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本项目所采用的废气污染防治措施为《</w:t>
            </w:r>
            <w:r>
              <w:rPr>
                <w:rFonts w:hint="eastAsia"/>
                <w:color w:val="000000" w:themeColor="text1"/>
                <w:sz w:val="21"/>
                <w:szCs w:val="21"/>
                <w:lang w:val="en-US" w:eastAsia="zh-CN"/>
                <w14:textFill>
                  <w14:solidFill>
                    <w14:schemeClr w14:val="tx1"/>
                  </w14:solidFill>
                </w14:textFill>
              </w:rPr>
              <w:t>排污许可证申请与核发技术规范</w:t>
            </w:r>
            <w:r>
              <w:rPr>
                <w:rFonts w:hint="eastAsia" w:ascii="Times New Roman" w:hAnsi="Times New Roman" w:eastAsia="宋体" w:cs="Times New Roman"/>
                <w:color w:val="auto"/>
                <w:kern w:val="0"/>
                <w:szCs w:val="21"/>
                <w:lang w:val="en-US" w:eastAsia="zh-CN"/>
              </w:rPr>
              <w:t xml:space="preserve"> 纺织印染工业》（HJ 8</w:t>
            </w:r>
            <w:r>
              <w:rPr>
                <w:rFonts w:hint="eastAsia" w:cs="Times New Roman"/>
                <w:color w:val="auto"/>
                <w:kern w:val="0"/>
                <w:szCs w:val="21"/>
                <w:lang w:val="en-US" w:eastAsia="zh-CN"/>
              </w:rPr>
              <w:t>61</w:t>
            </w:r>
            <w:r>
              <w:rPr>
                <w:rFonts w:hint="eastAsia" w:ascii="Times New Roman" w:hAnsi="Times New Roman" w:eastAsia="宋体" w:cs="Times New Roman"/>
                <w:color w:val="auto"/>
                <w:kern w:val="0"/>
                <w:szCs w:val="21"/>
                <w:lang w:val="en-US" w:eastAsia="zh-CN"/>
              </w:rPr>
              <w:t>-2017）和</w:t>
            </w:r>
            <w:r>
              <w:rPr>
                <w:rFonts w:hint="eastAsia"/>
                <w:color w:val="000000" w:themeColor="text1"/>
                <w:sz w:val="21"/>
                <w:szCs w:val="21"/>
                <w:lang w:val="en-US" w:eastAsia="zh-CN"/>
                <w14:textFill>
                  <w14:solidFill>
                    <w14:schemeClr w14:val="tx1"/>
                  </w14:solidFill>
                </w14:textFill>
              </w:rPr>
              <w:t>《排污许可证申请与核发技术规范 锅炉》（HJ953-2018）</w:t>
            </w:r>
            <w:r>
              <w:rPr>
                <w:rFonts w:hint="eastAsia" w:ascii="Times New Roman" w:hAnsi="Times New Roman" w:eastAsia="宋体" w:cs="Times New Roman"/>
                <w:color w:val="auto"/>
                <w:kern w:val="0"/>
                <w:szCs w:val="21"/>
                <w:lang w:val="en-US" w:eastAsia="zh-CN"/>
              </w:rPr>
              <w:t>中可行技术，同行业同类型项目也采用相同工艺，处理设备运行稳定可靠，污染物排放浓度及排放速率均能满足相关标准要求；</w:t>
            </w:r>
          </w:p>
          <w:p>
            <w:pPr>
              <w:autoSpaceDE w:val="0"/>
              <w:autoSpaceDN w:val="0"/>
              <w:adjustRightInd w:val="0"/>
              <w:snapToGrid w:val="0"/>
              <w:spacing w:line="400" w:lineRule="exact"/>
              <w:ind w:firstLine="420" w:firstLineChars="200"/>
              <w:rPr>
                <w:b/>
                <w:bCs/>
                <w:color w:val="FF0000"/>
                <w:kern w:val="0"/>
                <w:szCs w:val="21"/>
                <w:highlight w:val="none"/>
              </w:rPr>
            </w:pPr>
            <w:r>
              <w:rPr>
                <w:rFonts w:hint="eastAsia"/>
                <w:color w:val="FF0000"/>
                <w:highlight w:val="none"/>
                <w:lang w:val="en-US" w:eastAsia="zh-CN"/>
              </w:rPr>
              <w:t>对照《国家污染防治技术指导目录》，本项目废气污染治理设施不属于淘汰、限制、低效类技术，</w:t>
            </w:r>
            <w:r>
              <w:rPr>
                <w:rFonts w:hint="eastAsia" w:ascii="Times New Roman" w:hAnsi="Times New Roman" w:eastAsia="宋体" w:cs="Times New Roman"/>
                <w:color w:val="FF0000"/>
                <w:kern w:val="0"/>
                <w:szCs w:val="21"/>
                <w:highlight w:val="none"/>
                <w:lang w:val="en-US" w:eastAsia="zh-CN"/>
              </w:rPr>
              <w:t>本项目废气处理方案合理可行。</w:t>
            </w:r>
          </w:p>
          <w:p>
            <w:pPr>
              <w:autoSpaceDE w:val="0"/>
              <w:autoSpaceDN w:val="0"/>
              <w:adjustRightInd w:val="0"/>
              <w:snapToGrid w:val="0"/>
              <w:spacing w:line="400" w:lineRule="exact"/>
              <w:ind w:firstLine="422" w:firstLineChars="200"/>
              <w:rPr>
                <w:b/>
                <w:bCs/>
                <w:color w:val="auto"/>
                <w:kern w:val="0"/>
                <w:szCs w:val="21"/>
              </w:rPr>
            </w:pPr>
            <w:r>
              <w:rPr>
                <w:b/>
                <w:bCs/>
                <w:color w:val="auto"/>
                <w:kern w:val="0"/>
                <w:szCs w:val="21"/>
              </w:rPr>
              <w:t>1）废气收集系统：</w:t>
            </w:r>
          </w:p>
          <w:p>
            <w:pPr>
              <w:autoSpaceDE w:val="0"/>
              <w:autoSpaceDN w:val="0"/>
              <w:adjustRightInd w:val="0"/>
              <w:snapToGrid w:val="0"/>
              <w:spacing w:line="400" w:lineRule="exact"/>
              <w:ind w:firstLine="420" w:firstLineChars="200"/>
              <w:rPr>
                <w:rFonts w:hint="eastAsia"/>
                <w:color w:val="auto"/>
                <w:kern w:val="0"/>
                <w:szCs w:val="21"/>
                <w:lang w:eastAsia="zh-CN"/>
              </w:rPr>
            </w:pPr>
            <w:r>
              <w:rPr>
                <w:color w:val="auto"/>
                <w:kern w:val="0"/>
                <w:szCs w:val="21"/>
              </w:rPr>
              <w:t>本项目废气收集系统示意如图4-1</w:t>
            </w:r>
          </w:p>
          <w:p>
            <w:pPr>
              <w:autoSpaceDE w:val="0"/>
              <w:autoSpaceDN w:val="0"/>
              <w:adjustRightInd w:val="0"/>
              <w:snapToGrid w:val="0"/>
              <w:spacing w:line="400" w:lineRule="exact"/>
              <w:ind w:firstLine="420" w:firstLineChars="200"/>
              <w:rPr>
                <w:rFonts w:hint="eastAsia"/>
                <w:color w:val="auto"/>
                <w:kern w:val="0"/>
                <w:szCs w:val="21"/>
                <w:lang w:eastAsia="zh-CN"/>
              </w:rPr>
            </w:pPr>
            <w:r>
              <w:rPr>
                <w:rFonts w:hint="eastAsia"/>
                <w:color w:val="auto"/>
                <w:kern w:val="0"/>
                <w:szCs w:val="21"/>
                <w:lang w:eastAsia="zh-CN"/>
              </w:rPr>
              <w:pict>
                <v:shape id="_x0000_s2057" o:spid="_x0000_s2057" o:spt="75" type="#_x0000_t75" style="position:absolute;left:0pt;margin-left:3.25pt;margin-top:9pt;height:154.5pt;width:420.75pt;z-index:251660288;mso-width-relative:page;mso-height-relative:page;" o:ole="t" filled="f" o:preferrelative="t" stroked="f" coordsize="21600,21600">
                  <v:path/>
                  <v:fill on="f" focussize="0,0"/>
                  <v:stroke on="f"/>
                  <v:imagedata r:id="rId33" o:title=""/>
                  <o:lock v:ext="edit" aspectratio="f"/>
                </v:shape>
                <o:OLEObject Type="Embed" ProgID="Visio.Drawing.15" ShapeID="_x0000_s2057" DrawAspect="Content" ObjectID="_1468075731" r:id="rId32">
                  <o:LockedField>false</o:LockedField>
                </o:OLEObject>
              </w:pict>
            </w:r>
          </w:p>
          <w:p>
            <w:pPr>
              <w:autoSpaceDE w:val="0"/>
              <w:autoSpaceDN w:val="0"/>
              <w:adjustRightInd w:val="0"/>
              <w:snapToGrid w:val="0"/>
              <w:spacing w:line="400" w:lineRule="exact"/>
              <w:ind w:firstLine="420" w:firstLineChars="200"/>
              <w:rPr>
                <w:rFonts w:hint="eastAsia"/>
                <w:color w:val="auto"/>
                <w:kern w:val="0"/>
                <w:szCs w:val="21"/>
                <w:lang w:eastAsia="zh-CN"/>
              </w:rPr>
            </w:pPr>
          </w:p>
          <w:p>
            <w:pPr>
              <w:autoSpaceDE w:val="0"/>
              <w:autoSpaceDN w:val="0"/>
              <w:adjustRightInd w:val="0"/>
              <w:snapToGrid w:val="0"/>
              <w:spacing w:line="400" w:lineRule="exact"/>
              <w:ind w:firstLine="420" w:firstLineChars="200"/>
              <w:rPr>
                <w:color w:val="auto"/>
                <w:kern w:val="0"/>
                <w:szCs w:val="21"/>
              </w:rPr>
            </w:pPr>
          </w:p>
          <w:p>
            <w:pPr>
              <w:autoSpaceDE w:val="0"/>
              <w:autoSpaceDN w:val="0"/>
              <w:adjustRightInd w:val="0"/>
              <w:snapToGrid w:val="0"/>
              <w:spacing w:line="400" w:lineRule="exact"/>
              <w:ind w:firstLine="420" w:firstLineChars="200"/>
              <w:rPr>
                <w:color w:val="auto"/>
                <w:kern w:val="0"/>
                <w:szCs w:val="21"/>
              </w:rPr>
            </w:pPr>
          </w:p>
          <w:p>
            <w:pPr>
              <w:autoSpaceDE w:val="0"/>
              <w:autoSpaceDN w:val="0"/>
              <w:adjustRightInd w:val="0"/>
              <w:snapToGrid w:val="0"/>
              <w:spacing w:line="400" w:lineRule="exact"/>
              <w:ind w:firstLine="420" w:firstLineChars="200"/>
              <w:rPr>
                <w:color w:val="auto"/>
                <w:kern w:val="0"/>
                <w:szCs w:val="21"/>
              </w:rPr>
            </w:pPr>
          </w:p>
          <w:p>
            <w:pPr>
              <w:autoSpaceDE w:val="0"/>
              <w:autoSpaceDN w:val="0"/>
              <w:adjustRightInd w:val="0"/>
              <w:snapToGrid w:val="0"/>
              <w:spacing w:line="400" w:lineRule="exact"/>
              <w:jc w:val="both"/>
              <w:rPr>
                <w:b/>
                <w:bCs/>
                <w:color w:val="auto"/>
                <w:kern w:val="0"/>
                <w:szCs w:val="21"/>
              </w:rPr>
            </w:pPr>
          </w:p>
          <w:p>
            <w:pPr>
              <w:autoSpaceDE w:val="0"/>
              <w:autoSpaceDN w:val="0"/>
              <w:adjustRightInd w:val="0"/>
              <w:snapToGrid w:val="0"/>
              <w:spacing w:line="400" w:lineRule="exact"/>
              <w:ind w:firstLine="422" w:firstLineChars="200"/>
              <w:jc w:val="center"/>
              <w:rPr>
                <w:b/>
                <w:bCs/>
                <w:color w:val="auto"/>
                <w:kern w:val="0"/>
                <w:szCs w:val="21"/>
              </w:rPr>
            </w:pPr>
          </w:p>
          <w:p>
            <w:pPr>
              <w:autoSpaceDE w:val="0"/>
              <w:autoSpaceDN w:val="0"/>
              <w:adjustRightInd w:val="0"/>
              <w:snapToGrid w:val="0"/>
              <w:spacing w:line="400" w:lineRule="exact"/>
              <w:ind w:firstLine="422" w:firstLineChars="200"/>
              <w:jc w:val="center"/>
              <w:rPr>
                <w:b/>
                <w:bCs/>
                <w:color w:val="auto"/>
                <w:kern w:val="0"/>
                <w:szCs w:val="21"/>
              </w:rPr>
            </w:pPr>
          </w:p>
          <w:p>
            <w:pPr>
              <w:autoSpaceDE w:val="0"/>
              <w:autoSpaceDN w:val="0"/>
              <w:adjustRightInd w:val="0"/>
              <w:snapToGrid w:val="0"/>
              <w:spacing w:line="400" w:lineRule="exact"/>
              <w:jc w:val="both"/>
              <w:rPr>
                <w:b/>
                <w:bCs/>
                <w:color w:val="auto"/>
                <w:kern w:val="0"/>
                <w:szCs w:val="21"/>
              </w:rPr>
            </w:pPr>
          </w:p>
          <w:p>
            <w:pPr>
              <w:autoSpaceDE w:val="0"/>
              <w:autoSpaceDN w:val="0"/>
              <w:adjustRightInd w:val="0"/>
              <w:snapToGrid w:val="0"/>
              <w:spacing w:line="400" w:lineRule="exact"/>
              <w:ind w:firstLine="422" w:firstLineChars="200"/>
              <w:jc w:val="center"/>
              <w:rPr>
                <w:b/>
                <w:bCs/>
                <w:color w:val="auto"/>
                <w:kern w:val="0"/>
                <w:szCs w:val="21"/>
              </w:rPr>
            </w:pPr>
            <w:r>
              <w:rPr>
                <w:b/>
                <w:bCs/>
                <w:color w:val="auto"/>
                <w:kern w:val="0"/>
                <w:szCs w:val="21"/>
              </w:rPr>
              <w:t>图4-1  废气收集处理系统示意图</w:t>
            </w:r>
          </w:p>
          <w:p>
            <w:pPr>
              <w:autoSpaceDE w:val="0"/>
              <w:autoSpaceDN w:val="0"/>
              <w:adjustRightInd w:val="0"/>
              <w:snapToGrid w:val="0"/>
              <w:spacing w:line="400" w:lineRule="exact"/>
              <w:ind w:firstLine="420" w:firstLineChars="200"/>
              <w:rPr>
                <w:rFonts w:hint="eastAsia"/>
                <w:color w:val="auto"/>
                <w:kern w:val="0"/>
                <w:szCs w:val="21"/>
              </w:rPr>
            </w:pPr>
            <w:r>
              <w:rPr>
                <w:rFonts w:hint="eastAsia"/>
                <w:color w:val="auto"/>
                <w:kern w:val="0"/>
                <w:szCs w:val="21"/>
                <w:lang w:val="en-US" w:eastAsia="zh-CN"/>
              </w:rPr>
              <w:t>参照《环境保护部办公厅2017年12月28日印发关于发布计算污染物排放量的排污系数和物料衡算方法的公告》（公告2017年第81号）中表3“密闭管道捕集效率95%”，本项目定型、蒸呢机产生的废气通过管道收集废气，废气收集效率取95%。</w:t>
            </w:r>
          </w:p>
          <w:p>
            <w:pPr>
              <w:autoSpaceDE w:val="0"/>
              <w:autoSpaceDN w:val="0"/>
              <w:adjustRightInd w:val="0"/>
              <w:snapToGrid w:val="0"/>
              <w:spacing w:line="400" w:lineRule="exact"/>
              <w:ind w:firstLine="420" w:firstLineChars="200"/>
              <w:rPr>
                <w:rFonts w:hint="eastAsia" w:eastAsia="宋体"/>
                <w:color w:val="FF0000"/>
                <w:kern w:val="0"/>
                <w:szCs w:val="21"/>
                <w:lang w:val="en-US" w:eastAsia="zh-CN"/>
              </w:rPr>
            </w:pPr>
            <w:r>
              <w:rPr>
                <w:rFonts w:hint="eastAsia" w:eastAsia="宋体"/>
                <w:color w:val="FF0000"/>
                <w:kern w:val="0"/>
                <w:szCs w:val="21"/>
                <w:lang w:val="en-US" w:eastAsia="zh-CN"/>
              </w:rPr>
              <w:t>项目拉毛、刷呢、剪毛、烫光和摇粒过程的生产设备均设置在密闭单层生产车间内（与定型机、预缩机和蒸呢机单独隔开，详见图4-2），所有开口处、人员或物料进出口处呈负压，且无明显泄漏点，收集措施属于单层负压收集，其收集效率参考《广东省生态环境厅关于印发工业源挥发性有机物和氮氧化物减排量核算方法的通知》（粤环函〔2023〕538号）“单层密闭负压车间收集效率为95%”；且每台设备排气孔均设置集气罩（顶吸罩）收集，其收集效率为90%”，因此叠加收集效率可达99</w:t>
            </w:r>
            <w:r>
              <w:rPr>
                <w:rFonts w:hint="eastAsia"/>
                <w:color w:val="FF0000"/>
                <w:kern w:val="0"/>
                <w:szCs w:val="21"/>
                <w:lang w:val="en-US" w:eastAsia="zh-CN"/>
              </w:rPr>
              <w:t>.5</w:t>
            </w:r>
            <w:r>
              <w:rPr>
                <w:rFonts w:hint="eastAsia" w:eastAsia="宋体"/>
                <w:color w:val="FF0000"/>
                <w:kern w:val="0"/>
                <w:szCs w:val="21"/>
                <w:lang w:val="en-US" w:eastAsia="zh-CN"/>
              </w:rPr>
              <w:t>%</w:t>
            </w:r>
            <w:r>
              <w:rPr>
                <w:rFonts w:hint="eastAsia"/>
                <w:color w:val="FF0000"/>
                <w:kern w:val="0"/>
                <w:szCs w:val="21"/>
                <w:lang w:val="en-US" w:eastAsia="zh-CN"/>
              </w:rPr>
              <w:t>，本报告保守取值99%</w:t>
            </w:r>
            <w:r>
              <w:rPr>
                <w:rFonts w:hint="eastAsia" w:eastAsia="宋体"/>
                <w:color w:val="FF0000"/>
                <w:kern w:val="0"/>
                <w:szCs w:val="21"/>
                <w:lang w:val="en-US" w:eastAsia="zh-CN"/>
              </w:rPr>
              <w:t>。</w:t>
            </w: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r>
              <w:drawing>
                <wp:anchor distT="0" distB="0" distL="114300" distR="114300" simplePos="0" relativeHeight="251659264" behindDoc="0" locked="0" layoutInCell="1" allowOverlap="1">
                  <wp:simplePos x="0" y="0"/>
                  <wp:positionH relativeFrom="column">
                    <wp:posOffset>467995</wp:posOffset>
                  </wp:positionH>
                  <wp:positionV relativeFrom="paragraph">
                    <wp:posOffset>80010</wp:posOffset>
                  </wp:positionV>
                  <wp:extent cx="4296410" cy="2506980"/>
                  <wp:effectExtent l="0" t="0" r="8890" b="7620"/>
                  <wp:wrapNone/>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34"/>
                          <a:stretch>
                            <a:fillRect/>
                          </a:stretch>
                        </pic:blipFill>
                        <pic:spPr>
                          <a:xfrm>
                            <a:off x="0" y="0"/>
                            <a:ext cx="4296410" cy="2506980"/>
                          </a:xfrm>
                          <a:prstGeom prst="rect">
                            <a:avLst/>
                          </a:prstGeom>
                          <a:noFill/>
                          <a:ln>
                            <a:noFill/>
                          </a:ln>
                        </pic:spPr>
                      </pic:pic>
                    </a:graphicData>
                  </a:graphic>
                </wp:anchor>
              </w:drawing>
            </w: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ind w:firstLine="420" w:firstLineChars="200"/>
              <w:rPr>
                <w:rFonts w:hint="eastAsia"/>
                <w:color w:val="auto"/>
                <w:kern w:val="0"/>
                <w:szCs w:val="21"/>
              </w:rPr>
            </w:pPr>
          </w:p>
          <w:p>
            <w:pPr>
              <w:autoSpaceDE w:val="0"/>
              <w:autoSpaceDN w:val="0"/>
              <w:adjustRightInd w:val="0"/>
              <w:snapToGrid w:val="0"/>
              <w:spacing w:line="400" w:lineRule="exact"/>
              <w:rPr>
                <w:rFonts w:hint="eastAsia"/>
                <w:color w:val="auto"/>
                <w:kern w:val="0"/>
                <w:szCs w:val="21"/>
              </w:rPr>
            </w:pPr>
          </w:p>
          <w:p>
            <w:pPr>
              <w:autoSpaceDE w:val="0"/>
              <w:autoSpaceDN w:val="0"/>
              <w:adjustRightInd w:val="0"/>
              <w:snapToGrid w:val="0"/>
              <w:spacing w:line="400" w:lineRule="exact"/>
              <w:rPr>
                <w:rFonts w:hint="eastAsia"/>
                <w:color w:val="auto"/>
                <w:kern w:val="0"/>
                <w:szCs w:val="21"/>
              </w:rPr>
            </w:pPr>
          </w:p>
          <w:p>
            <w:pPr>
              <w:autoSpaceDE w:val="0"/>
              <w:autoSpaceDN w:val="0"/>
              <w:adjustRightInd w:val="0"/>
              <w:snapToGrid w:val="0"/>
              <w:spacing w:line="400" w:lineRule="exact"/>
              <w:ind w:firstLine="422" w:firstLineChars="200"/>
              <w:jc w:val="center"/>
              <w:rPr>
                <w:rFonts w:hint="eastAsia"/>
                <w:color w:val="auto"/>
                <w:kern w:val="0"/>
                <w:szCs w:val="21"/>
              </w:rPr>
            </w:pPr>
            <w:r>
              <w:rPr>
                <w:b/>
                <w:bCs/>
                <w:color w:val="auto"/>
                <w:kern w:val="0"/>
                <w:szCs w:val="21"/>
              </w:rPr>
              <w:t>图4-</w:t>
            </w:r>
            <w:r>
              <w:rPr>
                <w:rFonts w:hint="eastAsia"/>
                <w:b/>
                <w:bCs/>
                <w:color w:val="auto"/>
                <w:kern w:val="0"/>
                <w:szCs w:val="21"/>
                <w:lang w:val="en-US" w:eastAsia="zh-CN"/>
              </w:rPr>
              <w:t>2</w:t>
            </w:r>
            <w:r>
              <w:rPr>
                <w:b/>
                <w:bCs/>
                <w:color w:val="auto"/>
                <w:kern w:val="0"/>
                <w:szCs w:val="21"/>
              </w:rPr>
              <w:t xml:space="preserve">  </w:t>
            </w:r>
            <w:r>
              <w:rPr>
                <w:rFonts w:hint="eastAsia"/>
                <w:b/>
                <w:bCs/>
                <w:color w:val="auto"/>
                <w:kern w:val="0"/>
                <w:szCs w:val="21"/>
                <w:lang w:val="en-US" w:eastAsia="zh-CN"/>
              </w:rPr>
              <w:t>车间生产布局</w:t>
            </w:r>
            <w:r>
              <w:rPr>
                <w:b/>
                <w:bCs/>
                <w:color w:val="auto"/>
                <w:kern w:val="0"/>
                <w:szCs w:val="21"/>
              </w:rPr>
              <w:t>示意图</w:t>
            </w:r>
          </w:p>
          <w:p>
            <w:pPr>
              <w:autoSpaceDE w:val="0"/>
              <w:autoSpaceDN w:val="0"/>
              <w:adjustRightInd w:val="0"/>
              <w:snapToGrid w:val="0"/>
              <w:spacing w:line="400" w:lineRule="exact"/>
              <w:ind w:firstLine="420" w:firstLineChars="200"/>
              <w:rPr>
                <w:rFonts w:hint="eastAsia" w:eastAsia="宋体"/>
                <w:color w:val="auto"/>
                <w:kern w:val="0"/>
                <w:szCs w:val="21"/>
                <w:lang w:val="en-US" w:eastAsia="zh-CN"/>
              </w:rPr>
            </w:pPr>
            <w:r>
              <w:rPr>
                <w:rFonts w:hint="eastAsia"/>
                <w:color w:val="auto"/>
                <w:kern w:val="0"/>
                <w:szCs w:val="21"/>
              </w:rPr>
              <w:t>参考《广东省生态环境厅关于印发工业源挥发性有机物和氮氧化物减排量核算方法的通知》（粤环函〔2023〕538号）中“设备有固定排放管（或口）直接与风管连接，设备整体密闭只留产品进出口，且进出口处有废气收集措施，收集系统运行时周边基本无VOCs散发”吸风管的捕集效率以95%计</w:t>
            </w:r>
            <w:r>
              <w:rPr>
                <w:rFonts w:hint="eastAsia"/>
                <w:color w:val="auto"/>
                <w:kern w:val="0"/>
                <w:szCs w:val="21"/>
                <w:lang w:eastAsia="zh-CN"/>
              </w:rPr>
              <w:t>，</w:t>
            </w:r>
            <w:r>
              <w:rPr>
                <w:rFonts w:hint="eastAsia"/>
                <w:color w:val="auto"/>
                <w:kern w:val="0"/>
                <w:szCs w:val="21"/>
                <w:lang w:val="en-US" w:eastAsia="zh-CN"/>
              </w:rPr>
              <w:t>本项目拉毛、定型、刷呢、剪毛、烫光、揺粒机基本封闭，布料进出口为空气进气口，产生的废气经</w:t>
            </w:r>
            <w:r>
              <w:rPr>
                <w:rFonts w:ascii="Times New Roman" w:hAnsi="Times New Roman"/>
                <w:sz w:val="21"/>
                <w:szCs w:val="21"/>
              </w:rPr>
              <w:t>负压抽风，密闭</w:t>
            </w:r>
            <w:r>
              <w:rPr>
                <w:rFonts w:hint="eastAsia" w:ascii="Times New Roman" w:hAnsi="Times New Roman"/>
                <w:sz w:val="21"/>
                <w:szCs w:val="21"/>
              </w:rPr>
              <w:t>集气罩</w:t>
            </w:r>
            <w:r>
              <w:rPr>
                <w:rFonts w:ascii="Times New Roman" w:hAnsi="Times New Roman"/>
                <w:sz w:val="21"/>
                <w:szCs w:val="21"/>
              </w:rPr>
              <w:t>收集，捕集率95%</w:t>
            </w:r>
            <w:r>
              <w:rPr>
                <w:rFonts w:hint="eastAsia" w:ascii="Times New Roman" w:hAnsi="Times New Roman"/>
                <w:sz w:val="21"/>
                <w:szCs w:val="21"/>
                <w:lang w:eastAsia="zh-CN"/>
              </w:rPr>
              <w:t>。</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rPr>
              <w:t>生物质锅炉废气收集采用‌</w:t>
            </w:r>
            <w:r>
              <w:rPr>
                <w:rFonts w:hint="default" w:ascii="Times New Roman" w:hAnsi="Times New Roman" w:cs="Times New Roman"/>
                <w:color w:val="auto"/>
                <w:kern w:val="0"/>
                <w:szCs w:val="21"/>
              </w:rPr>
              <w:t>“密闭负压收集系统”‌，即在锅炉烟气出口处直接连接密封烟道，利用引风机产生的负压将废气强制导入处理管道，确保无泄漏</w:t>
            </w:r>
            <w:r>
              <w:rPr>
                <w:rFonts w:hint="eastAsia" w:ascii="Times New Roman" w:hAnsi="Times New Roman" w:cs="Times New Roman"/>
                <w:color w:val="auto"/>
                <w:kern w:val="0"/>
                <w:szCs w:val="21"/>
                <w:lang w:eastAsia="zh-CN"/>
              </w:rPr>
              <w:t>。</w:t>
            </w:r>
          </w:p>
          <w:p>
            <w:pPr>
              <w:autoSpaceDE w:val="0"/>
              <w:autoSpaceDN w:val="0"/>
              <w:adjustRightInd w:val="0"/>
              <w:snapToGrid w:val="0"/>
              <w:spacing w:line="400" w:lineRule="exact"/>
              <w:ind w:firstLine="422" w:firstLineChars="200"/>
              <w:rPr>
                <w:b/>
                <w:bCs/>
                <w:color w:val="auto"/>
                <w:kern w:val="0"/>
                <w:szCs w:val="21"/>
              </w:rPr>
            </w:pPr>
            <w:r>
              <w:rPr>
                <w:b/>
                <w:bCs/>
                <w:color w:val="auto"/>
                <w:kern w:val="0"/>
                <w:szCs w:val="21"/>
              </w:rPr>
              <w:t>2）风量核算</w:t>
            </w:r>
          </w:p>
          <w:p>
            <w:pPr>
              <w:autoSpaceDE w:val="0"/>
              <w:autoSpaceDN w:val="0"/>
              <w:adjustRightInd w:val="0"/>
              <w:snapToGrid w:val="0"/>
              <w:spacing w:line="400" w:lineRule="exact"/>
              <w:ind w:firstLine="422" w:firstLineChars="200"/>
              <w:rPr>
                <w:rFonts w:hint="default" w:eastAsia="宋体"/>
                <w:b/>
                <w:bCs/>
                <w:color w:val="auto"/>
                <w:kern w:val="0"/>
                <w:szCs w:val="21"/>
                <w:lang w:val="en-US" w:eastAsia="zh-CN"/>
              </w:rPr>
            </w:pPr>
            <w:r>
              <w:rPr>
                <w:rFonts w:hint="eastAsia"/>
                <w:b/>
                <w:bCs/>
                <w:color w:val="auto"/>
                <w:kern w:val="0"/>
                <w:szCs w:val="21"/>
                <w:lang w:val="en-US" w:eastAsia="zh-CN"/>
              </w:rPr>
              <w:t>①定型和蒸呢</w:t>
            </w:r>
          </w:p>
          <w:p>
            <w:pPr>
              <w:autoSpaceDE w:val="0"/>
              <w:autoSpaceDN w:val="0"/>
              <w:adjustRightInd w:val="0"/>
              <w:snapToGrid w:val="0"/>
              <w:spacing w:line="400" w:lineRule="exact"/>
              <w:ind w:firstLine="420" w:firstLineChars="200"/>
              <w:rPr>
                <w:b/>
                <w:bCs/>
                <w:color w:val="auto"/>
                <w:kern w:val="0"/>
                <w:szCs w:val="21"/>
              </w:rPr>
            </w:pPr>
            <w:r>
              <w:rPr>
                <w:rFonts w:hint="eastAsia"/>
                <w:color w:val="auto"/>
                <w:kern w:val="0"/>
                <w:szCs w:val="21"/>
                <w:lang w:val="en-US" w:eastAsia="zh-CN"/>
              </w:rPr>
              <w:t>本项目共2台定型机和3台蒸呢机，参考《挥发性有机物治理实用手册（第二版）》（生态环境部大气环境司、生态环境部环境规划院编制）中通过式烘干室，断面控制风速取值范围为0.5~1.0m/s，本项目风速取0.5m/s，断面尺寸为1.5m×0.5m，则单台风量Q计算为：Q=控制风速×横截面面积=0.5m/s×0.75m</w:t>
            </w:r>
            <w:r>
              <w:rPr>
                <w:rFonts w:hint="eastAsia"/>
                <w:color w:val="auto"/>
                <w:kern w:val="0"/>
                <w:szCs w:val="21"/>
                <w:vertAlign w:val="superscript"/>
                <w:lang w:val="en-US" w:eastAsia="zh-CN"/>
              </w:rPr>
              <w:t>2</w:t>
            </w:r>
            <w:r>
              <w:rPr>
                <w:rFonts w:hint="eastAsia"/>
                <w:color w:val="auto"/>
                <w:kern w:val="0"/>
                <w:szCs w:val="21"/>
                <w:lang w:val="en-US" w:eastAsia="zh-CN"/>
              </w:rPr>
              <w:t>×3600=1350m</w:t>
            </w:r>
            <w:r>
              <w:rPr>
                <w:rFonts w:hint="eastAsia"/>
                <w:color w:val="auto"/>
                <w:kern w:val="0"/>
                <w:szCs w:val="21"/>
                <w:vertAlign w:val="superscript"/>
                <w:lang w:val="en-US" w:eastAsia="zh-CN"/>
              </w:rPr>
              <w:t>3</w:t>
            </w:r>
            <w:r>
              <w:rPr>
                <w:rFonts w:hint="eastAsia"/>
                <w:color w:val="auto"/>
                <w:kern w:val="0"/>
                <w:szCs w:val="21"/>
                <w:lang w:val="en-US" w:eastAsia="zh-CN"/>
              </w:rPr>
              <w:t>/h，考虑风压损失、管道距离等因素，单台定型机风量取1500m</w:t>
            </w:r>
            <w:r>
              <w:rPr>
                <w:rFonts w:hint="eastAsia"/>
                <w:color w:val="auto"/>
                <w:kern w:val="0"/>
                <w:szCs w:val="21"/>
                <w:vertAlign w:val="superscript"/>
                <w:lang w:val="en-US" w:eastAsia="zh-CN"/>
              </w:rPr>
              <w:t>3</w:t>
            </w:r>
            <w:r>
              <w:rPr>
                <w:rFonts w:hint="eastAsia"/>
                <w:color w:val="auto"/>
                <w:kern w:val="0"/>
                <w:szCs w:val="21"/>
                <w:lang w:val="en-US" w:eastAsia="zh-CN"/>
              </w:rPr>
              <w:t>/h，2台定型机和3台蒸呢机合并一个排气筒DA001（风量共7500m</w:t>
            </w:r>
            <w:r>
              <w:rPr>
                <w:rFonts w:hint="eastAsia"/>
                <w:color w:val="auto"/>
                <w:kern w:val="0"/>
                <w:szCs w:val="21"/>
                <w:vertAlign w:val="superscript"/>
                <w:lang w:val="en-US" w:eastAsia="zh-CN"/>
              </w:rPr>
              <w:t>3</w:t>
            </w:r>
            <w:r>
              <w:rPr>
                <w:rFonts w:hint="eastAsia"/>
                <w:color w:val="auto"/>
                <w:kern w:val="0"/>
                <w:szCs w:val="21"/>
                <w:lang w:val="en-US" w:eastAsia="zh-CN"/>
              </w:rPr>
              <w:t>/h）。</w:t>
            </w:r>
          </w:p>
          <w:p>
            <w:pPr>
              <w:autoSpaceDE w:val="0"/>
              <w:autoSpaceDN w:val="0"/>
              <w:adjustRightInd w:val="0"/>
              <w:snapToGrid w:val="0"/>
              <w:spacing w:line="400" w:lineRule="exact"/>
              <w:ind w:firstLine="422" w:firstLineChars="200"/>
              <w:rPr>
                <w:rFonts w:hint="eastAsia" w:ascii="Times New Roman" w:hAnsi="Times New Roman" w:eastAsia="宋体" w:cs="Times New Roman"/>
                <w:b/>
                <w:bCs/>
                <w:color w:val="auto"/>
                <w:kern w:val="0"/>
                <w:szCs w:val="21"/>
                <w:lang w:val="en-US" w:eastAsia="zh-CN"/>
              </w:rPr>
            </w:pPr>
            <w:r>
              <w:rPr>
                <w:rFonts w:hint="eastAsia" w:ascii="Times New Roman" w:hAnsi="Times New Roman" w:cs="Times New Roman"/>
                <w:b/>
                <w:bCs/>
                <w:color w:val="auto"/>
                <w:kern w:val="0"/>
                <w:szCs w:val="21"/>
                <w:lang w:val="en-US" w:eastAsia="zh-CN"/>
              </w:rPr>
              <w:t>②拉毛、刷呢、剪毛、烫光和揺粒</w:t>
            </w:r>
          </w:p>
          <w:p>
            <w:pPr>
              <w:autoSpaceDE w:val="0"/>
              <w:autoSpaceDN w:val="0"/>
              <w:adjustRightInd w:val="0"/>
              <w:snapToGrid w:val="0"/>
              <w:spacing w:line="400" w:lineRule="exact"/>
              <w:ind w:firstLine="420" w:firstLineChars="200"/>
              <w:rPr>
                <w:rFonts w:hint="eastAsia" w:eastAsia="宋体"/>
                <w:color w:val="auto"/>
                <w:kern w:val="0"/>
                <w:szCs w:val="21"/>
                <w:lang w:val="en-US" w:eastAsia="zh-CN"/>
              </w:rPr>
            </w:pPr>
            <w:r>
              <w:rPr>
                <w:rFonts w:hint="eastAsia" w:eastAsia="宋体"/>
                <w:color w:val="auto"/>
                <w:kern w:val="0"/>
                <w:szCs w:val="21"/>
                <w:lang w:val="en-US" w:eastAsia="zh-CN"/>
              </w:rPr>
              <w:t>本项目拉毛、刷呢、烫光、摇粒和剪毛工段设置在密闭车间内（长：15m、宽：8m、高：4m），仅有员工出入时打开，出口处呈微负压状态，对以上生产过程产生的有机废气进行负压收集。</w:t>
            </w:r>
          </w:p>
          <w:p>
            <w:pPr>
              <w:autoSpaceDE w:val="0"/>
              <w:autoSpaceDN w:val="0"/>
              <w:adjustRightInd w:val="0"/>
              <w:snapToGrid w:val="0"/>
              <w:spacing w:line="400" w:lineRule="exact"/>
              <w:ind w:firstLine="420" w:firstLineChars="200"/>
              <w:rPr>
                <w:rFonts w:hint="eastAsia" w:eastAsia="宋体"/>
                <w:color w:val="auto"/>
                <w:kern w:val="0"/>
                <w:szCs w:val="21"/>
                <w:lang w:val="en-US" w:eastAsia="zh-CN"/>
              </w:rPr>
            </w:pPr>
            <w:r>
              <w:rPr>
                <w:rFonts w:hint="eastAsia" w:eastAsia="宋体"/>
                <w:color w:val="auto"/>
                <w:kern w:val="0"/>
                <w:szCs w:val="21"/>
                <w:lang w:val="en-US" w:eastAsia="zh-CN"/>
              </w:rPr>
              <w:t>密闭车间换气次数计算风量公式如下：</w:t>
            </w:r>
          </w:p>
          <w:p>
            <w:pPr>
              <w:numPr>
                <w:ilvl w:val="2"/>
                <w:numId w:val="0"/>
              </w:numPr>
              <w:tabs>
                <w:tab w:val="left" w:pos="2440"/>
              </w:tabs>
              <w:spacing w:line="360" w:lineRule="auto"/>
              <w:jc w:val="center"/>
              <w:rPr>
                <w:sz w:val="24"/>
              </w:rPr>
            </w:pPr>
            <w:r>
              <w:rPr>
                <w:sz w:val="24"/>
              </w:rPr>
              <w:t>Q=60ns</w:t>
            </w:r>
          </w:p>
          <w:p>
            <w:pPr>
              <w:numPr>
                <w:ilvl w:val="2"/>
                <w:numId w:val="0"/>
              </w:numPr>
              <w:tabs>
                <w:tab w:val="left" w:pos="2440"/>
              </w:tabs>
              <w:spacing w:line="360" w:lineRule="auto"/>
              <w:ind w:firstLine="420" w:firstLineChars="200"/>
              <w:rPr>
                <w:sz w:val="21"/>
                <w:szCs w:val="21"/>
              </w:rPr>
            </w:pPr>
            <w:r>
              <w:rPr>
                <w:sz w:val="21"/>
                <w:szCs w:val="21"/>
              </w:rPr>
              <w:t>式中：n—换气次数，次/min；</w:t>
            </w:r>
          </w:p>
          <w:p>
            <w:pPr>
              <w:numPr>
                <w:ilvl w:val="2"/>
                <w:numId w:val="0"/>
              </w:numPr>
              <w:tabs>
                <w:tab w:val="left" w:pos="2440"/>
              </w:tabs>
              <w:spacing w:line="360" w:lineRule="auto"/>
              <w:ind w:firstLine="420" w:firstLineChars="200"/>
              <w:rPr>
                <w:sz w:val="21"/>
                <w:szCs w:val="21"/>
              </w:rPr>
            </w:pPr>
            <w:r>
              <w:rPr>
                <w:sz w:val="21"/>
                <w:szCs w:val="21"/>
              </w:rPr>
              <w:t>s—密闭车间的总容积，m</w:t>
            </w:r>
            <w:r>
              <w:rPr>
                <w:sz w:val="21"/>
                <w:szCs w:val="21"/>
                <w:vertAlign w:val="superscript"/>
              </w:rPr>
              <w:t>3</w:t>
            </w:r>
            <w:r>
              <w:rPr>
                <w:sz w:val="21"/>
                <w:szCs w:val="21"/>
              </w:rPr>
              <w:t>；</w:t>
            </w:r>
          </w:p>
          <w:p>
            <w:pPr>
              <w:numPr>
                <w:ilvl w:val="2"/>
                <w:numId w:val="0"/>
              </w:numPr>
              <w:tabs>
                <w:tab w:val="left" w:pos="2440"/>
              </w:tabs>
              <w:spacing w:line="360" w:lineRule="auto"/>
              <w:ind w:firstLine="420" w:firstLineChars="200"/>
              <w:rPr>
                <w:sz w:val="21"/>
                <w:szCs w:val="21"/>
              </w:rPr>
            </w:pPr>
            <w:r>
              <w:rPr>
                <w:sz w:val="21"/>
                <w:szCs w:val="21"/>
              </w:rPr>
              <w:t>根据《洁净厂房设计规范》（GB50073-2013），项目密闭车间所需的洁净度不高，处于空气洁净度8~9级水平，车间内换气次数为</w:t>
            </w:r>
            <w:r>
              <w:rPr>
                <w:rFonts w:hint="eastAsia"/>
                <w:sz w:val="21"/>
                <w:szCs w:val="21"/>
                <w:lang w:val="en-US" w:eastAsia="zh-CN"/>
              </w:rPr>
              <w:t>5~8</w:t>
            </w:r>
            <w:r>
              <w:rPr>
                <w:sz w:val="21"/>
                <w:szCs w:val="21"/>
              </w:rPr>
              <w:t>次/小时。在此结合《工作场所有害因素职业接触限值第1部分：化学</w:t>
            </w:r>
            <w:r>
              <w:rPr>
                <w:rFonts w:hint="default" w:ascii="Times New Roman" w:hAnsi="Times New Roman" w:cs="Times New Roman"/>
                <w:sz w:val="21"/>
                <w:szCs w:val="21"/>
              </w:rPr>
              <w:t>有害因素》（GBZ2.1-2019）、《工业企业设计卫生标准》（GBZ1-2010）和《三废处理工程技术手册废气卷》中对废气污染物的标准要求，本环评确定密闭车间内的换气次数为</w:t>
            </w:r>
            <w:r>
              <w:rPr>
                <w:rFonts w:hint="eastAsia"/>
                <w:sz w:val="21"/>
                <w:szCs w:val="21"/>
                <w:lang w:val="en-US" w:eastAsia="zh-CN"/>
              </w:rPr>
              <w:t>6</w:t>
            </w:r>
            <w:r>
              <w:rPr>
                <w:sz w:val="21"/>
                <w:szCs w:val="21"/>
              </w:rPr>
              <w:t>次/小时，本设计n=</w:t>
            </w:r>
            <w:r>
              <w:rPr>
                <w:rFonts w:hint="eastAsia"/>
                <w:sz w:val="21"/>
                <w:szCs w:val="21"/>
                <w:lang w:val="en-US" w:eastAsia="zh-CN"/>
              </w:rPr>
              <w:t>6</w:t>
            </w:r>
            <w:r>
              <w:rPr>
                <w:sz w:val="21"/>
                <w:szCs w:val="21"/>
              </w:rPr>
              <w:t>次/h=1次/</w:t>
            </w:r>
            <w:r>
              <w:rPr>
                <w:rFonts w:hint="eastAsia"/>
                <w:sz w:val="21"/>
                <w:szCs w:val="21"/>
                <w:lang w:val="en-US" w:eastAsia="zh-CN"/>
              </w:rPr>
              <w:t>10</w:t>
            </w:r>
            <w:r>
              <w:rPr>
                <w:sz w:val="21"/>
                <w:szCs w:val="21"/>
              </w:rPr>
              <w:t>min。项目</w:t>
            </w:r>
            <w:r>
              <w:rPr>
                <w:rFonts w:hint="eastAsia"/>
                <w:sz w:val="21"/>
                <w:szCs w:val="21"/>
                <w:lang w:val="en-US" w:eastAsia="zh-CN"/>
              </w:rPr>
              <w:t>密闭</w:t>
            </w:r>
            <w:r>
              <w:rPr>
                <w:sz w:val="21"/>
                <w:szCs w:val="21"/>
              </w:rPr>
              <w:t>间换气风量情况见下表4-</w:t>
            </w:r>
            <w:r>
              <w:rPr>
                <w:rFonts w:hint="eastAsia"/>
                <w:sz w:val="21"/>
                <w:szCs w:val="21"/>
                <w:lang w:val="en-US" w:eastAsia="zh-CN"/>
              </w:rPr>
              <w:t>6</w:t>
            </w:r>
            <w:r>
              <w:rPr>
                <w:sz w:val="21"/>
                <w:szCs w:val="21"/>
              </w:rPr>
              <w:t>。</w:t>
            </w:r>
          </w:p>
          <w:p>
            <w:pPr>
              <w:numPr>
                <w:ilvl w:val="2"/>
                <w:numId w:val="0"/>
              </w:numPr>
              <w:tabs>
                <w:tab w:val="left" w:pos="2440"/>
              </w:tabs>
              <w:spacing w:line="360" w:lineRule="auto"/>
              <w:jc w:val="center"/>
              <w:rPr>
                <w:sz w:val="21"/>
                <w:szCs w:val="21"/>
              </w:rPr>
            </w:pPr>
            <w:r>
              <w:rPr>
                <w:b/>
                <w:bCs/>
                <w:sz w:val="21"/>
                <w:szCs w:val="21"/>
              </w:rPr>
              <w:t>表4-</w:t>
            </w:r>
            <w:r>
              <w:rPr>
                <w:rFonts w:hint="eastAsia"/>
                <w:b/>
                <w:bCs/>
                <w:sz w:val="21"/>
                <w:szCs w:val="21"/>
                <w:lang w:val="en-US" w:eastAsia="zh-CN"/>
              </w:rPr>
              <w:t>6</w:t>
            </w:r>
            <w:r>
              <w:rPr>
                <w:b/>
                <w:bCs/>
                <w:sz w:val="21"/>
                <w:szCs w:val="21"/>
              </w:rPr>
              <w:t xml:space="preserve">  项目车间换气风量计算一览表</w:t>
            </w:r>
          </w:p>
          <w:tbl>
            <w:tblPr>
              <w:tblStyle w:val="90"/>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1169"/>
              <w:gridCol w:w="1255"/>
              <w:gridCol w:w="971"/>
              <w:gridCol w:w="1028"/>
              <w:gridCol w:w="1272"/>
              <w:gridCol w:w="1437"/>
              <w:gridCol w:w="1281"/>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05" w:type="dxa"/>
                  <w:noWrap w:val="0"/>
                  <w:vAlign w:val="center"/>
                </w:tcPr>
                <w:p>
                  <w:pPr>
                    <w:pStyle w:val="4080"/>
                    <w:jc w:val="center"/>
                    <w:rPr>
                      <w:sz w:val="20"/>
                      <w:szCs w:val="20"/>
                      <w:lang w:eastAsia="zh-CN"/>
                    </w:rPr>
                  </w:pPr>
                  <w:r>
                    <w:rPr>
                      <w:b/>
                      <w:bCs/>
                      <w:spacing w:val="-4"/>
                      <w:sz w:val="20"/>
                      <w:szCs w:val="20"/>
                      <w:lang w:eastAsia="zh-CN"/>
                    </w:rPr>
                    <w:t>区域</w:t>
                  </w:r>
                </w:p>
              </w:tc>
              <w:tc>
                <w:tcPr>
                  <w:tcW w:w="1186" w:type="dxa"/>
                  <w:noWrap w:val="0"/>
                  <w:vAlign w:val="center"/>
                </w:tcPr>
                <w:p>
                  <w:pPr>
                    <w:pStyle w:val="4080"/>
                    <w:jc w:val="center"/>
                    <w:rPr>
                      <w:sz w:val="20"/>
                      <w:szCs w:val="20"/>
                      <w:lang w:eastAsia="zh-CN"/>
                    </w:rPr>
                  </w:pPr>
                  <w:r>
                    <w:rPr>
                      <w:b/>
                      <w:bCs/>
                      <w:spacing w:val="2"/>
                      <w:sz w:val="20"/>
                      <w:szCs w:val="20"/>
                      <w:lang w:eastAsia="zh-CN"/>
                    </w:rPr>
                    <w:t>区域面积</w:t>
                  </w:r>
                </w:p>
                <w:p>
                  <w:pPr>
                    <w:pStyle w:val="4080"/>
                    <w:jc w:val="center"/>
                    <w:rPr>
                      <w:sz w:val="20"/>
                      <w:szCs w:val="20"/>
                      <w:lang w:eastAsia="zh-CN"/>
                    </w:rPr>
                  </w:pPr>
                  <w:r>
                    <w:rPr>
                      <w:b/>
                      <w:bCs/>
                      <w:sz w:val="20"/>
                      <w:szCs w:val="20"/>
                      <w:lang w:eastAsia="zh-CN"/>
                    </w:rPr>
                    <w:t>（</w:t>
                  </w:r>
                  <w:r>
                    <w:rPr>
                      <w:rFonts w:ascii="Times New Roman" w:hAnsi="Times New Roman" w:eastAsia="Times New Roman" w:cs="Times New Roman"/>
                      <w:b/>
                      <w:bCs/>
                      <w:sz w:val="20"/>
                      <w:szCs w:val="20"/>
                      <w:lang w:eastAsia="zh-CN"/>
                    </w:rPr>
                    <w:t>m</w:t>
                  </w:r>
                  <w:r>
                    <w:rPr>
                      <w:rFonts w:hint="eastAsia" w:ascii="Times New Roman" w:hAnsi="Times New Roman" w:cs="Times New Roman"/>
                      <w:b/>
                      <w:bCs/>
                      <w:sz w:val="20"/>
                      <w:szCs w:val="20"/>
                      <w:vertAlign w:val="superscript"/>
                      <w:lang w:eastAsia="zh-CN"/>
                    </w:rPr>
                    <w:t>2</w:t>
                  </w:r>
                  <w:r>
                    <w:rPr>
                      <w:b/>
                      <w:bCs/>
                      <w:sz w:val="20"/>
                      <w:szCs w:val="20"/>
                      <w:lang w:eastAsia="zh-CN"/>
                    </w:rPr>
                    <w:t>）</w:t>
                  </w:r>
                </w:p>
              </w:tc>
              <w:tc>
                <w:tcPr>
                  <w:tcW w:w="918" w:type="dxa"/>
                  <w:noWrap w:val="0"/>
                  <w:vAlign w:val="center"/>
                </w:tcPr>
                <w:p>
                  <w:pPr>
                    <w:pStyle w:val="4080"/>
                    <w:jc w:val="center"/>
                    <w:rPr>
                      <w:sz w:val="20"/>
                      <w:szCs w:val="20"/>
                      <w:lang w:eastAsia="zh-CN"/>
                    </w:rPr>
                  </w:pPr>
                  <w:r>
                    <w:rPr>
                      <w:b/>
                      <w:bCs/>
                      <w:spacing w:val="-4"/>
                      <w:sz w:val="20"/>
                      <w:szCs w:val="20"/>
                      <w:lang w:eastAsia="zh-CN"/>
                    </w:rPr>
                    <w:t>区域</w:t>
                  </w:r>
                </w:p>
                <w:p>
                  <w:pPr>
                    <w:pStyle w:val="4080"/>
                    <w:jc w:val="center"/>
                    <w:rPr>
                      <w:sz w:val="20"/>
                      <w:szCs w:val="20"/>
                      <w:lang w:eastAsia="zh-CN"/>
                    </w:rPr>
                  </w:pPr>
                  <w:r>
                    <w:rPr>
                      <w:b/>
                      <w:bCs/>
                      <w:spacing w:val="3"/>
                      <w:sz w:val="20"/>
                      <w:szCs w:val="20"/>
                      <w:lang w:eastAsia="zh-CN"/>
                    </w:rPr>
                    <w:t>数量</w:t>
                  </w:r>
                </w:p>
              </w:tc>
              <w:tc>
                <w:tcPr>
                  <w:tcW w:w="972" w:type="dxa"/>
                  <w:noWrap w:val="0"/>
                  <w:vAlign w:val="center"/>
                </w:tcPr>
                <w:p>
                  <w:pPr>
                    <w:pStyle w:val="4080"/>
                    <w:jc w:val="center"/>
                    <w:rPr>
                      <w:sz w:val="20"/>
                      <w:szCs w:val="20"/>
                      <w:lang w:eastAsia="zh-CN"/>
                    </w:rPr>
                  </w:pPr>
                  <w:r>
                    <w:rPr>
                      <w:b/>
                      <w:bCs/>
                      <w:spacing w:val="1"/>
                      <w:sz w:val="20"/>
                      <w:szCs w:val="20"/>
                      <w:lang w:eastAsia="zh-CN"/>
                    </w:rPr>
                    <w:t>高度</w:t>
                  </w:r>
                </w:p>
                <w:p>
                  <w:pPr>
                    <w:pStyle w:val="4080"/>
                    <w:jc w:val="center"/>
                    <w:rPr>
                      <w:sz w:val="20"/>
                      <w:szCs w:val="20"/>
                      <w:lang w:eastAsia="zh-CN"/>
                    </w:rPr>
                  </w:pPr>
                  <w:r>
                    <w:rPr>
                      <w:b/>
                      <w:bCs/>
                      <w:spacing w:val="-2"/>
                      <w:sz w:val="20"/>
                      <w:szCs w:val="20"/>
                      <w:lang w:eastAsia="zh-CN"/>
                    </w:rPr>
                    <w:t>（</w:t>
                  </w:r>
                  <w:r>
                    <w:rPr>
                      <w:rFonts w:ascii="Times New Roman" w:hAnsi="Times New Roman" w:eastAsia="Times New Roman" w:cs="Times New Roman"/>
                      <w:b/>
                      <w:bCs/>
                      <w:spacing w:val="-2"/>
                      <w:sz w:val="20"/>
                      <w:szCs w:val="20"/>
                      <w:lang w:eastAsia="zh-CN"/>
                    </w:rPr>
                    <w:t>m</w:t>
                  </w:r>
                  <w:r>
                    <w:rPr>
                      <w:b/>
                      <w:bCs/>
                      <w:spacing w:val="-2"/>
                      <w:sz w:val="20"/>
                      <w:szCs w:val="20"/>
                      <w:lang w:eastAsia="zh-CN"/>
                    </w:rPr>
                    <w:t>）</w:t>
                  </w:r>
                </w:p>
              </w:tc>
              <w:tc>
                <w:tcPr>
                  <w:tcW w:w="1203" w:type="dxa"/>
                  <w:noWrap w:val="0"/>
                  <w:vAlign w:val="center"/>
                </w:tcPr>
                <w:p>
                  <w:pPr>
                    <w:pStyle w:val="4080"/>
                    <w:jc w:val="center"/>
                    <w:rPr>
                      <w:sz w:val="20"/>
                      <w:szCs w:val="20"/>
                      <w:lang w:eastAsia="zh-CN"/>
                    </w:rPr>
                  </w:pPr>
                  <w:r>
                    <w:rPr>
                      <w:b/>
                      <w:bCs/>
                      <w:spacing w:val="-5"/>
                      <w:sz w:val="20"/>
                      <w:szCs w:val="20"/>
                      <w:lang w:eastAsia="zh-CN"/>
                    </w:rPr>
                    <w:t>体积（</w:t>
                  </w:r>
                  <w:r>
                    <w:rPr>
                      <w:rFonts w:ascii="Times New Roman" w:hAnsi="Times New Roman" w:eastAsia="Times New Roman" w:cs="Times New Roman"/>
                      <w:b/>
                      <w:bCs/>
                      <w:spacing w:val="-5"/>
                      <w:sz w:val="20"/>
                      <w:szCs w:val="20"/>
                      <w:lang w:eastAsia="zh-CN"/>
                    </w:rPr>
                    <w:t>m</w:t>
                  </w:r>
                  <w:r>
                    <w:rPr>
                      <w:rFonts w:hint="eastAsia" w:ascii="Times New Roman" w:hAnsi="Times New Roman" w:cs="Times New Roman"/>
                      <w:b/>
                      <w:bCs/>
                      <w:spacing w:val="-5"/>
                      <w:sz w:val="20"/>
                      <w:szCs w:val="20"/>
                      <w:vertAlign w:val="superscript"/>
                      <w:lang w:eastAsia="zh-CN"/>
                    </w:rPr>
                    <w:t>3</w:t>
                  </w:r>
                  <w:r>
                    <w:rPr>
                      <w:b/>
                      <w:bCs/>
                      <w:spacing w:val="-5"/>
                      <w:sz w:val="20"/>
                      <w:szCs w:val="20"/>
                      <w:lang w:eastAsia="zh-CN"/>
                    </w:rPr>
                    <w:t>）</w:t>
                  </w:r>
                </w:p>
              </w:tc>
              <w:tc>
                <w:tcPr>
                  <w:tcW w:w="1359" w:type="dxa"/>
                  <w:noWrap w:val="0"/>
                  <w:vAlign w:val="center"/>
                </w:tcPr>
                <w:p>
                  <w:pPr>
                    <w:pStyle w:val="4080"/>
                    <w:jc w:val="center"/>
                    <w:rPr>
                      <w:rFonts w:hint="eastAsia"/>
                      <w:sz w:val="20"/>
                      <w:szCs w:val="20"/>
                      <w:lang w:eastAsia="zh-CN"/>
                    </w:rPr>
                  </w:pPr>
                  <w:r>
                    <w:rPr>
                      <w:b/>
                      <w:bCs/>
                      <w:spacing w:val="6"/>
                      <w:sz w:val="20"/>
                      <w:szCs w:val="20"/>
                      <w:lang w:eastAsia="zh-CN"/>
                    </w:rPr>
                    <w:t>换气次数</w:t>
                  </w:r>
                  <w:r>
                    <w:rPr>
                      <w:rFonts w:hint="eastAsia"/>
                      <w:b/>
                      <w:bCs/>
                      <w:spacing w:val="6"/>
                      <w:sz w:val="20"/>
                      <w:szCs w:val="20"/>
                      <w:lang w:eastAsia="zh-CN"/>
                    </w:rPr>
                    <w:t>（次）</w:t>
                  </w:r>
                </w:p>
              </w:tc>
              <w:tc>
                <w:tcPr>
                  <w:tcW w:w="1211" w:type="dxa"/>
                  <w:noWrap w:val="0"/>
                  <w:vAlign w:val="center"/>
                </w:tcPr>
                <w:p>
                  <w:pPr>
                    <w:pStyle w:val="4080"/>
                    <w:jc w:val="center"/>
                    <w:rPr>
                      <w:sz w:val="20"/>
                      <w:szCs w:val="20"/>
                      <w:lang w:eastAsia="zh-CN"/>
                    </w:rPr>
                  </w:pPr>
                  <w:r>
                    <w:rPr>
                      <w:b/>
                      <w:bCs/>
                      <w:spacing w:val="3"/>
                      <w:sz w:val="20"/>
                      <w:szCs w:val="20"/>
                      <w:lang w:eastAsia="zh-CN"/>
                    </w:rPr>
                    <w:t>风量</w:t>
                  </w:r>
                </w:p>
                <w:p>
                  <w:pPr>
                    <w:pStyle w:val="4080"/>
                    <w:jc w:val="center"/>
                    <w:rPr>
                      <w:sz w:val="20"/>
                      <w:szCs w:val="20"/>
                      <w:lang w:eastAsia="zh-CN"/>
                    </w:rPr>
                  </w:pPr>
                  <w:r>
                    <w:rPr>
                      <w:b/>
                      <w:bCs/>
                      <w:spacing w:val="1"/>
                      <w:sz w:val="20"/>
                      <w:szCs w:val="20"/>
                      <w:lang w:eastAsia="zh-CN"/>
                    </w:rPr>
                    <w:t>（</w:t>
                  </w:r>
                  <w:r>
                    <w:rPr>
                      <w:rFonts w:ascii="Times New Roman" w:hAnsi="Times New Roman" w:eastAsia="Times New Roman" w:cs="Times New Roman"/>
                      <w:b/>
                      <w:bCs/>
                      <w:spacing w:val="1"/>
                      <w:sz w:val="20"/>
                      <w:szCs w:val="20"/>
                      <w:lang w:eastAsia="zh-CN"/>
                    </w:rPr>
                    <w:t>m</w:t>
                  </w:r>
                  <w:r>
                    <w:rPr>
                      <w:rFonts w:hint="eastAsia" w:ascii="Times New Roman" w:hAnsi="Times New Roman" w:cs="Times New Roman"/>
                      <w:b/>
                      <w:bCs/>
                      <w:spacing w:val="-5"/>
                      <w:sz w:val="20"/>
                      <w:szCs w:val="20"/>
                      <w:vertAlign w:val="superscript"/>
                      <w:lang w:eastAsia="zh-CN"/>
                    </w:rPr>
                    <w:t>3</w:t>
                  </w:r>
                  <w:r>
                    <w:rPr>
                      <w:rFonts w:ascii="Times New Roman" w:hAnsi="Times New Roman" w:eastAsia="Times New Roman" w:cs="Times New Roman"/>
                      <w:b/>
                      <w:bCs/>
                      <w:spacing w:val="1"/>
                      <w:sz w:val="20"/>
                      <w:szCs w:val="20"/>
                      <w:lang w:eastAsia="zh-CN"/>
                    </w:rPr>
                    <w:t>/h</w:t>
                  </w:r>
                  <w:r>
                    <w:rPr>
                      <w:b/>
                      <w:bCs/>
                      <w:spacing w:val="1"/>
                      <w:sz w:val="20"/>
                      <w:szCs w:val="20"/>
                      <w:lang w:eastAsia="zh-CN"/>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105" w:type="dxa"/>
                  <w:noWrap w:val="0"/>
                  <w:vAlign w:val="center"/>
                </w:tcPr>
                <w:p>
                  <w:pPr>
                    <w:pStyle w:val="4080"/>
                    <w:jc w:val="center"/>
                    <w:rPr>
                      <w:sz w:val="20"/>
                      <w:szCs w:val="20"/>
                      <w:lang w:eastAsia="zh-CN"/>
                    </w:rPr>
                  </w:pPr>
                  <w:r>
                    <w:rPr>
                      <w:rFonts w:hint="eastAsia"/>
                      <w:spacing w:val="2"/>
                      <w:sz w:val="20"/>
                      <w:szCs w:val="20"/>
                      <w:lang w:val="en-US" w:eastAsia="zh-CN"/>
                    </w:rPr>
                    <w:t>密闭</w:t>
                  </w:r>
                  <w:r>
                    <w:rPr>
                      <w:rFonts w:hint="eastAsia"/>
                      <w:spacing w:val="2"/>
                      <w:sz w:val="20"/>
                      <w:szCs w:val="20"/>
                      <w:lang w:eastAsia="zh-CN"/>
                    </w:rPr>
                    <w:t>间</w:t>
                  </w:r>
                </w:p>
              </w:tc>
              <w:tc>
                <w:tcPr>
                  <w:tcW w:w="1186" w:type="dxa"/>
                  <w:noWrap w:val="0"/>
                  <w:vAlign w:val="center"/>
                </w:tcPr>
                <w:p>
                  <w:pPr>
                    <w:jc w:val="center"/>
                    <w:rPr>
                      <w:rFonts w:hint="default" w:eastAsia="宋体"/>
                      <w:sz w:val="20"/>
                      <w:szCs w:val="20"/>
                      <w:lang w:val="en-US" w:eastAsia="zh-CN"/>
                    </w:rPr>
                  </w:pPr>
                  <w:r>
                    <w:rPr>
                      <w:rFonts w:hint="eastAsia" w:eastAsia="宋体"/>
                      <w:sz w:val="20"/>
                      <w:szCs w:val="20"/>
                      <w:lang w:val="en-US" w:eastAsia="zh-CN"/>
                    </w:rPr>
                    <w:t>120</w:t>
                  </w:r>
                </w:p>
              </w:tc>
              <w:tc>
                <w:tcPr>
                  <w:tcW w:w="918" w:type="dxa"/>
                  <w:noWrap w:val="0"/>
                  <w:vAlign w:val="center"/>
                </w:tcPr>
                <w:p>
                  <w:pPr>
                    <w:jc w:val="center"/>
                    <w:rPr>
                      <w:rFonts w:eastAsia="Times New Roman"/>
                      <w:sz w:val="20"/>
                      <w:szCs w:val="20"/>
                    </w:rPr>
                  </w:pPr>
                  <w:r>
                    <w:rPr>
                      <w:rFonts w:eastAsia="Times New Roman"/>
                      <w:sz w:val="20"/>
                      <w:szCs w:val="20"/>
                    </w:rPr>
                    <w:t>1</w:t>
                  </w:r>
                </w:p>
              </w:tc>
              <w:tc>
                <w:tcPr>
                  <w:tcW w:w="972" w:type="dxa"/>
                  <w:noWrap w:val="0"/>
                  <w:vAlign w:val="center"/>
                </w:tcPr>
                <w:p>
                  <w:pPr>
                    <w:jc w:val="center"/>
                    <w:rPr>
                      <w:rFonts w:hint="eastAsia" w:eastAsia="宋体"/>
                      <w:sz w:val="20"/>
                      <w:szCs w:val="20"/>
                      <w:lang w:eastAsia="zh-CN"/>
                    </w:rPr>
                  </w:pPr>
                  <w:r>
                    <w:rPr>
                      <w:rFonts w:hint="eastAsia"/>
                      <w:spacing w:val="2"/>
                      <w:sz w:val="20"/>
                      <w:szCs w:val="20"/>
                      <w:lang w:val="en-US" w:eastAsia="zh-CN"/>
                    </w:rPr>
                    <w:t>4</w:t>
                  </w:r>
                </w:p>
              </w:tc>
              <w:tc>
                <w:tcPr>
                  <w:tcW w:w="1203" w:type="dxa"/>
                  <w:noWrap w:val="0"/>
                  <w:vAlign w:val="center"/>
                </w:tcPr>
                <w:p>
                  <w:pPr>
                    <w:jc w:val="center"/>
                    <w:rPr>
                      <w:rFonts w:hint="default" w:eastAsia="宋体"/>
                      <w:sz w:val="20"/>
                      <w:szCs w:val="20"/>
                      <w:lang w:val="en-US" w:eastAsia="zh-CN"/>
                    </w:rPr>
                  </w:pPr>
                  <w:r>
                    <w:rPr>
                      <w:rFonts w:hint="eastAsia"/>
                      <w:spacing w:val="-3"/>
                      <w:sz w:val="20"/>
                      <w:szCs w:val="20"/>
                      <w:lang w:val="en-US" w:eastAsia="zh-CN"/>
                    </w:rPr>
                    <w:t>480</w:t>
                  </w:r>
                </w:p>
              </w:tc>
              <w:tc>
                <w:tcPr>
                  <w:tcW w:w="1359" w:type="dxa"/>
                  <w:noWrap w:val="0"/>
                  <w:vAlign w:val="center"/>
                </w:tcPr>
                <w:p>
                  <w:pPr>
                    <w:jc w:val="center"/>
                    <w:rPr>
                      <w:rFonts w:hint="eastAsia" w:eastAsia="宋体"/>
                      <w:sz w:val="20"/>
                      <w:szCs w:val="20"/>
                      <w:lang w:eastAsia="zh-CN"/>
                    </w:rPr>
                  </w:pPr>
                  <w:r>
                    <w:rPr>
                      <w:rFonts w:hint="eastAsia"/>
                      <w:spacing w:val="-8"/>
                      <w:sz w:val="20"/>
                      <w:szCs w:val="20"/>
                      <w:lang w:val="en-US" w:eastAsia="zh-CN"/>
                    </w:rPr>
                    <w:t>6</w:t>
                  </w:r>
                </w:p>
              </w:tc>
              <w:tc>
                <w:tcPr>
                  <w:tcW w:w="1211" w:type="dxa"/>
                  <w:noWrap w:val="0"/>
                  <w:vAlign w:val="center"/>
                </w:tcPr>
                <w:p>
                  <w:pPr>
                    <w:jc w:val="center"/>
                    <w:rPr>
                      <w:rFonts w:hint="default" w:eastAsia="宋体"/>
                      <w:sz w:val="20"/>
                      <w:szCs w:val="20"/>
                      <w:lang w:val="en-US" w:eastAsia="zh-CN"/>
                    </w:rPr>
                  </w:pPr>
                  <w:r>
                    <w:rPr>
                      <w:rFonts w:hint="eastAsia"/>
                      <w:spacing w:val="-1"/>
                      <w:sz w:val="20"/>
                      <w:szCs w:val="20"/>
                      <w:lang w:val="en-US" w:eastAsia="zh-CN"/>
                    </w:rPr>
                    <w:t>2880</w:t>
                  </w:r>
                </w:p>
              </w:tc>
            </w:tr>
          </w:tbl>
          <w:p>
            <w:pPr>
              <w:pStyle w:val="47"/>
              <w:spacing w:after="0" w:line="360" w:lineRule="auto"/>
              <w:ind w:left="0" w:leftChars="0" w:firstLine="420" w:firstLineChars="200"/>
              <w:rPr>
                <w:rFonts w:ascii="Times New Roman" w:hAnsi="Times New Roman"/>
                <w:sz w:val="21"/>
                <w:szCs w:val="21"/>
                <w:lang w:bidi="ar"/>
              </w:rPr>
            </w:pPr>
            <w:r>
              <w:rPr>
                <w:rFonts w:ascii="Times New Roman" w:hAnsi="Times New Roman"/>
                <w:sz w:val="21"/>
                <w:szCs w:val="21"/>
                <w:lang w:bidi="ar"/>
              </w:rPr>
              <w:t>根据《环境工程设计手册》P48，排风罩设置在污染源上方的排风量核算公式为L=kPHVt</w:t>
            </w:r>
          </w:p>
          <w:p>
            <w:pPr>
              <w:pStyle w:val="47"/>
              <w:spacing w:after="0" w:line="360" w:lineRule="auto"/>
              <w:ind w:firstLine="420" w:firstLineChars="200"/>
              <w:rPr>
                <w:rFonts w:ascii="Times New Roman" w:hAnsi="Times New Roman"/>
                <w:sz w:val="21"/>
                <w:szCs w:val="21"/>
                <w:lang w:bidi="ar"/>
              </w:rPr>
            </w:pPr>
            <w:r>
              <w:rPr>
                <w:rFonts w:ascii="Times New Roman" w:hAnsi="Times New Roman"/>
                <w:sz w:val="21"/>
                <w:szCs w:val="21"/>
                <w:lang w:bidi="ar"/>
              </w:rPr>
              <w:t>式中：P——排风罩口敞开面的周长，m；</w:t>
            </w:r>
          </w:p>
          <w:p>
            <w:pPr>
              <w:pStyle w:val="47"/>
              <w:spacing w:after="0" w:line="360" w:lineRule="auto"/>
              <w:ind w:firstLine="420" w:firstLineChars="200"/>
              <w:rPr>
                <w:rFonts w:ascii="Times New Roman" w:hAnsi="Times New Roman"/>
                <w:sz w:val="21"/>
                <w:szCs w:val="21"/>
                <w:lang w:bidi="ar"/>
              </w:rPr>
            </w:pPr>
            <w:r>
              <w:rPr>
                <w:rFonts w:ascii="Times New Roman" w:hAnsi="Times New Roman"/>
                <w:sz w:val="21"/>
                <w:szCs w:val="21"/>
                <w:lang w:bidi="ar"/>
              </w:rPr>
              <w:t>H——罩口至污染源距离，m，本项目集气罩距离污染源距离约</w:t>
            </w:r>
            <w:r>
              <w:rPr>
                <w:rFonts w:hint="eastAsia" w:ascii="Times New Roman" w:hAnsi="Times New Roman"/>
                <w:sz w:val="21"/>
                <w:szCs w:val="21"/>
                <w:lang w:bidi="ar"/>
              </w:rPr>
              <w:t>20</w:t>
            </w:r>
            <w:r>
              <w:rPr>
                <w:rFonts w:ascii="Times New Roman" w:hAnsi="Times New Roman"/>
                <w:sz w:val="21"/>
                <w:szCs w:val="21"/>
                <w:lang w:bidi="ar"/>
              </w:rPr>
              <w:t>cm；</w:t>
            </w:r>
          </w:p>
          <w:p>
            <w:pPr>
              <w:pStyle w:val="47"/>
              <w:spacing w:after="0" w:line="360" w:lineRule="auto"/>
              <w:ind w:firstLine="420" w:firstLineChars="200"/>
              <w:rPr>
                <w:rFonts w:hint="default" w:ascii="Times New Roman" w:hAnsi="Times New Roman" w:eastAsia="宋体"/>
                <w:sz w:val="21"/>
                <w:szCs w:val="21"/>
                <w:lang w:val="en-US" w:eastAsia="zh-CN" w:bidi="ar"/>
              </w:rPr>
            </w:pPr>
            <w:r>
              <w:rPr>
                <w:rFonts w:ascii="Times New Roman" w:hAnsi="Times New Roman"/>
                <w:sz w:val="21"/>
                <w:szCs w:val="21"/>
                <w:lang w:bidi="ar"/>
              </w:rPr>
              <w:t>Vt——污染源边缘控制风速，m/s，按表1.3.2查取；根据表1.3.2，本项目控制风速取值范围为0.5-1.0m/s</w:t>
            </w:r>
            <w:r>
              <w:rPr>
                <w:rFonts w:hint="eastAsia" w:ascii="Times New Roman" w:hAnsi="Times New Roman"/>
                <w:sz w:val="21"/>
                <w:szCs w:val="21"/>
                <w:lang w:eastAsia="zh-CN" w:bidi="ar"/>
              </w:rPr>
              <w:t>，</w:t>
            </w:r>
            <w:r>
              <w:rPr>
                <w:rFonts w:hint="eastAsia" w:ascii="Times New Roman" w:hAnsi="Times New Roman"/>
                <w:sz w:val="21"/>
                <w:szCs w:val="21"/>
                <w:lang w:bidi="ar"/>
              </w:rPr>
              <w:t>本项目取值</w:t>
            </w:r>
            <w:r>
              <w:rPr>
                <w:rFonts w:hint="eastAsia" w:ascii="Times New Roman" w:hAnsi="Times New Roman"/>
                <w:sz w:val="21"/>
                <w:szCs w:val="21"/>
                <w:lang w:val="en-US" w:eastAsia="zh-CN" w:bidi="ar"/>
              </w:rPr>
              <w:t>0.5m/s；</w:t>
            </w:r>
          </w:p>
          <w:p>
            <w:pPr>
              <w:pStyle w:val="47"/>
              <w:spacing w:after="0" w:line="360" w:lineRule="auto"/>
              <w:ind w:firstLine="420" w:firstLineChars="200"/>
              <w:rPr>
                <w:rFonts w:ascii="Times New Roman" w:hAnsi="Times New Roman"/>
                <w:sz w:val="21"/>
                <w:szCs w:val="21"/>
                <w:lang w:bidi="ar"/>
              </w:rPr>
            </w:pPr>
            <w:r>
              <w:rPr>
                <w:rFonts w:ascii="Times New Roman" w:hAnsi="Times New Roman"/>
                <w:sz w:val="21"/>
                <w:szCs w:val="21"/>
                <w:lang w:bidi="ar"/>
              </w:rPr>
              <w:t>k——安全系数，一般取1.4。</w:t>
            </w:r>
          </w:p>
          <w:p>
            <w:pPr>
              <w:adjustRightInd w:val="0"/>
              <w:snapToGrid w:val="0"/>
              <w:jc w:val="center"/>
              <w:rPr>
                <w:rFonts w:ascii="Times New Roman" w:hAnsi="Times New Roman"/>
                <w:b/>
                <w:kern w:val="0"/>
                <w:sz w:val="21"/>
                <w:szCs w:val="21"/>
              </w:rPr>
            </w:pPr>
            <w:r>
              <w:rPr>
                <w:rFonts w:ascii="Times New Roman" w:hAnsi="Times New Roman"/>
                <w:b/>
                <w:kern w:val="0"/>
                <w:sz w:val="21"/>
                <w:szCs w:val="21"/>
              </w:rPr>
              <w:t>表</w:t>
            </w:r>
            <w:r>
              <w:rPr>
                <w:rFonts w:hint="eastAsia" w:ascii="Times New Roman" w:hAnsi="Times New Roman"/>
                <w:b/>
                <w:kern w:val="0"/>
                <w:sz w:val="21"/>
                <w:szCs w:val="21"/>
                <w:lang w:val="en-US" w:eastAsia="zh-CN"/>
              </w:rPr>
              <w:t>4-</w:t>
            </w:r>
            <w:r>
              <w:rPr>
                <w:rFonts w:hint="eastAsia"/>
                <w:b/>
                <w:kern w:val="0"/>
                <w:sz w:val="21"/>
                <w:szCs w:val="21"/>
                <w:lang w:val="en-US" w:eastAsia="zh-CN"/>
              </w:rPr>
              <w:t>7</w:t>
            </w:r>
            <w:r>
              <w:rPr>
                <w:rFonts w:hint="eastAsia" w:ascii="Times New Roman" w:hAnsi="Times New Roman"/>
                <w:b/>
                <w:kern w:val="0"/>
                <w:sz w:val="21"/>
                <w:szCs w:val="21"/>
                <w:lang w:val="en-US" w:eastAsia="zh-CN"/>
              </w:rPr>
              <w:t xml:space="preserve"> </w:t>
            </w:r>
            <w:r>
              <w:rPr>
                <w:rFonts w:ascii="Times New Roman" w:hAnsi="Times New Roman"/>
                <w:b/>
                <w:kern w:val="0"/>
                <w:sz w:val="21"/>
                <w:szCs w:val="21"/>
              </w:rPr>
              <w:t xml:space="preserve">  各设备集气罩参数</w:t>
            </w:r>
          </w:p>
          <w:tbl>
            <w:tblPr>
              <w:tblStyle w:val="91"/>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60"/>
              <w:gridCol w:w="985"/>
              <w:gridCol w:w="1133"/>
              <w:gridCol w:w="1133"/>
              <w:gridCol w:w="1134"/>
              <w:gridCol w:w="1134"/>
              <w:gridCol w:w="1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pct"/>
                  <w:tcBorders>
                    <w:bottom w:val="single" w:color="auto" w:sz="12" w:space="0"/>
                  </w:tcBorders>
                  <w:vAlign w:val="center"/>
                </w:tcPr>
                <w:p>
                  <w:pPr>
                    <w:spacing w:after="0" w:line="240" w:lineRule="auto"/>
                    <w:jc w:val="center"/>
                    <w:rPr>
                      <w:rFonts w:ascii="Times New Roman" w:hAnsi="Times New Roman"/>
                      <w:b/>
                      <w:bCs/>
                      <w:sz w:val="20"/>
                      <w:szCs w:val="20"/>
                    </w:rPr>
                  </w:pPr>
                  <w:r>
                    <w:rPr>
                      <w:rFonts w:ascii="Times New Roman" w:hAnsi="Times New Roman"/>
                      <w:b/>
                      <w:bCs/>
                      <w:sz w:val="20"/>
                      <w:szCs w:val="20"/>
                    </w:rPr>
                    <w:t>设备</w:t>
                  </w:r>
                </w:p>
              </w:tc>
              <w:tc>
                <w:tcPr>
                  <w:tcW w:w="585" w:type="pct"/>
                  <w:tcBorders>
                    <w:bottom w:val="single" w:color="auto" w:sz="12" w:space="0"/>
                  </w:tcBorders>
                  <w:vAlign w:val="center"/>
                </w:tcPr>
                <w:p>
                  <w:pPr>
                    <w:spacing w:after="0" w:line="240" w:lineRule="auto"/>
                    <w:jc w:val="center"/>
                    <w:rPr>
                      <w:rFonts w:ascii="Times New Roman" w:hAnsi="Times New Roman"/>
                      <w:b/>
                      <w:bCs/>
                      <w:sz w:val="20"/>
                      <w:szCs w:val="20"/>
                    </w:rPr>
                  </w:pPr>
                  <w:r>
                    <w:rPr>
                      <w:rFonts w:ascii="Times New Roman" w:hAnsi="Times New Roman"/>
                      <w:b/>
                      <w:bCs/>
                      <w:sz w:val="20"/>
                      <w:szCs w:val="20"/>
                    </w:rPr>
                    <w:t>P</w:t>
                  </w:r>
                </w:p>
              </w:tc>
              <w:tc>
                <w:tcPr>
                  <w:tcW w:w="673" w:type="pct"/>
                  <w:tcBorders>
                    <w:bottom w:val="single" w:color="auto" w:sz="12" w:space="0"/>
                  </w:tcBorders>
                  <w:vAlign w:val="center"/>
                </w:tcPr>
                <w:p>
                  <w:pPr>
                    <w:spacing w:after="0" w:line="240" w:lineRule="auto"/>
                    <w:jc w:val="center"/>
                    <w:rPr>
                      <w:rFonts w:ascii="Times New Roman" w:hAnsi="Times New Roman"/>
                      <w:b/>
                      <w:bCs/>
                      <w:sz w:val="20"/>
                      <w:szCs w:val="20"/>
                    </w:rPr>
                  </w:pPr>
                  <w:r>
                    <w:rPr>
                      <w:rFonts w:ascii="Times New Roman" w:hAnsi="Times New Roman"/>
                      <w:b/>
                      <w:bCs/>
                      <w:sz w:val="20"/>
                      <w:szCs w:val="20"/>
                    </w:rPr>
                    <w:t>H</w:t>
                  </w:r>
                </w:p>
              </w:tc>
              <w:tc>
                <w:tcPr>
                  <w:tcW w:w="673" w:type="pct"/>
                  <w:tcBorders>
                    <w:bottom w:val="single" w:color="auto" w:sz="12" w:space="0"/>
                  </w:tcBorders>
                  <w:vAlign w:val="center"/>
                </w:tcPr>
                <w:p>
                  <w:pPr>
                    <w:spacing w:after="0" w:line="240" w:lineRule="auto"/>
                    <w:jc w:val="center"/>
                    <w:rPr>
                      <w:rFonts w:ascii="Times New Roman" w:hAnsi="Times New Roman"/>
                      <w:b/>
                      <w:bCs/>
                      <w:sz w:val="20"/>
                      <w:szCs w:val="20"/>
                    </w:rPr>
                  </w:pPr>
                  <w:r>
                    <w:rPr>
                      <w:rFonts w:ascii="Times New Roman" w:hAnsi="Times New Roman"/>
                      <w:b/>
                      <w:bCs/>
                      <w:sz w:val="20"/>
                      <w:szCs w:val="20"/>
                    </w:rPr>
                    <w:t>Vt</w:t>
                  </w:r>
                </w:p>
              </w:tc>
              <w:tc>
                <w:tcPr>
                  <w:tcW w:w="673" w:type="pct"/>
                  <w:tcBorders>
                    <w:bottom w:val="single" w:color="auto" w:sz="12" w:space="0"/>
                  </w:tcBorders>
                  <w:vAlign w:val="center"/>
                </w:tcPr>
                <w:p>
                  <w:pPr>
                    <w:spacing w:after="0" w:line="240" w:lineRule="auto"/>
                    <w:jc w:val="center"/>
                    <w:rPr>
                      <w:rFonts w:ascii="Times New Roman" w:hAnsi="Times New Roman"/>
                      <w:b/>
                      <w:bCs/>
                      <w:sz w:val="20"/>
                      <w:szCs w:val="20"/>
                    </w:rPr>
                  </w:pPr>
                  <w:r>
                    <w:rPr>
                      <w:rFonts w:ascii="Times New Roman" w:hAnsi="Times New Roman"/>
                      <w:b/>
                      <w:bCs/>
                      <w:sz w:val="20"/>
                      <w:szCs w:val="20"/>
                    </w:rPr>
                    <w:t>k</w:t>
                  </w:r>
                </w:p>
              </w:tc>
              <w:tc>
                <w:tcPr>
                  <w:tcW w:w="673" w:type="pct"/>
                  <w:tcBorders>
                    <w:bottom w:val="single" w:color="auto" w:sz="12" w:space="0"/>
                  </w:tcBorders>
                  <w:vAlign w:val="center"/>
                </w:tcPr>
                <w:p>
                  <w:pPr>
                    <w:spacing w:after="0" w:line="240" w:lineRule="auto"/>
                    <w:jc w:val="center"/>
                    <w:rPr>
                      <w:rFonts w:ascii="Times New Roman" w:hAnsi="Times New Roman"/>
                      <w:b/>
                      <w:bCs/>
                      <w:sz w:val="20"/>
                      <w:szCs w:val="20"/>
                    </w:rPr>
                  </w:pPr>
                  <w:r>
                    <w:rPr>
                      <w:rFonts w:hint="eastAsia" w:ascii="Times New Roman" w:hAnsi="Times New Roman"/>
                      <w:b/>
                      <w:bCs/>
                      <w:sz w:val="20"/>
                      <w:szCs w:val="20"/>
                    </w:rPr>
                    <w:t>台数</w:t>
                  </w:r>
                </w:p>
              </w:tc>
              <w:tc>
                <w:tcPr>
                  <w:tcW w:w="673" w:type="pct"/>
                  <w:tcBorders>
                    <w:bottom w:val="single" w:color="auto" w:sz="12" w:space="0"/>
                  </w:tcBorders>
                  <w:vAlign w:val="center"/>
                </w:tcPr>
                <w:p>
                  <w:pPr>
                    <w:spacing w:after="0" w:line="240" w:lineRule="auto"/>
                    <w:jc w:val="center"/>
                    <w:rPr>
                      <w:rFonts w:ascii="Times New Roman" w:hAnsi="Times New Roman"/>
                      <w:b/>
                      <w:bCs/>
                      <w:sz w:val="20"/>
                      <w:szCs w:val="20"/>
                    </w:rPr>
                  </w:pPr>
                  <w:r>
                    <w:rPr>
                      <w:rFonts w:ascii="Times New Roman" w:hAnsi="Times New Roman"/>
                      <w:b/>
                      <w:bCs/>
                      <w:sz w:val="20"/>
                      <w:szCs w:val="20"/>
                    </w:rPr>
                    <w:t>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46" w:type="pct"/>
                  <w:tcBorders>
                    <w:tl2br w:val="nil"/>
                    <w:tr2bl w:val="nil"/>
                  </w:tcBorders>
                  <w:vAlign w:val="center"/>
                </w:tcPr>
                <w:p>
                  <w:pPr>
                    <w:spacing w:after="0" w:line="240" w:lineRule="auto"/>
                    <w:jc w:val="center"/>
                    <w:rPr>
                      <w:rFonts w:hint="eastAsia" w:ascii="Times New Roman" w:hAnsi="Times New Roman" w:eastAsia="宋体" w:cs="Times New Roman"/>
                      <w:sz w:val="20"/>
                      <w:szCs w:val="20"/>
                      <w:lang w:eastAsia="zh-CN"/>
                    </w:rPr>
                  </w:pPr>
                  <w:r>
                    <w:rPr>
                      <w:rFonts w:hint="eastAsia" w:ascii="Times New Roman" w:hAnsi="Times New Roman" w:eastAsia="宋体" w:cs="Times New Roman"/>
                      <w:sz w:val="20"/>
                      <w:szCs w:val="20"/>
                      <w:lang w:val="en-US" w:eastAsia="zh-CN"/>
                    </w:rPr>
                    <w:t>拉毛、刷呢、剪毛、烫光和揺粒</w:t>
                  </w:r>
                  <w:r>
                    <w:rPr>
                      <w:rFonts w:hint="eastAsia" w:ascii="Times New Roman" w:hAnsi="Times New Roman" w:eastAsia="宋体" w:cs="Times New Roman"/>
                      <w:sz w:val="20"/>
                      <w:szCs w:val="20"/>
                      <w:lang w:eastAsia="zh-CN"/>
                    </w:rPr>
                    <w:t>机</w:t>
                  </w:r>
                </w:p>
              </w:tc>
              <w:tc>
                <w:tcPr>
                  <w:tcW w:w="585" w:type="pct"/>
                  <w:tcBorders>
                    <w:tl2br w:val="nil"/>
                    <w:tr2bl w:val="nil"/>
                  </w:tcBorders>
                  <w:vAlign w:val="center"/>
                </w:tcPr>
                <w:p>
                  <w:pPr>
                    <w:spacing w:after="0" w:line="240" w:lineRule="auto"/>
                    <w:jc w:val="center"/>
                    <w:rPr>
                      <w:rFonts w:hint="default" w:ascii="Times New Roman" w:hAnsi="Times New Roman" w:eastAsia="宋体" w:cs="Times New Roman"/>
                      <w:sz w:val="20"/>
                      <w:szCs w:val="20"/>
                      <w:lang w:val="en-US" w:eastAsia="zh-CN"/>
                    </w:rPr>
                  </w:pPr>
                  <w:r>
                    <w:rPr>
                      <w:rFonts w:hint="eastAsia" w:cs="Times New Roman"/>
                      <w:sz w:val="20"/>
                      <w:szCs w:val="20"/>
                      <w:lang w:val="en-US" w:eastAsia="zh-CN"/>
                    </w:rPr>
                    <w:t>1</w:t>
                  </w:r>
                </w:p>
              </w:tc>
              <w:tc>
                <w:tcPr>
                  <w:tcW w:w="673" w:type="pct"/>
                  <w:tcBorders>
                    <w:tl2br w:val="nil"/>
                    <w:tr2bl w:val="nil"/>
                  </w:tcBorders>
                  <w:vAlign w:val="center"/>
                </w:tcPr>
                <w:p>
                  <w:pPr>
                    <w:spacing w:after="0" w:line="240" w:lineRule="auto"/>
                    <w:jc w:val="center"/>
                    <w:rPr>
                      <w:rFonts w:ascii="Times New Roman" w:hAnsi="Times New Roman"/>
                      <w:sz w:val="20"/>
                      <w:szCs w:val="20"/>
                    </w:rPr>
                  </w:pPr>
                  <w:r>
                    <w:rPr>
                      <w:rFonts w:hint="eastAsia" w:ascii="Times New Roman" w:hAnsi="Times New Roman"/>
                      <w:sz w:val="20"/>
                      <w:szCs w:val="20"/>
                    </w:rPr>
                    <w:t>0.2</w:t>
                  </w:r>
                </w:p>
              </w:tc>
              <w:tc>
                <w:tcPr>
                  <w:tcW w:w="673" w:type="pct"/>
                  <w:tcBorders>
                    <w:tl2br w:val="nil"/>
                    <w:tr2bl w:val="nil"/>
                  </w:tcBorders>
                  <w:vAlign w:val="center"/>
                </w:tcPr>
                <w:p>
                  <w:pPr>
                    <w:spacing w:after="0" w:line="240" w:lineRule="auto"/>
                    <w:jc w:val="center"/>
                    <w:rPr>
                      <w:rFonts w:hint="eastAsia" w:ascii="Times New Roman" w:hAnsi="Times New Roman" w:eastAsia="宋体"/>
                      <w:sz w:val="20"/>
                      <w:szCs w:val="20"/>
                      <w:lang w:eastAsia="zh-CN"/>
                    </w:rPr>
                  </w:pPr>
                  <w:r>
                    <w:rPr>
                      <w:rFonts w:hint="eastAsia" w:ascii="Times New Roman" w:hAnsi="Times New Roman"/>
                      <w:sz w:val="20"/>
                      <w:szCs w:val="20"/>
                    </w:rPr>
                    <w:t>0.</w:t>
                  </w:r>
                  <w:r>
                    <w:rPr>
                      <w:rFonts w:hint="eastAsia" w:ascii="Times New Roman" w:hAnsi="Times New Roman"/>
                      <w:sz w:val="20"/>
                      <w:szCs w:val="20"/>
                      <w:lang w:val="en-US" w:eastAsia="zh-CN"/>
                    </w:rPr>
                    <w:t>5</w:t>
                  </w:r>
                </w:p>
              </w:tc>
              <w:tc>
                <w:tcPr>
                  <w:tcW w:w="673" w:type="pct"/>
                  <w:tcBorders>
                    <w:tl2br w:val="nil"/>
                    <w:tr2bl w:val="nil"/>
                  </w:tcBorders>
                  <w:vAlign w:val="center"/>
                </w:tcPr>
                <w:p>
                  <w:pPr>
                    <w:spacing w:after="0" w:line="240" w:lineRule="auto"/>
                    <w:jc w:val="center"/>
                    <w:rPr>
                      <w:rFonts w:ascii="Times New Roman" w:hAnsi="Times New Roman"/>
                      <w:sz w:val="20"/>
                      <w:szCs w:val="20"/>
                    </w:rPr>
                  </w:pPr>
                  <w:r>
                    <w:rPr>
                      <w:rFonts w:hint="eastAsia" w:ascii="Times New Roman" w:hAnsi="Times New Roman"/>
                      <w:sz w:val="20"/>
                      <w:szCs w:val="20"/>
                    </w:rPr>
                    <w:t>1.4</w:t>
                  </w:r>
                </w:p>
              </w:tc>
              <w:tc>
                <w:tcPr>
                  <w:tcW w:w="673" w:type="pct"/>
                  <w:tcBorders>
                    <w:tl2br w:val="nil"/>
                    <w:tr2bl w:val="nil"/>
                  </w:tcBorders>
                  <w:vAlign w:val="center"/>
                </w:tcPr>
                <w:p>
                  <w:pPr>
                    <w:spacing w:after="0" w:line="240" w:lineRule="auto"/>
                    <w:jc w:val="center"/>
                    <w:rPr>
                      <w:rFonts w:hint="default" w:ascii="Times New Roman" w:hAnsi="Times New Roman" w:eastAsia="宋体"/>
                      <w:sz w:val="20"/>
                      <w:szCs w:val="20"/>
                      <w:lang w:val="en-US" w:eastAsia="zh-CN"/>
                    </w:rPr>
                  </w:pPr>
                  <w:r>
                    <w:rPr>
                      <w:rFonts w:hint="eastAsia"/>
                      <w:sz w:val="20"/>
                      <w:szCs w:val="20"/>
                      <w:lang w:val="en-US" w:eastAsia="zh-CN"/>
                    </w:rPr>
                    <w:t>30</w:t>
                  </w:r>
                </w:p>
              </w:tc>
              <w:tc>
                <w:tcPr>
                  <w:tcW w:w="673" w:type="pct"/>
                  <w:tcBorders>
                    <w:tl2br w:val="nil"/>
                    <w:tr2bl w:val="nil"/>
                  </w:tcBorders>
                  <w:vAlign w:val="center"/>
                </w:tcPr>
                <w:p>
                  <w:pPr>
                    <w:spacing w:after="0" w:line="240" w:lineRule="auto"/>
                    <w:jc w:val="center"/>
                    <w:rPr>
                      <w:rFonts w:hint="default" w:ascii="Times New Roman" w:hAnsi="Times New Roman" w:eastAsia="宋体"/>
                      <w:sz w:val="20"/>
                      <w:szCs w:val="20"/>
                      <w:lang w:val="en-US" w:eastAsia="zh-CN"/>
                    </w:rPr>
                  </w:pPr>
                  <w:r>
                    <w:rPr>
                      <w:rFonts w:hint="eastAsia"/>
                      <w:sz w:val="20"/>
                      <w:szCs w:val="20"/>
                      <w:lang w:val="en-US" w:eastAsia="zh-CN"/>
                    </w:rPr>
                    <w:t>15120</w:t>
                  </w:r>
                </w:p>
              </w:tc>
            </w:tr>
          </w:tbl>
          <w:p>
            <w:pPr>
              <w:pStyle w:val="47"/>
              <w:spacing w:after="0" w:line="360" w:lineRule="auto"/>
              <w:ind w:firstLine="420" w:firstLineChars="200"/>
              <w:rPr>
                <w:rFonts w:hint="eastAsia" w:ascii="Times New Roman" w:hAnsi="Times New Roman" w:eastAsia="宋体"/>
                <w:sz w:val="21"/>
                <w:szCs w:val="21"/>
                <w:lang w:val="en-US" w:eastAsia="zh-CN" w:bidi="ar"/>
              </w:rPr>
            </w:pPr>
            <w:r>
              <w:rPr>
                <w:rFonts w:ascii="Times New Roman" w:hAnsi="Times New Roman"/>
                <w:sz w:val="21"/>
                <w:szCs w:val="21"/>
                <w:lang w:bidi="ar"/>
              </w:rPr>
              <w:t>根据上表计算结果，考虑到风压损失、管道距离等因素，</w:t>
            </w:r>
            <w:r>
              <w:rPr>
                <w:rFonts w:hint="eastAsia" w:ascii="Times New Roman" w:hAnsi="Times New Roman"/>
                <w:sz w:val="21"/>
                <w:szCs w:val="21"/>
                <w:lang w:bidi="ar"/>
              </w:rPr>
              <w:t>本</w:t>
            </w:r>
            <w:r>
              <w:rPr>
                <w:rFonts w:ascii="Times New Roman" w:hAnsi="Times New Roman"/>
                <w:sz w:val="21"/>
                <w:szCs w:val="21"/>
                <w:lang w:bidi="ar"/>
              </w:rPr>
              <w:t>项</w:t>
            </w:r>
            <w:r>
              <w:rPr>
                <w:rFonts w:hint="eastAsia" w:ascii="Times New Roman" w:hAnsi="Times New Roman" w:cs="Times New Roman"/>
                <w:sz w:val="21"/>
                <w:szCs w:val="21"/>
                <w:lang w:bidi="ar"/>
              </w:rPr>
              <w:t>目</w:t>
            </w:r>
            <w:r>
              <w:rPr>
                <w:rFonts w:hint="eastAsia" w:ascii="Times New Roman" w:hAnsi="Times New Roman" w:cs="Times New Roman"/>
                <w:sz w:val="21"/>
                <w:szCs w:val="21"/>
                <w:lang w:val="en-US" w:eastAsia="zh-CN" w:bidi="ar"/>
              </w:rPr>
              <w:t>拉毛、刷呢、剪毛、烫光和揺粒</w:t>
            </w:r>
            <w:r>
              <w:rPr>
                <w:rFonts w:hint="eastAsia" w:ascii="Times New Roman" w:hAnsi="Times New Roman" w:cs="Times New Roman"/>
                <w:sz w:val="21"/>
                <w:szCs w:val="21"/>
                <w:lang w:bidi="ar"/>
              </w:rPr>
              <w:t>工段风量</w:t>
            </w:r>
            <w:r>
              <w:rPr>
                <w:rFonts w:ascii="Times New Roman" w:hAnsi="Times New Roman"/>
                <w:sz w:val="21"/>
                <w:szCs w:val="21"/>
                <w:lang w:bidi="ar"/>
              </w:rPr>
              <w:t>取值</w:t>
            </w:r>
            <w:r>
              <w:rPr>
                <w:rFonts w:hint="eastAsia" w:ascii="Times New Roman" w:hAnsi="Times New Roman"/>
                <w:sz w:val="21"/>
                <w:szCs w:val="21"/>
                <w:lang w:bidi="ar"/>
              </w:rPr>
              <w:t>约</w:t>
            </w:r>
            <w:r>
              <w:rPr>
                <w:rFonts w:hint="eastAsia" w:ascii="Times New Roman" w:hAnsi="Times New Roman"/>
                <w:sz w:val="21"/>
                <w:szCs w:val="21"/>
                <w:lang w:val="en-US" w:eastAsia="zh-CN" w:bidi="ar"/>
              </w:rPr>
              <w:t>165</w:t>
            </w:r>
            <w:r>
              <w:rPr>
                <w:rFonts w:ascii="Times New Roman" w:hAnsi="Times New Roman"/>
                <w:sz w:val="21"/>
                <w:szCs w:val="21"/>
                <w:lang w:bidi="ar"/>
              </w:rPr>
              <w:t>00m</w:t>
            </w:r>
            <w:r>
              <w:rPr>
                <w:rFonts w:ascii="Times New Roman" w:hAnsi="Times New Roman"/>
                <w:sz w:val="21"/>
                <w:szCs w:val="21"/>
                <w:vertAlign w:val="superscript"/>
                <w:lang w:bidi="ar"/>
              </w:rPr>
              <w:t>3</w:t>
            </w:r>
            <w:r>
              <w:rPr>
                <w:rFonts w:ascii="Times New Roman" w:hAnsi="Times New Roman"/>
                <w:sz w:val="21"/>
                <w:szCs w:val="21"/>
                <w:lang w:bidi="ar"/>
              </w:rPr>
              <w:t>/h，</w:t>
            </w:r>
            <w:r>
              <w:rPr>
                <w:rFonts w:hint="eastAsia" w:ascii="Times New Roman" w:hAnsi="Times New Roman"/>
                <w:sz w:val="21"/>
                <w:szCs w:val="21"/>
                <w:lang w:val="en-US" w:eastAsia="zh-CN" w:bidi="ar"/>
              </w:rPr>
              <w:t>与定型、蒸呢合并DA001排气筒，风量共24000</w:t>
            </w:r>
            <w:r>
              <w:rPr>
                <w:rFonts w:ascii="Times New Roman" w:hAnsi="Times New Roman"/>
                <w:sz w:val="21"/>
                <w:szCs w:val="21"/>
                <w:lang w:bidi="ar"/>
              </w:rPr>
              <w:t>m</w:t>
            </w:r>
            <w:r>
              <w:rPr>
                <w:rFonts w:ascii="Times New Roman" w:hAnsi="Times New Roman"/>
                <w:sz w:val="21"/>
                <w:szCs w:val="21"/>
                <w:vertAlign w:val="superscript"/>
                <w:lang w:bidi="ar"/>
              </w:rPr>
              <w:t>3</w:t>
            </w:r>
            <w:r>
              <w:rPr>
                <w:rFonts w:ascii="Times New Roman" w:hAnsi="Times New Roman"/>
                <w:sz w:val="21"/>
                <w:szCs w:val="21"/>
                <w:lang w:bidi="ar"/>
              </w:rPr>
              <w:t>/h</w:t>
            </w:r>
            <w:r>
              <w:rPr>
                <w:rFonts w:hint="eastAsia" w:ascii="Times New Roman" w:hAnsi="Times New Roman"/>
                <w:sz w:val="21"/>
                <w:szCs w:val="21"/>
                <w:lang w:eastAsia="zh-CN" w:bidi="ar"/>
              </w:rPr>
              <w:t>。</w:t>
            </w:r>
          </w:p>
          <w:p>
            <w:pPr>
              <w:pStyle w:val="47"/>
              <w:spacing w:after="0" w:line="360" w:lineRule="auto"/>
              <w:ind w:firstLine="420" w:firstLineChars="200"/>
              <w:rPr>
                <w:rFonts w:hint="default"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③生物质锅炉废气风量</w:t>
            </w:r>
          </w:p>
          <w:p>
            <w:pPr>
              <w:pStyle w:val="47"/>
              <w:spacing w:after="0" w:line="360" w:lineRule="auto"/>
              <w:ind w:firstLine="420" w:firstLineChars="200"/>
              <w:rPr>
                <w:rFonts w:hint="eastAsia" w:ascii="Times New Roman" w:hAnsi="Times New Roman" w:cs="Times New Roman"/>
                <w:sz w:val="21"/>
                <w:szCs w:val="21"/>
                <w:lang w:val="en-US" w:eastAsia="zh-CN" w:bidi="ar"/>
              </w:rPr>
            </w:pPr>
            <w:r>
              <w:rPr>
                <w:rFonts w:hint="eastAsia" w:ascii="Times New Roman" w:hAnsi="Times New Roman" w:cs="Times New Roman"/>
                <w:sz w:val="21"/>
                <w:szCs w:val="21"/>
                <w:lang w:val="en-US" w:eastAsia="zh-CN" w:bidi="ar"/>
              </w:rPr>
              <w:t>参照《排放源统计调查产排污核算方法和系数手册》中“4430工业锅炉（热力生产和供应行业）产污系数表-生物质工业锅炉”，工业废气量系数为6240Nm</w:t>
            </w:r>
            <w:r>
              <w:rPr>
                <w:rFonts w:hint="eastAsia" w:ascii="Times New Roman" w:hAnsi="Times New Roman" w:cs="Times New Roman"/>
                <w:sz w:val="21"/>
                <w:szCs w:val="21"/>
                <w:vertAlign w:val="superscript"/>
                <w:lang w:val="en-US" w:eastAsia="zh-CN" w:bidi="ar"/>
              </w:rPr>
              <w:t>3</w:t>
            </w:r>
            <w:r>
              <w:rPr>
                <w:rFonts w:hint="eastAsia" w:ascii="Times New Roman" w:hAnsi="Times New Roman" w:cs="Times New Roman"/>
                <w:sz w:val="21"/>
                <w:szCs w:val="21"/>
                <w:lang w:val="en-US" w:eastAsia="zh-CN" w:bidi="ar"/>
              </w:rPr>
              <w:t>/t-原料，</w:t>
            </w:r>
            <w:r>
              <w:rPr>
                <w:rFonts w:hint="eastAsia" w:ascii="Times New Roman" w:hAnsi="Times New Roman" w:cs="Times New Roman"/>
                <w:color w:val="FF0000"/>
                <w:sz w:val="21"/>
                <w:szCs w:val="21"/>
                <w:lang w:val="en-US" w:eastAsia="zh-CN" w:bidi="ar"/>
              </w:rPr>
              <w:t>本项目生物质蒸汽锅炉的生物质成型燃料用量为7000t/a</w:t>
            </w:r>
            <w:r>
              <w:rPr>
                <w:rFonts w:hint="eastAsia" w:ascii="Times New Roman" w:hAnsi="Times New Roman" w:cs="Times New Roman"/>
                <w:sz w:val="21"/>
                <w:szCs w:val="21"/>
                <w:lang w:val="en-US" w:eastAsia="zh-CN" w:bidi="ar"/>
              </w:rPr>
              <w:t>，经计算</w:t>
            </w:r>
            <w:r>
              <w:rPr>
                <w:rFonts w:hint="eastAsia"/>
                <w:color w:val="FF0000"/>
                <w:kern w:val="2"/>
                <w:sz w:val="21"/>
                <w:szCs w:val="21"/>
              </w:rPr>
              <w:t>工业废</w:t>
            </w:r>
            <w:r>
              <w:rPr>
                <w:rFonts w:hint="eastAsia" w:ascii="Times New Roman" w:hAnsi="Times New Roman" w:eastAsia="宋体" w:cs="Times New Roman"/>
                <w:color w:val="FF0000"/>
                <w:sz w:val="21"/>
                <w:szCs w:val="21"/>
                <w:lang w:val="en-US" w:eastAsia="zh-CN" w:bidi="ar"/>
              </w:rPr>
              <w:t>气量</w:t>
            </w:r>
            <w:r>
              <w:rPr>
                <w:rFonts w:hint="eastAsia" w:ascii="Times New Roman" w:hAnsi="Times New Roman" w:cs="Times New Roman"/>
                <w:color w:val="FF0000"/>
                <w:sz w:val="21"/>
                <w:szCs w:val="21"/>
                <w:lang w:val="en-US" w:eastAsia="zh-CN" w:bidi="ar"/>
              </w:rPr>
              <w:t>4368</w:t>
            </w:r>
            <w:r>
              <w:rPr>
                <w:rFonts w:hint="eastAsia" w:ascii="Times New Roman" w:hAnsi="Times New Roman" w:eastAsia="宋体" w:cs="Times New Roman"/>
                <w:color w:val="FF0000"/>
                <w:sz w:val="21"/>
                <w:szCs w:val="21"/>
                <w:lang w:val="en-US" w:eastAsia="zh-CN" w:bidi="ar"/>
              </w:rPr>
              <w:t>万Nm</w:t>
            </w:r>
            <w:r>
              <w:rPr>
                <w:rFonts w:hint="eastAsia" w:ascii="Times New Roman" w:hAnsi="Times New Roman" w:eastAsia="宋体" w:cs="Times New Roman"/>
                <w:color w:val="FF0000"/>
                <w:sz w:val="21"/>
                <w:szCs w:val="21"/>
                <w:vertAlign w:val="superscript"/>
                <w:lang w:val="en-US" w:eastAsia="zh-CN" w:bidi="ar"/>
              </w:rPr>
              <w:t>3</w:t>
            </w:r>
            <w:r>
              <w:rPr>
                <w:rFonts w:hint="eastAsia" w:ascii="Times New Roman" w:hAnsi="Times New Roman" w:eastAsia="宋体" w:cs="Times New Roman"/>
                <w:color w:val="FF0000"/>
                <w:sz w:val="21"/>
                <w:szCs w:val="21"/>
                <w:lang w:val="en-US" w:eastAsia="zh-CN" w:bidi="ar"/>
              </w:rPr>
              <w:t>（</w:t>
            </w:r>
            <w:r>
              <w:rPr>
                <w:rFonts w:hint="eastAsia" w:ascii="Times New Roman" w:hAnsi="Times New Roman" w:cs="Times New Roman"/>
                <w:color w:val="FF0000"/>
                <w:sz w:val="21"/>
                <w:szCs w:val="21"/>
                <w:lang w:val="en-US" w:eastAsia="zh-CN" w:bidi="ar"/>
              </w:rPr>
              <w:t>6240</w:t>
            </w:r>
            <w:r>
              <w:rPr>
                <w:rFonts w:hint="eastAsia" w:ascii="Times New Roman" w:hAnsi="Times New Roman" w:eastAsia="宋体" w:cs="Times New Roman"/>
                <w:color w:val="FF0000"/>
                <w:sz w:val="21"/>
                <w:szCs w:val="21"/>
                <w:lang w:val="en-US" w:eastAsia="zh-CN" w:bidi="ar"/>
              </w:rPr>
              <w:t>m</w:t>
            </w:r>
            <w:r>
              <w:rPr>
                <w:rFonts w:hint="eastAsia" w:ascii="Times New Roman" w:hAnsi="Times New Roman" w:eastAsia="宋体" w:cs="Times New Roman"/>
                <w:color w:val="FF0000"/>
                <w:sz w:val="21"/>
                <w:szCs w:val="21"/>
                <w:vertAlign w:val="superscript"/>
                <w:lang w:val="en-US" w:eastAsia="zh-CN" w:bidi="ar"/>
              </w:rPr>
              <w:t>3</w:t>
            </w:r>
            <w:r>
              <w:rPr>
                <w:rFonts w:hint="eastAsia" w:ascii="Times New Roman" w:hAnsi="Times New Roman" w:eastAsia="宋体" w:cs="Times New Roman"/>
                <w:color w:val="FF0000"/>
                <w:sz w:val="21"/>
                <w:szCs w:val="21"/>
                <w:lang w:val="en-US" w:eastAsia="zh-CN" w:bidi="ar"/>
              </w:rPr>
              <w:t>/h）</w:t>
            </w:r>
            <w:r>
              <w:rPr>
                <w:rFonts w:hint="eastAsia" w:ascii="Times New Roman" w:hAnsi="Times New Roman" w:cs="Times New Roman"/>
                <w:sz w:val="21"/>
                <w:szCs w:val="21"/>
                <w:lang w:val="en-US" w:eastAsia="zh-CN" w:bidi="ar"/>
              </w:rPr>
              <w:t>，考虑风压损失、管道距离等因素，风机风量取7000m</w:t>
            </w:r>
            <w:r>
              <w:rPr>
                <w:rFonts w:hint="eastAsia" w:ascii="Times New Roman" w:hAnsi="Times New Roman" w:cs="Times New Roman"/>
                <w:sz w:val="21"/>
                <w:szCs w:val="21"/>
                <w:vertAlign w:val="superscript"/>
                <w:lang w:val="en-US" w:eastAsia="zh-CN" w:bidi="ar"/>
              </w:rPr>
              <w:t>3</w:t>
            </w:r>
            <w:r>
              <w:rPr>
                <w:rFonts w:hint="eastAsia" w:ascii="Times New Roman" w:hAnsi="Times New Roman" w:cs="Times New Roman"/>
                <w:sz w:val="21"/>
                <w:szCs w:val="21"/>
                <w:lang w:val="en-US" w:eastAsia="zh-CN" w:bidi="ar"/>
              </w:rPr>
              <w:t>。</w:t>
            </w:r>
          </w:p>
          <w:p>
            <w:pPr>
              <w:pStyle w:val="47"/>
              <w:spacing w:after="0" w:line="360" w:lineRule="auto"/>
              <w:ind w:firstLine="420" w:firstLineChars="200"/>
              <w:rPr>
                <w:rFonts w:hint="eastAsia" w:ascii="Times New Roman" w:hAnsi="Times New Roman" w:eastAsia="宋体" w:cs="Times New Roman"/>
                <w:sz w:val="21"/>
                <w:szCs w:val="21"/>
                <w:lang w:val="en-US" w:eastAsia="zh-CN" w:bidi="ar"/>
              </w:rPr>
            </w:pPr>
            <w:r>
              <w:rPr>
                <w:rFonts w:hint="eastAsia" w:ascii="Times New Roman" w:hAnsi="Times New Roman" w:eastAsia="宋体" w:cs="Times New Roman"/>
                <w:sz w:val="21"/>
                <w:szCs w:val="21"/>
                <w:lang w:val="en-US" w:eastAsia="zh-CN" w:bidi="ar"/>
              </w:rPr>
              <w:t>④导热油炉废气风量</w:t>
            </w:r>
          </w:p>
          <w:p>
            <w:pPr>
              <w:pStyle w:val="47"/>
              <w:spacing w:after="0" w:line="360" w:lineRule="auto"/>
              <w:ind w:firstLine="420" w:firstLineChars="200"/>
              <w:rPr>
                <w:rFonts w:hint="default"/>
                <w:lang w:val="en-US" w:eastAsia="zh-CN"/>
              </w:rPr>
            </w:pPr>
            <w:r>
              <w:rPr>
                <w:rFonts w:hint="eastAsia" w:ascii="Times New Roman" w:hAnsi="Times New Roman" w:cs="Times New Roman"/>
                <w:sz w:val="21"/>
                <w:szCs w:val="21"/>
                <w:lang w:val="en-US" w:eastAsia="zh-CN" w:bidi="ar"/>
              </w:rPr>
              <w:t>参照《排放源统计调查产排污核算方法和系数手册》中“4430工业锅炉（热力生产和供应行业）产污系数表-生物质工业锅炉”，工业废气量系数为6240Nm</w:t>
            </w:r>
            <w:r>
              <w:rPr>
                <w:rFonts w:hint="eastAsia" w:ascii="Times New Roman" w:hAnsi="Times New Roman" w:cs="Times New Roman"/>
                <w:sz w:val="21"/>
                <w:szCs w:val="21"/>
                <w:vertAlign w:val="superscript"/>
                <w:lang w:val="en-US" w:eastAsia="zh-CN" w:bidi="ar"/>
              </w:rPr>
              <w:t>3</w:t>
            </w:r>
            <w:r>
              <w:rPr>
                <w:rFonts w:hint="eastAsia" w:ascii="Times New Roman" w:hAnsi="Times New Roman" w:cs="Times New Roman"/>
                <w:sz w:val="21"/>
                <w:szCs w:val="21"/>
                <w:lang w:val="en-US" w:eastAsia="zh-CN" w:bidi="ar"/>
              </w:rPr>
              <w:t>/t-原料，</w:t>
            </w:r>
            <w:r>
              <w:rPr>
                <w:rFonts w:hint="eastAsia" w:ascii="Times New Roman" w:hAnsi="Times New Roman" w:cs="Times New Roman"/>
                <w:color w:val="FF0000"/>
                <w:sz w:val="21"/>
                <w:szCs w:val="21"/>
                <w:lang w:val="en-US" w:eastAsia="zh-CN" w:bidi="ar"/>
              </w:rPr>
              <w:t>本项目生物质导热油炉锅炉生物质成型燃料用量为7000t/a</w:t>
            </w:r>
            <w:r>
              <w:rPr>
                <w:rFonts w:hint="eastAsia" w:ascii="Times New Roman" w:hAnsi="Times New Roman" w:cs="Times New Roman"/>
                <w:sz w:val="21"/>
                <w:szCs w:val="21"/>
                <w:lang w:val="en-US" w:eastAsia="zh-CN" w:bidi="ar"/>
              </w:rPr>
              <w:t>，经计算</w:t>
            </w:r>
            <w:r>
              <w:rPr>
                <w:rFonts w:hint="eastAsia"/>
                <w:color w:val="FF0000"/>
                <w:kern w:val="2"/>
                <w:sz w:val="21"/>
                <w:szCs w:val="21"/>
              </w:rPr>
              <w:t>工业废</w:t>
            </w:r>
            <w:r>
              <w:rPr>
                <w:rFonts w:hint="eastAsia" w:ascii="Times New Roman" w:hAnsi="Times New Roman" w:eastAsia="宋体" w:cs="Times New Roman"/>
                <w:color w:val="FF0000"/>
                <w:sz w:val="21"/>
                <w:szCs w:val="21"/>
                <w:lang w:val="en-US" w:eastAsia="zh-CN" w:bidi="ar"/>
              </w:rPr>
              <w:t>气量</w:t>
            </w:r>
            <w:r>
              <w:rPr>
                <w:rFonts w:hint="eastAsia" w:ascii="Times New Roman" w:hAnsi="Times New Roman" w:cs="Times New Roman"/>
                <w:color w:val="FF0000"/>
                <w:sz w:val="21"/>
                <w:szCs w:val="21"/>
                <w:lang w:val="en-US" w:eastAsia="zh-CN" w:bidi="ar"/>
              </w:rPr>
              <w:t>4368</w:t>
            </w:r>
            <w:r>
              <w:rPr>
                <w:rFonts w:hint="eastAsia" w:ascii="Times New Roman" w:hAnsi="Times New Roman" w:eastAsia="宋体" w:cs="Times New Roman"/>
                <w:color w:val="FF0000"/>
                <w:sz w:val="21"/>
                <w:szCs w:val="21"/>
                <w:lang w:val="en-US" w:eastAsia="zh-CN" w:bidi="ar"/>
              </w:rPr>
              <w:t>万Nm</w:t>
            </w:r>
            <w:r>
              <w:rPr>
                <w:rFonts w:hint="eastAsia" w:ascii="Times New Roman" w:hAnsi="Times New Roman" w:eastAsia="宋体" w:cs="Times New Roman"/>
                <w:color w:val="FF0000"/>
                <w:sz w:val="21"/>
                <w:szCs w:val="21"/>
                <w:vertAlign w:val="superscript"/>
                <w:lang w:val="en-US" w:eastAsia="zh-CN" w:bidi="ar"/>
              </w:rPr>
              <w:t>3</w:t>
            </w:r>
            <w:r>
              <w:rPr>
                <w:rFonts w:hint="eastAsia" w:ascii="Times New Roman" w:hAnsi="Times New Roman" w:eastAsia="宋体" w:cs="Times New Roman"/>
                <w:color w:val="FF0000"/>
                <w:sz w:val="21"/>
                <w:szCs w:val="21"/>
                <w:lang w:val="en-US" w:eastAsia="zh-CN" w:bidi="ar"/>
              </w:rPr>
              <w:t>（</w:t>
            </w:r>
            <w:r>
              <w:rPr>
                <w:rFonts w:hint="eastAsia" w:ascii="Times New Roman" w:hAnsi="Times New Roman" w:cs="Times New Roman"/>
                <w:color w:val="FF0000"/>
                <w:sz w:val="21"/>
                <w:szCs w:val="21"/>
                <w:lang w:val="en-US" w:eastAsia="zh-CN" w:bidi="ar"/>
              </w:rPr>
              <w:t>6240</w:t>
            </w:r>
            <w:r>
              <w:rPr>
                <w:rFonts w:hint="eastAsia" w:ascii="Times New Roman" w:hAnsi="Times New Roman" w:eastAsia="宋体" w:cs="Times New Roman"/>
                <w:color w:val="FF0000"/>
                <w:sz w:val="21"/>
                <w:szCs w:val="21"/>
                <w:lang w:val="en-US" w:eastAsia="zh-CN" w:bidi="ar"/>
              </w:rPr>
              <w:t>m</w:t>
            </w:r>
            <w:r>
              <w:rPr>
                <w:rFonts w:hint="eastAsia" w:ascii="Times New Roman" w:hAnsi="Times New Roman" w:eastAsia="宋体" w:cs="Times New Roman"/>
                <w:color w:val="FF0000"/>
                <w:sz w:val="21"/>
                <w:szCs w:val="21"/>
                <w:vertAlign w:val="superscript"/>
                <w:lang w:val="en-US" w:eastAsia="zh-CN" w:bidi="ar"/>
              </w:rPr>
              <w:t>3</w:t>
            </w:r>
            <w:r>
              <w:rPr>
                <w:rFonts w:hint="eastAsia" w:ascii="Times New Roman" w:hAnsi="Times New Roman" w:eastAsia="宋体" w:cs="Times New Roman"/>
                <w:color w:val="FF0000"/>
                <w:sz w:val="21"/>
                <w:szCs w:val="21"/>
                <w:lang w:val="en-US" w:eastAsia="zh-CN" w:bidi="ar"/>
              </w:rPr>
              <w:t>/h）</w:t>
            </w:r>
            <w:r>
              <w:rPr>
                <w:rFonts w:hint="eastAsia" w:ascii="Times New Roman" w:hAnsi="Times New Roman" w:cs="Times New Roman"/>
                <w:sz w:val="21"/>
                <w:szCs w:val="21"/>
                <w:lang w:val="en-US" w:eastAsia="zh-CN" w:bidi="ar"/>
              </w:rPr>
              <w:t>，考虑风压损失、管道距离等因素，风机风量取7000m</w:t>
            </w:r>
            <w:r>
              <w:rPr>
                <w:rFonts w:hint="eastAsia" w:ascii="Times New Roman" w:hAnsi="Times New Roman" w:cs="Times New Roman"/>
                <w:sz w:val="21"/>
                <w:szCs w:val="21"/>
                <w:vertAlign w:val="superscript"/>
                <w:lang w:val="en-US" w:eastAsia="zh-CN" w:bidi="ar"/>
              </w:rPr>
              <w:t>3</w:t>
            </w:r>
            <w:r>
              <w:rPr>
                <w:rFonts w:hint="eastAsia" w:ascii="Times New Roman" w:hAnsi="Times New Roman" w:cs="Times New Roman"/>
                <w:sz w:val="21"/>
                <w:szCs w:val="21"/>
                <w:lang w:val="en-US" w:eastAsia="zh-CN" w:bidi="ar"/>
              </w:rPr>
              <w:t>。</w:t>
            </w:r>
          </w:p>
          <w:p>
            <w:pPr>
              <w:keepNext w:val="0"/>
              <w:keepLines w:val="0"/>
              <w:pageBreakBefore w:val="0"/>
              <w:kinsoku/>
              <w:wordWrap/>
              <w:overflowPunct/>
              <w:topLinePunct w:val="0"/>
              <w:autoSpaceDE w:val="0"/>
              <w:autoSpaceDN w:val="0"/>
              <w:bidi w:val="0"/>
              <w:adjustRightInd w:val="0"/>
              <w:snapToGrid w:val="0"/>
              <w:spacing w:line="360" w:lineRule="auto"/>
              <w:ind w:firstLine="422" w:firstLineChars="200"/>
              <w:textAlignment w:val="auto"/>
              <w:rPr>
                <w:b/>
                <w:bCs/>
                <w:color w:val="auto"/>
                <w:kern w:val="0"/>
                <w:szCs w:val="21"/>
              </w:rPr>
            </w:pPr>
            <w:r>
              <w:rPr>
                <w:b/>
                <w:bCs/>
                <w:color w:val="auto"/>
                <w:kern w:val="0"/>
                <w:szCs w:val="21"/>
              </w:rPr>
              <w:t>3）有组织废气污染防治措施可行性分析</w:t>
            </w:r>
          </w:p>
          <w:p>
            <w:pPr>
              <w:keepNext w:val="0"/>
              <w:keepLines w:val="0"/>
              <w:pageBreakBefore w:val="0"/>
              <w:kinsoku/>
              <w:wordWrap/>
              <w:overflowPunct/>
              <w:topLinePunct w:val="0"/>
              <w:autoSpaceDE w:val="0"/>
              <w:autoSpaceDN w:val="0"/>
              <w:bidi w:val="0"/>
              <w:adjustRightInd w:val="0"/>
              <w:snapToGrid w:val="0"/>
              <w:spacing w:line="360" w:lineRule="auto"/>
              <w:ind w:firstLine="422" w:firstLineChars="200"/>
              <w:textAlignment w:val="auto"/>
              <w:rPr>
                <w:rFonts w:hint="eastAsia"/>
                <w:b/>
                <w:bCs/>
                <w:color w:val="auto"/>
                <w:kern w:val="0"/>
                <w:szCs w:val="21"/>
              </w:rPr>
            </w:pPr>
            <w:r>
              <w:rPr>
                <w:rFonts w:hint="eastAsia"/>
                <w:b/>
                <w:bCs/>
                <w:color w:val="auto"/>
                <w:kern w:val="0"/>
                <w:szCs w:val="21"/>
              </w:rPr>
              <w:t>A、</w:t>
            </w:r>
            <w:r>
              <w:rPr>
                <w:rFonts w:hint="eastAsia"/>
                <w:b/>
                <w:bCs/>
                <w:color w:val="auto"/>
                <w:kern w:val="0"/>
                <w:szCs w:val="21"/>
                <w:lang w:val="en-US" w:eastAsia="zh-CN"/>
              </w:rPr>
              <w:t>水喷淋+静电净化</w:t>
            </w:r>
            <w:r>
              <w:rPr>
                <w:rFonts w:hint="eastAsia"/>
                <w:b/>
                <w:bCs/>
                <w:color w:val="auto"/>
                <w:kern w:val="0"/>
                <w:szCs w:val="21"/>
              </w:rPr>
              <w:t>装置</w:t>
            </w:r>
          </w:p>
          <w:p>
            <w:pPr>
              <w:pStyle w:val="82"/>
              <w:keepNext w:val="0"/>
              <w:keepLines w:val="0"/>
              <w:pageBreakBefore w:val="0"/>
              <w:kinsoku/>
              <w:wordWrap/>
              <w:overflowPunct/>
              <w:topLinePunct w:val="0"/>
              <w:bidi w:val="0"/>
              <w:spacing w:before="0" w:beforeAutospacing="0" w:after="0" w:afterAutospacing="0" w:line="360" w:lineRule="auto"/>
              <w:ind w:firstLine="420" w:firstLineChars="200"/>
              <w:textAlignment w:val="auto"/>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SA"/>
              </w:rPr>
              <w:t>水喷淋塔工作原理的核心是通过气液逆流接触，利用离心力和液体喷淋实现污染物的分离与净化。废气从塔底切向进入，在旋流塔板的导向作用下形成旋转上升气流。塔内设置多层喷淋装置，水或其他液体通过喷嘴雾化形成细小液滴。旋转气流与液滴剧烈碰撞，污染物(如粉尘、可溶气体)被包惠或溶解，并通过离心力加速分离。含污染物的液滴在离心力作用下甩向塔壁，沿壁流入底部循环池。净化后的气体经塔顶除雾器去除残留液滴后排放循环泵将底部液体重新输送至喷淋层，实现液体重复利用，同时定期清理沉淀物。</w:t>
            </w:r>
          </w:p>
          <w:p>
            <w:pPr>
              <w:pStyle w:val="82"/>
              <w:keepNext w:val="0"/>
              <w:keepLines w:val="0"/>
              <w:pageBreakBefore w:val="0"/>
              <w:kinsoku/>
              <w:wordWrap/>
              <w:overflowPunct/>
              <w:topLinePunct w:val="0"/>
              <w:bidi w:val="0"/>
              <w:spacing w:before="0" w:beforeAutospacing="0" w:after="0" w:afterAutospacing="0" w:line="360" w:lineRule="auto"/>
              <w:ind w:firstLine="420" w:firstLineChars="200"/>
              <w:jc w:val="both"/>
              <w:textAlignment w:val="auto"/>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SA"/>
              </w:rPr>
              <w:t>喷淋塔见下图。</w:t>
            </w:r>
          </w:p>
          <w:p>
            <w:pPr>
              <w:pStyle w:val="82"/>
              <w:spacing w:before="0" w:beforeAutospacing="0" w:after="0" w:afterAutospacing="0"/>
              <w:jc w:val="center"/>
              <w:rPr>
                <w:rFonts w:ascii="Times New Roman" w:hAnsi="Times New Roman"/>
              </w:rPr>
            </w:pPr>
            <w:r>
              <w:drawing>
                <wp:inline distT="0" distB="0" distL="114300" distR="114300">
                  <wp:extent cx="3143250" cy="2838450"/>
                  <wp:effectExtent l="0" t="0" r="0" b="0"/>
                  <wp:docPr id="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pic:cNvPicPr>
                            <a:picLocks noChangeAspect="1"/>
                          </pic:cNvPicPr>
                        </pic:nvPicPr>
                        <pic:blipFill>
                          <a:blip r:embed="rId35"/>
                          <a:stretch>
                            <a:fillRect/>
                          </a:stretch>
                        </pic:blipFill>
                        <pic:spPr>
                          <a:xfrm>
                            <a:off x="0" y="0"/>
                            <a:ext cx="3143250" cy="2838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Times New Roman" w:hAnsi="Times New Roman" w:cs="Times New Roman"/>
                <w:b/>
                <w:kern w:val="0"/>
                <w:sz w:val="21"/>
                <w:szCs w:val="21"/>
                <w:lang w:val="en-US" w:eastAsia="zh-CN"/>
              </w:rPr>
            </w:pPr>
            <w:r>
              <w:rPr>
                <w:rFonts w:hint="eastAsia" w:ascii="Times New Roman" w:hAnsi="Times New Roman" w:cs="Times New Roman"/>
                <w:b/>
                <w:kern w:val="0"/>
                <w:sz w:val="21"/>
                <w:szCs w:val="21"/>
                <w:lang w:val="en-US" w:eastAsia="zh-CN"/>
              </w:rPr>
              <w:t>图4-</w:t>
            </w:r>
            <w:r>
              <w:rPr>
                <w:rFonts w:hint="eastAsia" w:cs="Times New Roman"/>
                <w:b/>
                <w:kern w:val="0"/>
                <w:sz w:val="21"/>
                <w:szCs w:val="21"/>
                <w:lang w:val="en-US" w:eastAsia="zh-CN"/>
              </w:rPr>
              <w:t>3</w:t>
            </w:r>
            <w:r>
              <w:rPr>
                <w:rFonts w:hint="eastAsia" w:ascii="Times New Roman" w:hAnsi="Times New Roman" w:cs="Times New Roman"/>
                <w:b/>
                <w:kern w:val="0"/>
                <w:sz w:val="21"/>
                <w:szCs w:val="21"/>
                <w:lang w:val="en-US" w:eastAsia="zh-CN"/>
              </w:rPr>
              <w:t xml:space="preserve">  喷淋塔示意图</w:t>
            </w:r>
          </w:p>
          <w:p>
            <w:pPr>
              <w:keepNext w:val="0"/>
              <w:keepLines w:val="0"/>
              <w:pageBreakBefore w:val="0"/>
              <w:widowControl w:val="0"/>
              <w:kinsoku/>
              <w:wordWrap/>
              <w:overflowPunct/>
              <w:topLinePunct w:val="0"/>
              <w:autoSpaceDE/>
              <w:autoSpaceDN/>
              <w:bidi w:val="0"/>
              <w:spacing w:line="360" w:lineRule="auto"/>
              <w:jc w:val="center"/>
              <w:textAlignment w:val="auto"/>
              <w:rPr>
                <w:rFonts w:hint="eastAsia"/>
                <w:b/>
                <w:bCs/>
              </w:rPr>
            </w:pPr>
            <w:r>
              <w:rPr>
                <w:rFonts w:hint="eastAsia"/>
                <w:b/>
                <w:bCs/>
              </w:rPr>
              <w:t>表4</w:t>
            </w:r>
            <w:r>
              <w:rPr>
                <w:rFonts w:hint="eastAsia"/>
                <w:b/>
                <w:bCs/>
                <w:lang w:val="en-US" w:eastAsia="zh-CN"/>
              </w:rPr>
              <w:t>-8</w:t>
            </w:r>
            <w:r>
              <w:rPr>
                <w:rFonts w:hint="eastAsia"/>
                <w:b/>
                <w:bCs/>
              </w:rPr>
              <w:t xml:space="preserve">  喷淋装置技术参数一览表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93"/>
              <w:gridCol w:w="2987"/>
              <w:gridCol w:w="2034"/>
              <w:gridCol w:w="20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
                      <w:sz w:val="20"/>
                      <w:szCs w:val="20"/>
                    </w:rPr>
                  </w:pPr>
                  <w:r>
                    <w:rPr>
                      <w:rFonts w:hint="eastAsia"/>
                      <w:b/>
                      <w:sz w:val="20"/>
                      <w:szCs w:val="20"/>
                    </w:rPr>
                    <w:t>序号</w:t>
                  </w:r>
                </w:p>
              </w:tc>
              <w:tc>
                <w:tcPr>
                  <w:tcW w:w="1774" w:type="pct"/>
                  <w:noWrap w:val="0"/>
                  <w:vAlign w:val="center"/>
                </w:tcPr>
                <w:p>
                  <w:pPr>
                    <w:adjustRightInd w:val="0"/>
                    <w:snapToGrid w:val="0"/>
                    <w:jc w:val="center"/>
                    <w:rPr>
                      <w:rFonts w:hint="eastAsia"/>
                      <w:b/>
                      <w:sz w:val="20"/>
                      <w:szCs w:val="20"/>
                    </w:rPr>
                  </w:pPr>
                  <w:r>
                    <w:rPr>
                      <w:rFonts w:hint="eastAsia"/>
                      <w:b/>
                      <w:sz w:val="20"/>
                      <w:szCs w:val="20"/>
                    </w:rPr>
                    <w:t>项目</w:t>
                  </w:r>
                </w:p>
              </w:tc>
              <w:tc>
                <w:tcPr>
                  <w:tcW w:w="1208" w:type="pct"/>
                  <w:noWrap w:val="0"/>
                  <w:vAlign w:val="center"/>
                </w:tcPr>
                <w:p>
                  <w:pPr>
                    <w:adjustRightInd w:val="0"/>
                    <w:snapToGrid w:val="0"/>
                    <w:jc w:val="center"/>
                    <w:rPr>
                      <w:rFonts w:hint="eastAsia"/>
                      <w:b/>
                      <w:sz w:val="20"/>
                      <w:szCs w:val="20"/>
                    </w:rPr>
                  </w:pPr>
                  <w:r>
                    <w:rPr>
                      <w:rFonts w:hint="eastAsia"/>
                      <w:b/>
                      <w:sz w:val="20"/>
                      <w:szCs w:val="20"/>
                    </w:rPr>
                    <w:t>单位</w:t>
                  </w:r>
                </w:p>
              </w:tc>
              <w:tc>
                <w:tcPr>
                  <w:tcW w:w="1247" w:type="pct"/>
                  <w:noWrap w:val="0"/>
                  <w:vAlign w:val="center"/>
                </w:tcPr>
                <w:p>
                  <w:pPr>
                    <w:adjustRightInd w:val="0"/>
                    <w:snapToGrid w:val="0"/>
                    <w:jc w:val="center"/>
                    <w:rPr>
                      <w:rFonts w:hint="eastAsia"/>
                      <w:b/>
                      <w:sz w:val="20"/>
                      <w:szCs w:val="20"/>
                    </w:rPr>
                  </w:pPr>
                  <w:r>
                    <w:rPr>
                      <w:rFonts w:hint="eastAsia"/>
                      <w:b/>
                      <w:sz w:val="20"/>
                      <w:szCs w:val="20"/>
                    </w:rPr>
                    <w:t>技术指标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
                      <w:sz w:val="20"/>
                      <w:szCs w:val="20"/>
                    </w:rPr>
                  </w:pPr>
                  <w:r>
                    <w:rPr>
                      <w:rFonts w:hint="eastAsia"/>
                      <w:bCs/>
                      <w:sz w:val="20"/>
                      <w:szCs w:val="20"/>
                    </w:rPr>
                    <w:t>1</w:t>
                  </w:r>
                </w:p>
              </w:tc>
              <w:tc>
                <w:tcPr>
                  <w:tcW w:w="1774" w:type="pct"/>
                  <w:noWrap w:val="0"/>
                  <w:vAlign w:val="center"/>
                </w:tcPr>
                <w:p>
                  <w:pPr>
                    <w:adjustRightInd w:val="0"/>
                    <w:snapToGrid w:val="0"/>
                    <w:jc w:val="center"/>
                    <w:rPr>
                      <w:rFonts w:hint="eastAsia"/>
                      <w:bCs/>
                      <w:sz w:val="20"/>
                      <w:szCs w:val="20"/>
                    </w:rPr>
                  </w:pPr>
                  <w:r>
                    <w:rPr>
                      <w:rFonts w:hint="eastAsia"/>
                      <w:bCs/>
                      <w:sz w:val="20"/>
                      <w:szCs w:val="20"/>
                    </w:rPr>
                    <w:t>排气筒</w:t>
                  </w:r>
                </w:p>
              </w:tc>
              <w:tc>
                <w:tcPr>
                  <w:tcW w:w="1208" w:type="pct"/>
                  <w:noWrap w:val="0"/>
                  <w:vAlign w:val="center"/>
                </w:tcPr>
                <w:p>
                  <w:pPr>
                    <w:adjustRightInd w:val="0"/>
                    <w:snapToGrid w:val="0"/>
                    <w:jc w:val="center"/>
                    <w:rPr>
                      <w:rFonts w:hint="eastAsia"/>
                      <w:bCs/>
                      <w:sz w:val="20"/>
                      <w:szCs w:val="20"/>
                    </w:rPr>
                  </w:pPr>
                  <w:r>
                    <w:rPr>
                      <w:rFonts w:hint="eastAsia"/>
                      <w:bCs/>
                      <w:sz w:val="20"/>
                      <w:szCs w:val="20"/>
                    </w:rPr>
                    <w:t>/</w:t>
                  </w:r>
                </w:p>
              </w:tc>
              <w:tc>
                <w:tcPr>
                  <w:tcW w:w="1247" w:type="pct"/>
                  <w:noWrap w:val="0"/>
                  <w:vAlign w:val="center"/>
                </w:tcPr>
                <w:p>
                  <w:pPr>
                    <w:adjustRightInd w:val="0"/>
                    <w:snapToGrid w:val="0"/>
                    <w:jc w:val="center"/>
                    <w:rPr>
                      <w:rFonts w:hint="eastAsia" w:eastAsia="宋体"/>
                      <w:bCs/>
                      <w:sz w:val="20"/>
                      <w:szCs w:val="20"/>
                      <w:lang w:eastAsia="zh-CN"/>
                    </w:rPr>
                  </w:pPr>
                  <w:r>
                    <w:rPr>
                      <w:rFonts w:hint="eastAsia"/>
                      <w:bCs/>
                      <w:sz w:val="20"/>
                      <w:szCs w:val="20"/>
                    </w:rPr>
                    <w:t>DA00</w:t>
                  </w:r>
                  <w:r>
                    <w:rPr>
                      <w:rFonts w:hint="eastAsia"/>
                      <w:bCs/>
                      <w:sz w:val="20"/>
                      <w:szCs w:val="20"/>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Cs/>
                      <w:sz w:val="20"/>
                      <w:szCs w:val="20"/>
                    </w:rPr>
                  </w:pPr>
                  <w:r>
                    <w:rPr>
                      <w:rFonts w:hint="eastAsia"/>
                      <w:bCs/>
                      <w:sz w:val="20"/>
                      <w:szCs w:val="20"/>
                    </w:rPr>
                    <w:t>2</w:t>
                  </w:r>
                </w:p>
              </w:tc>
              <w:tc>
                <w:tcPr>
                  <w:tcW w:w="1774" w:type="pct"/>
                  <w:noWrap w:val="0"/>
                  <w:vAlign w:val="center"/>
                </w:tcPr>
                <w:p>
                  <w:pPr>
                    <w:adjustRightInd w:val="0"/>
                    <w:snapToGrid w:val="0"/>
                    <w:jc w:val="center"/>
                    <w:rPr>
                      <w:rFonts w:hint="eastAsia"/>
                      <w:bCs/>
                      <w:sz w:val="20"/>
                      <w:szCs w:val="20"/>
                    </w:rPr>
                  </w:pPr>
                  <w:r>
                    <w:rPr>
                      <w:rFonts w:hint="eastAsia"/>
                      <w:bCs/>
                      <w:sz w:val="20"/>
                      <w:szCs w:val="20"/>
                    </w:rPr>
                    <w:t>配套风机风量</w:t>
                  </w:r>
                </w:p>
              </w:tc>
              <w:tc>
                <w:tcPr>
                  <w:tcW w:w="1208" w:type="pct"/>
                  <w:noWrap w:val="0"/>
                  <w:vAlign w:val="center"/>
                </w:tcPr>
                <w:p>
                  <w:pPr>
                    <w:adjustRightInd w:val="0"/>
                    <w:snapToGrid w:val="0"/>
                    <w:jc w:val="center"/>
                    <w:rPr>
                      <w:rFonts w:hint="eastAsia"/>
                      <w:bCs/>
                      <w:sz w:val="20"/>
                      <w:szCs w:val="20"/>
                    </w:rPr>
                  </w:pPr>
                  <w:r>
                    <w:rPr>
                      <w:rFonts w:hint="eastAsia"/>
                      <w:bCs/>
                      <w:sz w:val="20"/>
                      <w:szCs w:val="20"/>
                    </w:rPr>
                    <w:t>m</w:t>
                  </w:r>
                  <w:r>
                    <w:rPr>
                      <w:rFonts w:hint="eastAsia"/>
                      <w:bCs/>
                      <w:sz w:val="20"/>
                      <w:szCs w:val="20"/>
                      <w:vertAlign w:val="superscript"/>
                    </w:rPr>
                    <w:t>3</w:t>
                  </w:r>
                  <w:r>
                    <w:rPr>
                      <w:rFonts w:hint="eastAsia"/>
                      <w:bCs/>
                      <w:sz w:val="20"/>
                      <w:szCs w:val="20"/>
                    </w:rPr>
                    <w:t>/h</w:t>
                  </w:r>
                </w:p>
              </w:tc>
              <w:tc>
                <w:tcPr>
                  <w:tcW w:w="1247" w:type="pct"/>
                  <w:noWrap w:val="0"/>
                  <w:vAlign w:val="center"/>
                </w:tcPr>
                <w:p>
                  <w:pPr>
                    <w:adjustRightInd w:val="0"/>
                    <w:snapToGrid w:val="0"/>
                    <w:jc w:val="center"/>
                    <w:rPr>
                      <w:rFonts w:hint="eastAsia"/>
                      <w:bCs/>
                      <w:sz w:val="20"/>
                      <w:szCs w:val="20"/>
                    </w:rPr>
                  </w:pPr>
                  <w:r>
                    <w:rPr>
                      <w:rFonts w:hint="eastAsia"/>
                      <w:bCs/>
                      <w:sz w:val="20"/>
                      <w:szCs w:val="20"/>
                    </w:rPr>
                    <w:t>2</w:t>
                  </w:r>
                  <w:r>
                    <w:rPr>
                      <w:rFonts w:hint="eastAsia"/>
                      <w:bCs/>
                      <w:sz w:val="20"/>
                      <w:szCs w:val="20"/>
                      <w:lang w:val="en-US" w:eastAsia="zh-CN"/>
                    </w:rPr>
                    <w:t>4</w:t>
                  </w:r>
                  <w:r>
                    <w:rPr>
                      <w:rFonts w:hint="eastAsia"/>
                      <w:bCs/>
                      <w:sz w:val="20"/>
                      <w:szCs w:val="20"/>
                    </w:rPr>
                    <w:t>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Cs/>
                      <w:sz w:val="20"/>
                      <w:szCs w:val="20"/>
                    </w:rPr>
                  </w:pPr>
                  <w:r>
                    <w:rPr>
                      <w:rFonts w:hint="eastAsia"/>
                      <w:bCs/>
                      <w:sz w:val="20"/>
                      <w:szCs w:val="20"/>
                    </w:rPr>
                    <w:t>3</w:t>
                  </w:r>
                </w:p>
              </w:tc>
              <w:tc>
                <w:tcPr>
                  <w:tcW w:w="1774" w:type="pct"/>
                  <w:noWrap w:val="0"/>
                  <w:vAlign w:val="center"/>
                </w:tcPr>
                <w:p>
                  <w:pPr>
                    <w:adjustRightInd w:val="0"/>
                    <w:snapToGrid w:val="0"/>
                    <w:jc w:val="center"/>
                    <w:rPr>
                      <w:rFonts w:hint="eastAsia"/>
                      <w:bCs/>
                      <w:sz w:val="20"/>
                      <w:szCs w:val="20"/>
                    </w:rPr>
                  </w:pPr>
                  <w:r>
                    <w:rPr>
                      <w:rFonts w:hint="eastAsia"/>
                      <w:bCs/>
                      <w:sz w:val="20"/>
                      <w:szCs w:val="20"/>
                    </w:rPr>
                    <w:t>级数</w:t>
                  </w:r>
                </w:p>
              </w:tc>
              <w:tc>
                <w:tcPr>
                  <w:tcW w:w="1208" w:type="pct"/>
                  <w:noWrap w:val="0"/>
                  <w:vAlign w:val="center"/>
                </w:tcPr>
                <w:p>
                  <w:pPr>
                    <w:adjustRightInd w:val="0"/>
                    <w:snapToGrid w:val="0"/>
                    <w:jc w:val="center"/>
                    <w:rPr>
                      <w:rFonts w:hint="eastAsia"/>
                      <w:bCs/>
                      <w:sz w:val="20"/>
                      <w:szCs w:val="20"/>
                    </w:rPr>
                  </w:pPr>
                  <w:r>
                    <w:rPr>
                      <w:rFonts w:hint="eastAsia"/>
                      <w:bCs/>
                      <w:sz w:val="20"/>
                      <w:szCs w:val="20"/>
                    </w:rPr>
                    <w:t>/</w:t>
                  </w:r>
                </w:p>
              </w:tc>
              <w:tc>
                <w:tcPr>
                  <w:tcW w:w="1247" w:type="pct"/>
                  <w:noWrap w:val="0"/>
                  <w:vAlign w:val="center"/>
                </w:tcPr>
                <w:p>
                  <w:pPr>
                    <w:adjustRightInd w:val="0"/>
                    <w:snapToGrid w:val="0"/>
                    <w:jc w:val="center"/>
                    <w:rPr>
                      <w:rFonts w:hint="eastAsia"/>
                      <w:bCs/>
                      <w:sz w:val="20"/>
                      <w:szCs w:val="20"/>
                    </w:rPr>
                  </w:pPr>
                  <w:r>
                    <w:rPr>
                      <w:rFonts w:hint="eastAsia"/>
                      <w:bCs/>
                      <w:sz w:val="20"/>
                      <w:szCs w:val="20"/>
                    </w:rPr>
                    <w:t>一级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768" w:type="pct"/>
                  <w:noWrap w:val="0"/>
                  <w:vAlign w:val="center"/>
                </w:tcPr>
                <w:p>
                  <w:pPr>
                    <w:adjustRightInd w:val="0"/>
                    <w:snapToGrid w:val="0"/>
                    <w:jc w:val="center"/>
                    <w:rPr>
                      <w:rFonts w:hint="eastAsia"/>
                      <w:bCs/>
                      <w:sz w:val="20"/>
                      <w:szCs w:val="20"/>
                    </w:rPr>
                  </w:pPr>
                  <w:r>
                    <w:rPr>
                      <w:rFonts w:hint="eastAsia"/>
                      <w:bCs/>
                      <w:sz w:val="20"/>
                      <w:szCs w:val="20"/>
                    </w:rPr>
                    <w:t>4</w:t>
                  </w:r>
                </w:p>
              </w:tc>
              <w:tc>
                <w:tcPr>
                  <w:tcW w:w="1774" w:type="pct"/>
                  <w:noWrap w:val="0"/>
                  <w:vAlign w:val="center"/>
                </w:tcPr>
                <w:p>
                  <w:pPr>
                    <w:adjustRightInd w:val="0"/>
                    <w:snapToGrid w:val="0"/>
                    <w:jc w:val="center"/>
                    <w:rPr>
                      <w:rFonts w:hint="eastAsia"/>
                      <w:bCs/>
                      <w:sz w:val="20"/>
                      <w:szCs w:val="20"/>
                    </w:rPr>
                  </w:pPr>
                  <w:r>
                    <w:rPr>
                      <w:rFonts w:hint="eastAsia"/>
                      <w:bCs/>
                      <w:sz w:val="20"/>
                      <w:szCs w:val="20"/>
                    </w:rPr>
                    <w:t>空塔气速</w:t>
                  </w:r>
                </w:p>
              </w:tc>
              <w:tc>
                <w:tcPr>
                  <w:tcW w:w="1208" w:type="pct"/>
                  <w:noWrap w:val="0"/>
                  <w:vAlign w:val="center"/>
                </w:tcPr>
                <w:p>
                  <w:pPr>
                    <w:adjustRightInd w:val="0"/>
                    <w:snapToGrid w:val="0"/>
                    <w:jc w:val="center"/>
                    <w:rPr>
                      <w:rFonts w:hint="eastAsia"/>
                      <w:bCs/>
                      <w:sz w:val="20"/>
                      <w:szCs w:val="20"/>
                    </w:rPr>
                  </w:pPr>
                  <w:r>
                    <w:rPr>
                      <w:rFonts w:hint="eastAsia"/>
                      <w:bCs/>
                      <w:sz w:val="20"/>
                      <w:szCs w:val="20"/>
                    </w:rPr>
                    <w:t>m/s</w:t>
                  </w:r>
                </w:p>
              </w:tc>
              <w:tc>
                <w:tcPr>
                  <w:tcW w:w="1247" w:type="pct"/>
                  <w:noWrap w:val="0"/>
                  <w:vAlign w:val="center"/>
                </w:tcPr>
                <w:p>
                  <w:pPr>
                    <w:adjustRightInd w:val="0"/>
                    <w:snapToGrid w:val="0"/>
                    <w:jc w:val="center"/>
                    <w:rPr>
                      <w:rFonts w:hint="eastAsia"/>
                      <w:bCs/>
                      <w:sz w:val="20"/>
                      <w:szCs w:val="20"/>
                    </w:rPr>
                  </w:pPr>
                  <w:r>
                    <w:rPr>
                      <w:rFonts w:hint="eastAsia"/>
                      <w:bCs/>
                      <w:sz w:val="20"/>
                      <w:szCs w:val="20"/>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Cs/>
                      <w:sz w:val="20"/>
                      <w:szCs w:val="20"/>
                    </w:rPr>
                  </w:pPr>
                  <w:r>
                    <w:rPr>
                      <w:rFonts w:hint="eastAsia"/>
                      <w:bCs/>
                      <w:sz w:val="20"/>
                      <w:szCs w:val="20"/>
                    </w:rPr>
                    <w:t>5</w:t>
                  </w:r>
                </w:p>
              </w:tc>
              <w:tc>
                <w:tcPr>
                  <w:tcW w:w="1774" w:type="pct"/>
                  <w:noWrap w:val="0"/>
                  <w:vAlign w:val="center"/>
                </w:tcPr>
                <w:p>
                  <w:pPr>
                    <w:adjustRightInd w:val="0"/>
                    <w:snapToGrid w:val="0"/>
                    <w:jc w:val="center"/>
                    <w:rPr>
                      <w:rFonts w:hint="eastAsia"/>
                      <w:bCs/>
                      <w:sz w:val="20"/>
                      <w:szCs w:val="20"/>
                    </w:rPr>
                  </w:pPr>
                  <w:r>
                    <w:rPr>
                      <w:rFonts w:hint="eastAsia"/>
                      <w:bCs/>
                      <w:sz w:val="20"/>
                      <w:szCs w:val="20"/>
                    </w:rPr>
                    <w:t>气液比</w:t>
                  </w:r>
                </w:p>
              </w:tc>
              <w:tc>
                <w:tcPr>
                  <w:tcW w:w="1208" w:type="pct"/>
                  <w:noWrap w:val="0"/>
                  <w:vAlign w:val="center"/>
                </w:tcPr>
                <w:p>
                  <w:pPr>
                    <w:adjustRightInd w:val="0"/>
                    <w:snapToGrid w:val="0"/>
                    <w:jc w:val="center"/>
                    <w:rPr>
                      <w:bCs/>
                      <w:sz w:val="20"/>
                      <w:szCs w:val="20"/>
                    </w:rPr>
                  </w:pPr>
                  <w:r>
                    <w:rPr>
                      <w:rFonts w:hint="eastAsia"/>
                      <w:bCs/>
                      <w:sz w:val="20"/>
                      <w:szCs w:val="20"/>
                    </w:rPr>
                    <w:t>L/m</w:t>
                  </w:r>
                  <w:r>
                    <w:rPr>
                      <w:rFonts w:hint="eastAsia"/>
                      <w:bCs/>
                      <w:sz w:val="20"/>
                      <w:szCs w:val="20"/>
                      <w:vertAlign w:val="superscript"/>
                    </w:rPr>
                    <w:t>3</w:t>
                  </w:r>
                </w:p>
              </w:tc>
              <w:tc>
                <w:tcPr>
                  <w:tcW w:w="1247" w:type="pct"/>
                  <w:noWrap w:val="0"/>
                  <w:vAlign w:val="center"/>
                </w:tcPr>
                <w:p>
                  <w:pPr>
                    <w:adjustRightInd w:val="0"/>
                    <w:snapToGrid w:val="0"/>
                    <w:jc w:val="center"/>
                    <w:rPr>
                      <w:rFonts w:hint="default" w:eastAsia="宋体"/>
                      <w:bCs/>
                      <w:sz w:val="20"/>
                      <w:szCs w:val="20"/>
                      <w:lang w:val="en-US" w:eastAsia="zh-CN"/>
                    </w:rPr>
                  </w:pPr>
                  <w:r>
                    <w:rPr>
                      <w:rFonts w:hint="default" w:ascii="Times New Roman" w:hAnsi="Times New Roman" w:cs="Times New Roman"/>
                      <w:bCs/>
                      <w:sz w:val="20"/>
                      <w:szCs w:val="20"/>
                    </w:rPr>
                    <w:t>1</w:t>
                  </w:r>
                  <w:r>
                    <w:rPr>
                      <w:rFonts w:hint="eastAsia" w:ascii="Times New Roman" w:hAnsi="Times New Roman" w:cs="Times New Roman"/>
                      <w:bCs/>
                      <w:sz w:val="20"/>
                      <w:szCs w:val="20"/>
                      <w:lang w:val="en-US" w:eastAsia="zh-CN"/>
                    </w:rPr>
                    <w:t>:</w:t>
                  </w:r>
                  <w:r>
                    <w:rPr>
                      <w:rFonts w:hint="default" w:ascii="Times New Roman" w:hAnsi="Times New Roman" w:cs="Times New Roman"/>
                      <w:bCs/>
                      <w:sz w:val="20"/>
                      <w:szCs w:val="20"/>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Cs/>
                      <w:sz w:val="20"/>
                      <w:szCs w:val="20"/>
                    </w:rPr>
                  </w:pPr>
                  <w:r>
                    <w:rPr>
                      <w:rFonts w:hint="eastAsia"/>
                      <w:bCs/>
                      <w:sz w:val="20"/>
                      <w:szCs w:val="20"/>
                    </w:rPr>
                    <w:t>6</w:t>
                  </w:r>
                </w:p>
              </w:tc>
              <w:tc>
                <w:tcPr>
                  <w:tcW w:w="1774" w:type="pct"/>
                  <w:noWrap w:val="0"/>
                  <w:vAlign w:val="center"/>
                </w:tcPr>
                <w:p>
                  <w:pPr>
                    <w:adjustRightInd w:val="0"/>
                    <w:snapToGrid w:val="0"/>
                    <w:jc w:val="center"/>
                    <w:rPr>
                      <w:rFonts w:hint="eastAsia"/>
                      <w:bCs/>
                      <w:sz w:val="20"/>
                      <w:szCs w:val="20"/>
                    </w:rPr>
                  </w:pPr>
                  <w:r>
                    <w:rPr>
                      <w:rFonts w:hint="eastAsia"/>
                      <w:bCs/>
                      <w:sz w:val="20"/>
                      <w:szCs w:val="20"/>
                    </w:rPr>
                    <w:t>填料层高度</w:t>
                  </w:r>
                </w:p>
              </w:tc>
              <w:tc>
                <w:tcPr>
                  <w:tcW w:w="1208" w:type="pct"/>
                  <w:noWrap w:val="0"/>
                  <w:vAlign w:val="center"/>
                </w:tcPr>
                <w:p>
                  <w:pPr>
                    <w:adjustRightInd w:val="0"/>
                    <w:snapToGrid w:val="0"/>
                    <w:jc w:val="center"/>
                    <w:rPr>
                      <w:rFonts w:hint="eastAsia"/>
                      <w:bCs/>
                      <w:sz w:val="20"/>
                      <w:szCs w:val="20"/>
                    </w:rPr>
                  </w:pPr>
                  <w:r>
                    <w:rPr>
                      <w:rFonts w:hint="eastAsia"/>
                      <w:bCs/>
                      <w:sz w:val="20"/>
                      <w:szCs w:val="20"/>
                    </w:rPr>
                    <w:t>m</w:t>
                  </w:r>
                </w:p>
              </w:tc>
              <w:tc>
                <w:tcPr>
                  <w:tcW w:w="1247" w:type="pct"/>
                  <w:noWrap w:val="0"/>
                  <w:vAlign w:val="center"/>
                </w:tcPr>
                <w:p>
                  <w:pPr>
                    <w:adjustRightInd w:val="0"/>
                    <w:snapToGrid w:val="0"/>
                    <w:jc w:val="center"/>
                    <w:rPr>
                      <w:rFonts w:hint="eastAsia"/>
                      <w:bCs/>
                      <w:sz w:val="20"/>
                      <w:szCs w:val="20"/>
                    </w:rPr>
                  </w:pPr>
                  <w:r>
                    <w:rPr>
                      <w:rFonts w:hint="eastAsia"/>
                      <w:bCs/>
                      <w:sz w:val="20"/>
                      <w:szCs w:val="20"/>
                    </w:rPr>
                    <w:t>1.2m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Cs/>
                      <w:sz w:val="20"/>
                      <w:szCs w:val="20"/>
                    </w:rPr>
                  </w:pPr>
                  <w:r>
                    <w:rPr>
                      <w:rFonts w:hint="eastAsia"/>
                      <w:bCs/>
                      <w:sz w:val="20"/>
                      <w:szCs w:val="20"/>
                    </w:rPr>
                    <w:t>7</w:t>
                  </w:r>
                </w:p>
              </w:tc>
              <w:tc>
                <w:tcPr>
                  <w:tcW w:w="1774" w:type="pct"/>
                  <w:noWrap w:val="0"/>
                  <w:vAlign w:val="center"/>
                </w:tcPr>
                <w:p>
                  <w:pPr>
                    <w:adjustRightInd w:val="0"/>
                    <w:snapToGrid w:val="0"/>
                    <w:jc w:val="center"/>
                    <w:rPr>
                      <w:rFonts w:hint="eastAsia"/>
                      <w:bCs/>
                      <w:sz w:val="20"/>
                      <w:szCs w:val="20"/>
                    </w:rPr>
                  </w:pPr>
                  <w:r>
                    <w:rPr>
                      <w:rFonts w:hint="eastAsia"/>
                      <w:bCs/>
                      <w:sz w:val="20"/>
                      <w:szCs w:val="20"/>
                    </w:rPr>
                    <w:t>停留时间</w:t>
                  </w:r>
                </w:p>
              </w:tc>
              <w:tc>
                <w:tcPr>
                  <w:tcW w:w="1208" w:type="pct"/>
                  <w:noWrap w:val="0"/>
                  <w:vAlign w:val="center"/>
                </w:tcPr>
                <w:p>
                  <w:pPr>
                    <w:adjustRightInd w:val="0"/>
                    <w:snapToGrid w:val="0"/>
                    <w:jc w:val="center"/>
                    <w:rPr>
                      <w:rFonts w:hint="eastAsia"/>
                      <w:bCs/>
                      <w:sz w:val="20"/>
                      <w:szCs w:val="20"/>
                    </w:rPr>
                  </w:pPr>
                  <w:r>
                    <w:rPr>
                      <w:rFonts w:hint="eastAsia"/>
                      <w:bCs/>
                      <w:sz w:val="20"/>
                      <w:szCs w:val="20"/>
                    </w:rPr>
                    <w:t>s</w:t>
                  </w:r>
                </w:p>
              </w:tc>
              <w:tc>
                <w:tcPr>
                  <w:tcW w:w="1247" w:type="pct"/>
                  <w:noWrap w:val="0"/>
                  <w:vAlign w:val="center"/>
                </w:tcPr>
                <w:p>
                  <w:pPr>
                    <w:adjustRightInd w:val="0"/>
                    <w:snapToGrid w:val="0"/>
                    <w:jc w:val="center"/>
                    <w:rPr>
                      <w:rFonts w:hint="eastAsia"/>
                      <w:bCs/>
                      <w:sz w:val="20"/>
                      <w:szCs w:val="20"/>
                    </w:rPr>
                  </w:pPr>
                  <w:r>
                    <w:rPr>
                      <w:rFonts w:hint="eastAsia"/>
                      <w:bCs/>
                      <w:sz w:val="20"/>
                      <w:szCs w:val="20"/>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768" w:type="pct"/>
                  <w:noWrap w:val="0"/>
                  <w:vAlign w:val="center"/>
                </w:tcPr>
                <w:p>
                  <w:pPr>
                    <w:adjustRightInd w:val="0"/>
                    <w:snapToGrid w:val="0"/>
                    <w:jc w:val="center"/>
                    <w:rPr>
                      <w:rFonts w:hint="eastAsia"/>
                      <w:bCs/>
                      <w:sz w:val="20"/>
                      <w:szCs w:val="20"/>
                    </w:rPr>
                  </w:pPr>
                  <w:r>
                    <w:rPr>
                      <w:rFonts w:hint="eastAsia"/>
                      <w:bCs/>
                      <w:sz w:val="20"/>
                      <w:szCs w:val="20"/>
                    </w:rPr>
                    <w:t>9</w:t>
                  </w:r>
                </w:p>
              </w:tc>
              <w:tc>
                <w:tcPr>
                  <w:tcW w:w="1774" w:type="pct"/>
                  <w:noWrap w:val="0"/>
                  <w:vAlign w:val="center"/>
                </w:tcPr>
                <w:p>
                  <w:pPr>
                    <w:adjustRightInd w:val="0"/>
                    <w:snapToGrid w:val="0"/>
                    <w:jc w:val="center"/>
                    <w:rPr>
                      <w:rFonts w:hint="eastAsia"/>
                      <w:bCs/>
                      <w:sz w:val="20"/>
                      <w:szCs w:val="20"/>
                    </w:rPr>
                  </w:pPr>
                  <w:r>
                    <w:rPr>
                      <w:rFonts w:hint="eastAsia"/>
                      <w:bCs/>
                      <w:sz w:val="20"/>
                      <w:szCs w:val="20"/>
                    </w:rPr>
                    <w:t>除雾器</w:t>
                  </w:r>
                </w:p>
              </w:tc>
              <w:tc>
                <w:tcPr>
                  <w:tcW w:w="1208" w:type="pct"/>
                  <w:noWrap w:val="0"/>
                  <w:vAlign w:val="center"/>
                </w:tcPr>
                <w:p>
                  <w:pPr>
                    <w:adjustRightInd w:val="0"/>
                    <w:snapToGrid w:val="0"/>
                    <w:jc w:val="center"/>
                    <w:rPr>
                      <w:rFonts w:hint="eastAsia"/>
                      <w:bCs/>
                      <w:sz w:val="20"/>
                      <w:szCs w:val="20"/>
                    </w:rPr>
                  </w:pPr>
                  <w:r>
                    <w:rPr>
                      <w:rFonts w:hint="eastAsia"/>
                      <w:bCs/>
                      <w:sz w:val="20"/>
                      <w:szCs w:val="20"/>
                    </w:rPr>
                    <w:t>套</w:t>
                  </w:r>
                </w:p>
              </w:tc>
              <w:tc>
                <w:tcPr>
                  <w:tcW w:w="1247" w:type="pct"/>
                  <w:noWrap w:val="0"/>
                  <w:vAlign w:val="center"/>
                </w:tcPr>
                <w:p>
                  <w:pPr>
                    <w:adjustRightInd w:val="0"/>
                    <w:snapToGrid w:val="0"/>
                    <w:jc w:val="center"/>
                    <w:rPr>
                      <w:rFonts w:hint="eastAsia"/>
                      <w:bCs/>
                      <w:sz w:val="20"/>
                      <w:szCs w:val="20"/>
                    </w:rPr>
                  </w:pPr>
                  <w:r>
                    <w:rPr>
                      <w:rFonts w:hint="eastAsia"/>
                      <w:bCs/>
                      <w:sz w:val="20"/>
                      <w:szCs w:val="20"/>
                    </w:rPr>
                    <w:t>1</w:t>
                  </w:r>
                </w:p>
              </w:tc>
            </w:tr>
          </w:tbl>
          <w:p>
            <w:pPr>
              <w:pStyle w:val="369"/>
              <w:widowControl/>
              <w:ind w:firstLine="420"/>
              <w:jc w:val="left"/>
              <w:rPr>
                <w:rFonts w:hint="eastAsia" w:ascii="宋体" w:hAnsi="宋体" w:cs="宋体"/>
                <w:sz w:val="21"/>
              </w:rPr>
            </w:pPr>
            <w:r>
              <w:rPr>
                <w:rFonts w:hint="eastAsia"/>
                <w:sz w:val="21"/>
              </w:rPr>
              <w:t>静电</w:t>
            </w:r>
            <w:r>
              <w:rPr>
                <w:rFonts w:hint="eastAsia"/>
                <w:sz w:val="21"/>
                <w:lang w:val="en-US" w:eastAsia="zh-CN"/>
              </w:rPr>
              <w:t>净化</w:t>
            </w:r>
            <w:r>
              <w:rPr>
                <w:rFonts w:hint="eastAsia"/>
                <w:sz w:val="21"/>
              </w:rPr>
              <w:t>除尘装置的工作原理是</w:t>
            </w:r>
            <w:r>
              <w:rPr>
                <w:rFonts w:hint="eastAsia" w:ascii="宋体" w:hAnsi="宋体" w:cs="宋体"/>
                <w:sz w:val="21"/>
              </w:rPr>
              <w:t>利用高压电场使气体电离，粉尘颗粒带电后在电场力作用下被吸附到电极上，从而实现气尘分离。其核心流程可分为以下四个关键步骤：</w:t>
            </w:r>
          </w:p>
          <w:p>
            <w:pPr>
              <w:pStyle w:val="369"/>
              <w:widowControl/>
              <w:numPr>
                <w:ilvl w:val="0"/>
                <w:numId w:val="30"/>
              </w:numPr>
              <w:ind w:firstLine="420"/>
              <w:jc w:val="left"/>
              <w:rPr>
                <w:rFonts w:hint="eastAsia"/>
                <w:sz w:val="21"/>
              </w:rPr>
            </w:pPr>
            <w:r>
              <w:rPr>
                <w:rFonts w:hint="eastAsia"/>
                <w:sz w:val="21"/>
              </w:rPr>
              <w:t>气体电离在高压直流电场（通常数万伏）作用下，电晕极（阴极）周围的空气分子被电离，产生大量自由电子、正负离子，形成电晕放电现象。</w:t>
            </w:r>
          </w:p>
          <w:p>
            <w:pPr>
              <w:pStyle w:val="369"/>
              <w:widowControl/>
              <w:numPr>
                <w:ilvl w:val="0"/>
                <w:numId w:val="30"/>
              </w:numPr>
              <w:ind w:firstLine="420"/>
              <w:jc w:val="left"/>
              <w:rPr>
                <w:sz w:val="21"/>
              </w:rPr>
            </w:pPr>
            <w:r>
              <w:rPr>
                <w:rFonts w:hint="eastAsia"/>
                <w:sz w:val="21"/>
              </w:rPr>
              <w:t>粉尘荷电含尘气体通过电场时，粉尘颗粒与电离产生的电子或离子碰撞，吸附电荷并带电。尘粒通常带负电，但不同设备配置中也可能带正电。</w:t>
            </w:r>
          </w:p>
          <w:p>
            <w:pPr>
              <w:pStyle w:val="369"/>
              <w:widowControl/>
              <w:numPr>
                <w:ilvl w:val="0"/>
                <w:numId w:val="30"/>
              </w:numPr>
              <w:ind w:firstLine="420"/>
              <w:jc w:val="left"/>
              <w:rPr>
                <w:sz w:val="21"/>
              </w:rPr>
            </w:pPr>
            <w:r>
              <w:rPr>
                <w:rFonts w:hint="eastAsia"/>
                <w:sz w:val="21"/>
              </w:rPr>
              <w:t>荷电粉尘迁移带电粉尘在电场力作用下向极性相反的电极（集尘极）移动。例如，负电粉尘向阳极板/筒移动，而正电颗粒向阴极线移动。</w:t>
            </w:r>
          </w:p>
          <w:p>
            <w:pPr>
              <w:pStyle w:val="369"/>
              <w:widowControl/>
              <w:numPr>
                <w:ilvl w:val="0"/>
                <w:numId w:val="30"/>
              </w:numPr>
              <w:ind w:firstLine="420"/>
              <w:jc w:val="left"/>
              <w:rPr>
                <w:sz w:val="21"/>
              </w:rPr>
            </w:pPr>
            <w:r>
              <w:rPr>
                <w:rFonts w:hint="eastAsia"/>
                <w:sz w:val="21"/>
              </w:rPr>
              <w:t>粉尘收集与清除粉尘沉积在集尘极表面，通过振打装置将积灰清除至灰斗，最终排放净化后的气体。</w:t>
            </w:r>
          </w:p>
          <w:p>
            <w:pPr>
              <w:keepNext w:val="0"/>
              <w:keepLines w:val="0"/>
              <w:pageBreakBefore w:val="0"/>
              <w:widowControl w:val="0"/>
              <w:kinsoku/>
              <w:wordWrap/>
              <w:overflowPunct/>
              <w:topLinePunct w:val="0"/>
              <w:autoSpaceDE/>
              <w:autoSpaceDN/>
              <w:bidi w:val="0"/>
              <w:adjustRightInd/>
              <w:snapToGrid/>
              <w:spacing w:line="240" w:lineRule="auto"/>
              <w:jc w:val="center"/>
              <w:textAlignment w:val="center"/>
            </w:pPr>
            <w:r>
              <w:drawing>
                <wp:inline distT="0" distB="0" distL="114300" distR="114300">
                  <wp:extent cx="2157730" cy="1951990"/>
                  <wp:effectExtent l="0" t="0" r="13970" b="10160"/>
                  <wp:docPr id="8" name="IM 354"/>
                  <wp:cNvGraphicFramePr/>
                  <a:graphic xmlns:a="http://schemas.openxmlformats.org/drawingml/2006/main">
                    <a:graphicData uri="http://schemas.openxmlformats.org/drawingml/2006/picture">
                      <pic:pic xmlns:pic="http://schemas.openxmlformats.org/drawingml/2006/picture">
                        <pic:nvPicPr>
                          <pic:cNvPr id="8" name="IM 354"/>
                          <pic:cNvPicPr/>
                        </pic:nvPicPr>
                        <pic:blipFill>
                          <a:blip r:embed="rId36"/>
                          <a:stretch>
                            <a:fillRect/>
                          </a:stretch>
                        </pic:blipFill>
                        <pic:spPr>
                          <a:xfrm>
                            <a:off x="0" y="0"/>
                            <a:ext cx="2157730" cy="1951990"/>
                          </a:xfrm>
                          <a:prstGeom prst="rect">
                            <a:avLst/>
                          </a:prstGeom>
                          <a:noFill/>
                          <a:ln>
                            <a:noFill/>
                          </a:ln>
                        </pic:spPr>
                      </pic:pic>
                    </a:graphicData>
                  </a:graphic>
                </wp:inline>
              </w:drawing>
            </w:r>
          </w:p>
          <w:p>
            <w:pPr>
              <w:adjustRightInd w:val="0"/>
              <w:snapToGrid w:val="0"/>
              <w:spacing w:after="0" w:line="360" w:lineRule="auto"/>
              <w:jc w:val="center"/>
              <w:rPr>
                <w:rFonts w:ascii="Times New Roman" w:hAnsi="Times New Roman"/>
                <w:b/>
                <w:bCs/>
                <w:sz w:val="21"/>
                <w:szCs w:val="21"/>
              </w:rPr>
            </w:pPr>
            <w:r>
              <w:rPr>
                <w:rFonts w:ascii="Times New Roman" w:hAnsi="Times New Roman"/>
                <w:b/>
                <w:bCs/>
                <w:sz w:val="21"/>
                <w:szCs w:val="21"/>
              </w:rPr>
              <w:t>图</w:t>
            </w:r>
            <w:r>
              <w:rPr>
                <w:rFonts w:hint="eastAsia" w:ascii="Times New Roman" w:hAnsi="Times New Roman"/>
                <w:b/>
                <w:bCs/>
                <w:sz w:val="21"/>
                <w:szCs w:val="21"/>
                <w:lang w:val="en-US" w:eastAsia="zh-CN"/>
              </w:rPr>
              <w:t>4</w:t>
            </w:r>
            <w:r>
              <w:rPr>
                <w:rFonts w:ascii="Times New Roman" w:hAnsi="Times New Roman"/>
                <w:b/>
                <w:bCs/>
                <w:sz w:val="21"/>
                <w:szCs w:val="21"/>
              </w:rPr>
              <w:t>-</w:t>
            </w:r>
            <w:r>
              <w:rPr>
                <w:rFonts w:hint="eastAsia"/>
                <w:b/>
                <w:bCs/>
                <w:sz w:val="21"/>
                <w:szCs w:val="21"/>
                <w:lang w:val="en-US" w:eastAsia="zh-CN"/>
              </w:rPr>
              <w:t>4</w:t>
            </w:r>
            <w:r>
              <w:rPr>
                <w:rFonts w:ascii="Times New Roman" w:hAnsi="Times New Roman"/>
                <w:b/>
                <w:bCs/>
                <w:sz w:val="21"/>
                <w:szCs w:val="21"/>
              </w:rPr>
              <w:t xml:space="preserve">  静电除油内部结构图</w:t>
            </w:r>
          </w:p>
          <w:p>
            <w:pPr>
              <w:keepNext w:val="0"/>
              <w:keepLines w:val="0"/>
              <w:pageBreakBefore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cs="Times New Roman"/>
                <w:color w:val="auto"/>
                <w:kern w:val="0"/>
                <w:szCs w:val="21"/>
              </w:rPr>
            </w:pPr>
            <w:r>
              <w:rPr>
                <w:rFonts w:hint="eastAsia" w:ascii="Times New Roman" w:hAnsi="Times New Roman" w:cs="Times New Roman"/>
                <w:color w:val="auto"/>
                <w:kern w:val="0"/>
                <w:szCs w:val="21"/>
              </w:rPr>
              <w:t>根据《关于印发&lt;江苏省重点行业挥发性有机物污染控制指南&gt;的通知》(苏环办[2014] 128号) 要求，定型机废气宜采用机械净化与吸收技术或高压静电技术等组合工艺，机械净化包括冷凝、机械除尘、过滤及吸附等技术。项目定型机废气采用水喷淋+静电除油工艺，符合该文要求。</w:t>
            </w:r>
          </w:p>
          <w:p>
            <w:pPr>
              <w:keepNext w:val="0"/>
              <w:keepLines w:val="0"/>
              <w:pageBreakBefore w:val="0"/>
              <w:kinsoku/>
              <w:wordWrap/>
              <w:overflowPunct/>
              <w:topLinePunct w:val="0"/>
              <w:autoSpaceDE w:val="0"/>
              <w:autoSpaceDN w:val="0"/>
              <w:bidi w:val="0"/>
              <w:adjustRightInd w:val="0"/>
              <w:snapToGrid w:val="0"/>
              <w:spacing w:line="360" w:lineRule="auto"/>
              <w:ind w:firstLine="420" w:firstLineChars="200"/>
              <w:textAlignment w:val="auto"/>
              <w:rPr>
                <w:rFonts w:hint="eastAsia"/>
                <w:b/>
                <w:snapToGrid w:val="0"/>
                <w:color w:val="auto"/>
                <w:kern w:val="0"/>
                <w:szCs w:val="21"/>
              </w:rPr>
            </w:pPr>
            <w:r>
              <w:rPr>
                <w:rFonts w:hint="eastAsia" w:ascii="Times New Roman" w:hAnsi="Times New Roman" w:cs="Times New Roman"/>
                <w:color w:val="auto"/>
                <w:kern w:val="0"/>
                <w:szCs w:val="21"/>
              </w:rPr>
              <w:t>此外，《排污许可证申请与核发技术规范纺织印染工业》 (HJ861-2017) 附录B明确“定型设施产生的颗粒物和VOCs类污染物，可选用的可行技术有：喷淋洗涤、吸附或喷淋洗涤-静电吸附。由上文分析可知，本项目定型</w:t>
            </w:r>
            <w:r>
              <w:rPr>
                <w:rFonts w:hint="eastAsia" w:ascii="Times New Roman" w:hAnsi="Times New Roman" w:cs="Times New Roman"/>
                <w:color w:val="auto"/>
                <w:kern w:val="0"/>
                <w:szCs w:val="21"/>
                <w:lang w:val="en-US" w:eastAsia="zh-CN"/>
              </w:rPr>
              <w:t>和蒸呢</w:t>
            </w:r>
            <w:r>
              <w:rPr>
                <w:rFonts w:hint="eastAsia" w:ascii="Times New Roman" w:hAnsi="Times New Roman" w:cs="Times New Roman"/>
                <w:color w:val="auto"/>
                <w:kern w:val="0"/>
                <w:szCs w:val="21"/>
              </w:rPr>
              <w:t>废气采用管道收集，</w:t>
            </w:r>
            <w:r>
              <w:rPr>
                <w:rFonts w:hint="eastAsia" w:ascii="Times New Roman" w:hAnsi="Times New Roman" w:cs="Times New Roman"/>
                <w:color w:val="FF0000"/>
                <w:kern w:val="0"/>
                <w:szCs w:val="21"/>
              </w:rPr>
              <w:t>废气收集率高于95%</w:t>
            </w:r>
            <w:r>
              <w:rPr>
                <w:rFonts w:hint="eastAsia" w:cs="Times New Roman"/>
                <w:color w:val="FF0000"/>
                <w:kern w:val="0"/>
                <w:szCs w:val="21"/>
                <w:lang w:eastAsia="zh-CN"/>
              </w:rPr>
              <w:t>，</w:t>
            </w:r>
            <w:r>
              <w:rPr>
                <w:rFonts w:hint="eastAsia" w:cs="Times New Roman"/>
                <w:color w:val="FF0000"/>
                <w:kern w:val="0"/>
                <w:szCs w:val="21"/>
                <w:lang w:val="en-US" w:eastAsia="zh-CN"/>
              </w:rPr>
              <w:t>处理效率根据前文分析为80%</w:t>
            </w:r>
            <w:r>
              <w:rPr>
                <w:rFonts w:hint="eastAsia" w:ascii="Times New Roman" w:hAnsi="Times New Roman" w:cs="Times New Roman"/>
                <w:color w:val="FF0000"/>
                <w:kern w:val="0"/>
                <w:szCs w:val="21"/>
              </w:rPr>
              <w:t>；</w:t>
            </w:r>
            <w:r>
              <w:rPr>
                <w:rFonts w:hint="eastAsia" w:ascii="Times New Roman" w:hAnsi="Times New Roman" w:cs="Times New Roman"/>
                <w:color w:val="auto"/>
                <w:kern w:val="0"/>
                <w:szCs w:val="21"/>
              </w:rPr>
              <w:t>定型机废气经过“水喷淋+静电除油”处理，满足相关政策要求。</w:t>
            </w:r>
          </w:p>
          <w:p>
            <w:pPr>
              <w:keepNext w:val="0"/>
              <w:keepLines w:val="0"/>
              <w:pageBreakBefore w:val="0"/>
              <w:kinsoku/>
              <w:wordWrap/>
              <w:overflowPunct/>
              <w:topLinePunct w:val="0"/>
              <w:autoSpaceDE w:val="0"/>
              <w:autoSpaceDN w:val="0"/>
              <w:bidi w:val="0"/>
              <w:adjustRightInd w:val="0"/>
              <w:snapToGrid w:val="0"/>
              <w:spacing w:line="360" w:lineRule="auto"/>
              <w:ind w:firstLine="422" w:firstLineChars="200"/>
              <w:textAlignment w:val="auto"/>
              <w:rPr>
                <w:b/>
                <w:snapToGrid w:val="0"/>
                <w:color w:val="auto"/>
                <w:kern w:val="0"/>
                <w:szCs w:val="21"/>
              </w:rPr>
            </w:pPr>
            <w:r>
              <w:rPr>
                <w:rFonts w:hint="eastAsia"/>
                <w:b/>
                <w:snapToGrid w:val="0"/>
                <w:color w:val="auto"/>
                <w:kern w:val="0"/>
                <w:szCs w:val="21"/>
              </w:rPr>
              <w:t>B、</w:t>
            </w:r>
            <w:r>
              <w:rPr>
                <w:rFonts w:hint="eastAsia" w:cs="Times New Roman"/>
                <w:b/>
                <w:snapToGrid w:val="0"/>
                <w:color w:val="auto"/>
                <w:kern w:val="0"/>
                <w:szCs w:val="21"/>
                <w:lang w:val="en-US" w:eastAsia="zh-CN"/>
              </w:rPr>
              <w:t>低氮燃烧+SNC</w:t>
            </w:r>
            <w:r>
              <w:rPr>
                <w:rFonts w:hint="eastAsia" w:ascii="Times New Roman" w:hAnsi="Times New Roman" w:eastAsia="宋体" w:cs="Times New Roman"/>
                <w:b/>
                <w:snapToGrid w:val="0"/>
                <w:color w:val="auto"/>
                <w:kern w:val="0"/>
                <w:szCs w:val="21"/>
                <w:lang w:val="en-US" w:eastAsia="zh-CN"/>
              </w:rPr>
              <w:t>R+石灰喷雾干燥+余热</w:t>
            </w:r>
            <w:r>
              <w:rPr>
                <w:rFonts w:hint="eastAsia" w:cs="Times New Roman"/>
                <w:b/>
                <w:snapToGrid w:val="0"/>
                <w:color w:val="auto"/>
                <w:kern w:val="0"/>
                <w:szCs w:val="21"/>
                <w:lang w:val="en-US" w:eastAsia="zh-CN"/>
              </w:rPr>
              <w:t>回收+旋风除尘+布袋除尘+水幕除尘</w:t>
            </w:r>
            <w:r>
              <w:rPr>
                <w:rFonts w:hint="eastAsia" w:ascii="Times New Roman" w:hAnsi="Times New Roman" w:cs="Times New Roman"/>
                <w:b/>
                <w:snapToGrid w:val="0"/>
                <w:color w:val="auto"/>
                <w:kern w:val="0"/>
                <w:szCs w:val="21"/>
              </w:rPr>
              <w:t>装置</w:t>
            </w:r>
          </w:p>
          <w:p>
            <w:pPr>
              <w:pStyle w:val="369"/>
              <w:keepNext w:val="0"/>
              <w:keepLines w:val="0"/>
              <w:pageBreakBefore w:val="0"/>
              <w:widowControl/>
              <w:kinsoku/>
              <w:wordWrap/>
              <w:overflowPunct/>
              <w:topLinePunct w:val="0"/>
              <w:bidi w:val="0"/>
              <w:spacing w:line="360" w:lineRule="auto"/>
              <w:ind w:firstLine="420"/>
              <w:jc w:val="left"/>
              <w:textAlignment w:val="auto"/>
              <w:rPr>
                <w:rFonts w:ascii="宋体" w:hAnsi="宋体" w:cs="宋体"/>
                <w:sz w:val="21"/>
              </w:rPr>
            </w:pPr>
            <w:r>
              <w:rPr>
                <w:rFonts w:hint="eastAsia" w:ascii="宋体" w:hAnsi="宋体" w:cs="宋体"/>
                <w:sz w:val="21"/>
                <w:lang w:val="en-US" w:eastAsia="zh-CN"/>
              </w:rPr>
              <w:t>①</w:t>
            </w:r>
            <w:r>
              <w:rPr>
                <w:rFonts w:hint="eastAsia" w:ascii="宋体" w:hAnsi="宋体" w:cs="宋体"/>
                <w:sz w:val="21"/>
              </w:rPr>
              <w:t>低氮燃烧器</w:t>
            </w:r>
          </w:p>
          <w:p>
            <w:pPr>
              <w:pStyle w:val="369"/>
              <w:keepNext w:val="0"/>
              <w:keepLines w:val="0"/>
              <w:pageBreakBefore w:val="0"/>
              <w:widowControl/>
              <w:kinsoku/>
              <w:wordWrap/>
              <w:overflowPunct/>
              <w:topLinePunct w:val="0"/>
              <w:bidi w:val="0"/>
              <w:spacing w:line="360" w:lineRule="auto"/>
              <w:ind w:firstLine="420"/>
              <w:jc w:val="left"/>
              <w:textAlignment w:val="auto"/>
              <w:rPr>
                <w:sz w:val="21"/>
              </w:rPr>
            </w:pPr>
            <w:r>
              <w:rPr>
                <w:sz w:val="21"/>
              </w:rPr>
              <w:t>低氮燃烧技术：低氮燃烧技术降低NO</w:t>
            </w:r>
            <w:r>
              <w:rPr>
                <w:rFonts w:hint="eastAsia"/>
                <w:sz w:val="21"/>
              </w:rPr>
              <w:t>x</w:t>
            </w:r>
            <w:r>
              <w:rPr>
                <w:sz w:val="21"/>
              </w:rPr>
              <w:t>浓度是通过燃烧及制粉系统优化调整，减少炉风总量即氧浓度，使燃烧过程中的过量空气系数尽可能接近1，也就是在接近理论空气量的条件下进行燃烧</w:t>
            </w:r>
            <w:r>
              <w:rPr>
                <w:rFonts w:hint="eastAsia"/>
                <w:sz w:val="21"/>
                <w:lang w:eastAsia="zh-CN"/>
              </w:rPr>
              <w:t>，</w:t>
            </w:r>
            <w:r>
              <w:rPr>
                <w:sz w:val="21"/>
              </w:rPr>
              <w:t>又称为燃料分级或炉内还原</w:t>
            </w:r>
            <w:r>
              <w:rPr>
                <w:rFonts w:hint="eastAsia"/>
                <w:sz w:val="21"/>
              </w:rPr>
              <w:t>（</w:t>
            </w:r>
            <w:r>
              <w:rPr>
                <w:sz w:val="21"/>
              </w:rPr>
              <w:t>IFNR</w:t>
            </w:r>
            <w:r>
              <w:rPr>
                <w:rFonts w:hint="eastAsia"/>
                <w:sz w:val="21"/>
              </w:rPr>
              <w:t>）</w:t>
            </w:r>
            <w:r>
              <w:rPr>
                <w:sz w:val="21"/>
              </w:rPr>
              <w:t>技术，它是降低NO</w:t>
            </w:r>
            <w:r>
              <w:rPr>
                <w:rFonts w:hint="eastAsia"/>
                <w:sz w:val="21"/>
              </w:rPr>
              <w:t>x</w:t>
            </w:r>
            <w:r>
              <w:rPr>
                <w:sz w:val="21"/>
              </w:rPr>
              <w:t>排放的诸多炉内方法中最有效的措施之一。低氮燃烧技术将80%-85%的燃料送入主燃区在空气过量系数α&gt;1的条件下燃烧，其余15%-20%的燃料作为还原剂在主燃烧器的上部某一合适位置喷入形成再燃区，再燃区空气过量系数α&lt;1，再燃区不仅使已经生成的NO</w:t>
            </w:r>
            <w:r>
              <w:rPr>
                <w:rFonts w:hint="eastAsia"/>
                <w:sz w:val="21"/>
              </w:rPr>
              <w:t>x</w:t>
            </w:r>
            <w:r>
              <w:rPr>
                <w:sz w:val="21"/>
              </w:rPr>
              <w:t>得到还原，同时还抑制了新的NO</w:t>
            </w:r>
            <w:r>
              <w:rPr>
                <w:rFonts w:hint="eastAsia"/>
                <w:sz w:val="21"/>
              </w:rPr>
              <w:t>x</w:t>
            </w:r>
            <w:r>
              <w:rPr>
                <w:sz w:val="21"/>
              </w:rPr>
              <w:t>的生成，可进一步降低NO</w:t>
            </w:r>
            <w:r>
              <w:rPr>
                <w:rFonts w:hint="eastAsia"/>
                <w:sz w:val="21"/>
              </w:rPr>
              <w:t>x</w:t>
            </w:r>
            <w:r>
              <w:rPr>
                <w:sz w:val="21"/>
              </w:rPr>
              <w:t>的排放浓度。再燃区上方布置燃尽风以形成燃尽区，保证再燃区出口的未完全燃烧产物燃尽。同其他低NO</w:t>
            </w:r>
            <w:r>
              <w:rPr>
                <w:rFonts w:hint="eastAsia"/>
                <w:sz w:val="21"/>
              </w:rPr>
              <w:t>x</w:t>
            </w:r>
            <w:r>
              <w:rPr>
                <w:sz w:val="21"/>
              </w:rPr>
              <w:t>燃烧技术比较，再燃低NO</w:t>
            </w:r>
            <w:r>
              <w:rPr>
                <w:rFonts w:hint="eastAsia"/>
                <w:sz w:val="21"/>
              </w:rPr>
              <w:t>x</w:t>
            </w:r>
            <w:r>
              <w:rPr>
                <w:sz w:val="21"/>
              </w:rPr>
              <w:t>燃烧技术可以大幅度降低NO</w:t>
            </w:r>
            <w:r>
              <w:rPr>
                <w:rFonts w:hint="eastAsia"/>
                <w:sz w:val="21"/>
              </w:rPr>
              <w:t>x</w:t>
            </w:r>
            <w:r>
              <w:rPr>
                <w:sz w:val="21"/>
              </w:rPr>
              <w:t>排放，一般情况下可以使NO</w:t>
            </w:r>
            <w:r>
              <w:rPr>
                <w:rFonts w:hint="eastAsia"/>
                <w:sz w:val="21"/>
              </w:rPr>
              <w:t>x</w:t>
            </w:r>
            <w:r>
              <w:rPr>
                <w:sz w:val="21"/>
              </w:rPr>
              <w:t>排放浓度降低50%以上，分离火焰低NO</w:t>
            </w:r>
            <w:r>
              <w:rPr>
                <w:rFonts w:hint="eastAsia"/>
                <w:sz w:val="21"/>
              </w:rPr>
              <w:t>x</w:t>
            </w:r>
            <w:r>
              <w:rPr>
                <w:sz w:val="21"/>
              </w:rPr>
              <w:t>燃烧器在只使用燃烧器的情况下可以达到50~65%的NO</w:t>
            </w:r>
            <w:r>
              <w:rPr>
                <w:rFonts w:hint="eastAsia"/>
                <w:sz w:val="21"/>
              </w:rPr>
              <w:t>x</w:t>
            </w:r>
            <w:r>
              <w:rPr>
                <w:sz w:val="21"/>
              </w:rPr>
              <w:t>降低率，在燃烧器与火上风</w:t>
            </w:r>
            <w:r>
              <w:rPr>
                <w:rFonts w:hint="eastAsia"/>
                <w:sz w:val="21"/>
              </w:rPr>
              <w:t>（</w:t>
            </w:r>
            <w:r>
              <w:rPr>
                <w:sz w:val="21"/>
              </w:rPr>
              <w:t>OFA</w:t>
            </w:r>
            <w:r>
              <w:rPr>
                <w:rFonts w:hint="eastAsia"/>
                <w:sz w:val="21"/>
              </w:rPr>
              <w:t>）</w:t>
            </w:r>
            <w:r>
              <w:rPr>
                <w:sz w:val="21"/>
              </w:rPr>
              <w:t>一起使用时</w:t>
            </w:r>
            <w:r>
              <w:rPr>
                <w:rFonts w:hint="eastAsia"/>
                <w:sz w:val="21"/>
              </w:rPr>
              <w:t>，</w:t>
            </w:r>
            <w:r>
              <w:rPr>
                <w:sz w:val="21"/>
              </w:rPr>
              <w:t>可达到65~75%NO</w:t>
            </w:r>
            <w:r>
              <w:rPr>
                <w:rFonts w:hint="eastAsia"/>
                <w:sz w:val="21"/>
              </w:rPr>
              <w:t>x</w:t>
            </w:r>
            <w:r>
              <w:rPr>
                <w:sz w:val="21"/>
              </w:rPr>
              <w:t>的降低率。</w:t>
            </w:r>
          </w:p>
          <w:p>
            <w:pPr>
              <w:spacing w:line="360" w:lineRule="auto"/>
              <w:jc w:val="center"/>
              <w:rPr>
                <w:b/>
                <w:bCs/>
                <w:szCs w:val="24"/>
              </w:rPr>
            </w:pPr>
            <w:r>
              <w:rPr>
                <w:szCs w:val="24"/>
              </w:rPr>
              <w:drawing>
                <wp:inline distT="0" distB="0" distL="114300" distR="114300">
                  <wp:extent cx="3221990" cy="1958975"/>
                  <wp:effectExtent l="0" t="0" r="1651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7"/>
                          <a:stretch>
                            <a:fillRect/>
                          </a:stretch>
                        </pic:blipFill>
                        <pic:spPr>
                          <a:xfrm>
                            <a:off x="0" y="0"/>
                            <a:ext cx="3221990" cy="1958975"/>
                          </a:xfrm>
                          <a:prstGeom prst="rect">
                            <a:avLst/>
                          </a:prstGeom>
                          <a:noFill/>
                          <a:ln>
                            <a:noFill/>
                          </a:ln>
                        </pic:spPr>
                      </pic:pic>
                    </a:graphicData>
                  </a:graphic>
                </wp:inline>
              </w:drawing>
            </w:r>
          </w:p>
          <w:p>
            <w:pPr>
              <w:spacing w:line="360" w:lineRule="auto"/>
              <w:jc w:val="center"/>
              <w:rPr>
                <w:b/>
                <w:bCs/>
                <w:szCs w:val="24"/>
              </w:rPr>
            </w:pPr>
            <w:r>
              <w:rPr>
                <w:rFonts w:hint="eastAsia"/>
                <w:b/>
                <w:bCs/>
                <w:szCs w:val="24"/>
              </w:rPr>
              <w:t>图4-</w:t>
            </w:r>
            <w:r>
              <w:rPr>
                <w:rFonts w:hint="eastAsia"/>
                <w:b/>
                <w:bCs/>
                <w:szCs w:val="24"/>
                <w:lang w:val="en-US" w:eastAsia="zh-CN"/>
              </w:rPr>
              <w:t>5</w:t>
            </w:r>
            <w:r>
              <w:rPr>
                <w:rFonts w:hint="eastAsia"/>
                <w:b/>
                <w:bCs/>
                <w:szCs w:val="24"/>
              </w:rPr>
              <w:t xml:space="preserve"> </w:t>
            </w:r>
            <w:r>
              <w:rPr>
                <w:b/>
                <w:bCs/>
                <w:szCs w:val="24"/>
              </w:rPr>
              <w:t xml:space="preserve"> </w:t>
            </w:r>
            <w:r>
              <w:rPr>
                <w:rFonts w:hint="eastAsia"/>
                <w:b/>
                <w:bCs/>
                <w:szCs w:val="24"/>
              </w:rPr>
              <w:t>低氮燃烧器结构示意图</w:t>
            </w:r>
          </w:p>
          <w:p>
            <w:pPr>
              <w:pStyle w:val="369"/>
              <w:widowControl/>
              <w:ind w:firstLine="420"/>
              <w:jc w:val="left"/>
              <w:rPr>
                <w:sz w:val="21"/>
              </w:rPr>
            </w:pPr>
            <w:r>
              <w:rPr>
                <w:sz w:val="21"/>
              </w:rPr>
              <w:t>本项目低氮燃烧器属于国内领先水平，对NOx去除效率以50%计。</w:t>
            </w:r>
          </w:p>
          <w:p>
            <w:pPr>
              <w:pStyle w:val="369"/>
              <w:widowControl/>
              <w:ind w:firstLine="420"/>
              <w:jc w:val="left"/>
              <w:rPr>
                <w:rFonts w:ascii="宋体" w:hAnsi="宋体" w:cs="宋体"/>
                <w:sz w:val="21"/>
              </w:rPr>
            </w:pPr>
            <w:r>
              <w:rPr>
                <w:rFonts w:hint="eastAsia" w:ascii="宋体" w:hAnsi="宋体" w:cs="宋体"/>
                <w:sz w:val="21"/>
                <w:lang w:val="en-US" w:eastAsia="zh-CN"/>
              </w:rPr>
              <w:t>②</w:t>
            </w:r>
            <w:r>
              <w:rPr>
                <w:sz w:val="21"/>
              </w:rPr>
              <w:t>SNCR</w:t>
            </w:r>
            <w:r>
              <w:rPr>
                <w:rFonts w:hint="eastAsia" w:ascii="宋体" w:hAnsi="宋体" w:cs="宋体"/>
                <w:sz w:val="21"/>
              </w:rPr>
              <w:t>（尿素喷淋）脱硝原理</w:t>
            </w:r>
          </w:p>
          <w:p>
            <w:pPr>
              <w:pStyle w:val="369"/>
              <w:widowControl/>
              <w:ind w:firstLine="420"/>
              <w:jc w:val="left"/>
              <w:rPr>
                <w:sz w:val="21"/>
              </w:rPr>
            </w:pPr>
            <w:r>
              <w:rPr>
                <w:sz w:val="21"/>
              </w:rPr>
              <w:t>SNCR脱硝技术即选择性非催化还原，是一种不用催化剂，在850℃~1050℃的温度范围内，将含氨基的还原剂（如氨水、尿素溶液等）喷入炉内，将烟气中的NOx还原脱除，生成氮气和水的清洁脱硝技术。</w:t>
            </w:r>
          </w:p>
          <w:p>
            <w:pPr>
              <w:pStyle w:val="369"/>
              <w:widowControl/>
              <w:ind w:firstLine="420"/>
              <w:jc w:val="left"/>
              <w:rPr>
                <w:sz w:val="21"/>
              </w:rPr>
            </w:pPr>
            <w:r>
              <w:rPr>
                <w:rFonts w:hint="eastAsia"/>
                <w:sz w:val="21"/>
              </w:rPr>
              <w:t>本项目采用</w:t>
            </w:r>
            <w:r>
              <w:rPr>
                <w:sz w:val="21"/>
              </w:rPr>
              <w:t>尿素</w:t>
            </w:r>
            <w:r>
              <w:rPr>
                <w:rFonts w:hint="eastAsia"/>
                <w:sz w:val="21"/>
              </w:rPr>
              <w:t>脱硝</w:t>
            </w:r>
            <w:r>
              <w:rPr>
                <w:sz w:val="21"/>
              </w:rPr>
              <w:t>，使用安全方便，而且反应时间比较短。尿素脱硝最适合温度850℃~1050℃，在炉中SNCR的一般喷射温度在900℃左右，温度适宜。</w:t>
            </w:r>
          </w:p>
          <w:p>
            <w:pPr>
              <w:pStyle w:val="369"/>
              <w:widowControl/>
              <w:ind w:firstLine="420"/>
              <w:jc w:val="left"/>
              <w:rPr>
                <w:sz w:val="21"/>
                <w:szCs w:val="21"/>
              </w:rPr>
            </w:pPr>
            <w:r>
              <w:rPr>
                <w:rFonts w:hint="eastAsia"/>
                <w:sz w:val="21"/>
              </w:rPr>
              <w:t>氨逃逸成因‌：如果‌温度过低‌（&lt;900℃），尿素分解不完全，未反应的尿素或中间产物会直接逃逸；如果‌温度过高‌（&gt;1100℃），生成的氨气会被氧化重新变成NOx，或者因反应时间不足而直接穿过炉膛。</w:t>
            </w:r>
            <w:r>
              <w:rPr>
                <w:rFonts w:hint="eastAsia"/>
                <w:sz w:val="21"/>
                <w:szCs w:val="21"/>
              </w:rPr>
              <w:t>因此，必须严格控制氨的逃逸率，相关措施如下：</w:t>
            </w:r>
          </w:p>
          <w:p>
            <w:pPr>
              <w:pStyle w:val="369"/>
              <w:widowControl/>
              <w:ind w:firstLine="420"/>
              <w:jc w:val="left"/>
              <w:rPr>
                <w:sz w:val="21"/>
              </w:rPr>
            </w:pPr>
            <w:r>
              <w:rPr>
                <w:rFonts w:hint="eastAsia"/>
                <w:sz w:val="21"/>
              </w:rPr>
              <w:t>利用</w:t>
            </w:r>
            <w:bookmarkStart w:id="19" w:name="OLE_LINK4"/>
            <w:r>
              <w:rPr>
                <w:rFonts w:hint="eastAsia"/>
                <w:sz w:val="21"/>
              </w:rPr>
              <w:t>CFD</w:t>
            </w:r>
            <w:bookmarkEnd w:id="19"/>
            <w:r>
              <w:rPr>
                <w:rFonts w:hint="eastAsia"/>
                <w:sz w:val="21"/>
              </w:rPr>
              <w:t>（计算液体力学）模拟确定最佳喷射高度，确保尿素喷入900℃-1100℃的核心温区。</w:t>
            </w:r>
            <w:r>
              <w:rPr>
                <w:sz w:val="21"/>
              </w:rPr>
              <w:t>采用多层喷枪设计，根据锅炉负荷动态调整各层喷枪的开启数量和流量，适应温度场变化。</w:t>
            </w:r>
          </w:p>
          <w:p>
            <w:pPr>
              <w:pStyle w:val="369"/>
              <w:widowControl/>
              <w:ind w:firstLine="420"/>
              <w:jc w:val="left"/>
              <w:rPr>
                <w:rFonts w:hint="default" w:ascii="宋体" w:hAnsi="宋体" w:cs="宋体"/>
                <w:sz w:val="21"/>
                <w:lang w:val="en-US" w:eastAsia="zh-CN"/>
              </w:rPr>
            </w:pPr>
            <w:r>
              <w:rPr>
                <w:rFonts w:hint="eastAsia" w:ascii="宋体" w:hAnsi="宋体" w:cs="宋体"/>
                <w:sz w:val="21"/>
                <w:lang w:val="en-US" w:eastAsia="zh-CN"/>
              </w:rPr>
              <w:t>③余热回收</w:t>
            </w:r>
          </w:p>
          <w:p>
            <w:pPr>
              <w:pStyle w:val="369"/>
              <w:widowControl/>
              <w:ind w:firstLine="420"/>
              <w:jc w:val="left"/>
              <w:rPr>
                <w:rFonts w:hint="eastAsia" w:ascii="宋体" w:hAnsi="宋体" w:cs="宋体"/>
                <w:sz w:val="21"/>
                <w:lang w:val="en-US" w:eastAsia="zh-CN"/>
              </w:rPr>
            </w:pPr>
            <w:r>
              <w:rPr>
                <w:rFonts w:hint="eastAsia" w:ascii="Times New Roman" w:hAnsi="Times New Roman" w:cs="Times New Roman"/>
                <w:sz w:val="21"/>
                <w:lang w:val="en-US" w:eastAsia="zh-CN"/>
              </w:rPr>
              <w:t>本项目</w:t>
            </w:r>
            <w:r>
              <w:rPr>
                <w:rFonts w:hint="default" w:ascii="Times New Roman" w:hAnsi="Times New Roman" w:cs="Times New Roman"/>
                <w:sz w:val="21"/>
              </w:rPr>
              <w:t>‌锅炉废气余热回收</w:t>
            </w:r>
            <w:r>
              <w:rPr>
                <w:rFonts w:hint="eastAsia" w:ascii="Times New Roman" w:hAnsi="Times New Roman" w:cs="Times New Roman"/>
                <w:sz w:val="21"/>
                <w:lang w:val="en-US" w:eastAsia="zh-CN"/>
              </w:rPr>
              <w:t>采用</w:t>
            </w:r>
            <w:r>
              <w:rPr>
                <w:rFonts w:hint="default" w:ascii="Times New Roman" w:hAnsi="Times New Roman" w:cs="Times New Roman"/>
                <w:sz w:val="21"/>
              </w:rPr>
              <w:t>高温段燃料干燥+低温段深度冷凝‌。生物质燃烧产生的烟气温度通常在200℃-400℃，在锅炉进料口设置干燥机，利用高温过热烟气直接接触生物质燃料，将其含水率从30%降至15%以下。这不仅减少了燃料入炉后蒸发水分消耗的热量，还提升了燃烧稳定性，从源头降低了烟气中的水蒸气含量。低温段深度冷凝与防腐设计</w:t>
            </w:r>
            <w:r>
              <w:rPr>
                <w:rFonts w:hint="eastAsia" w:ascii="Times New Roman" w:hAnsi="Times New Roman" w:cs="Times New Roman"/>
                <w:sz w:val="21"/>
                <w:lang w:eastAsia="zh-CN"/>
              </w:rPr>
              <w:t>，</w:t>
            </w:r>
            <w:r>
              <w:rPr>
                <w:rFonts w:hint="default" w:ascii="Times New Roman" w:hAnsi="Times New Roman" w:cs="Times New Roman"/>
                <w:sz w:val="21"/>
              </w:rPr>
              <w:t>采用多级烟气冷凝装置，将排烟温度降至30℃-50℃。</w:t>
            </w:r>
          </w:p>
          <w:p>
            <w:pPr>
              <w:pStyle w:val="369"/>
              <w:widowControl/>
              <w:ind w:firstLine="420"/>
              <w:jc w:val="left"/>
              <w:rPr>
                <w:rFonts w:ascii="宋体" w:hAnsi="宋体" w:cs="宋体"/>
                <w:sz w:val="21"/>
              </w:rPr>
            </w:pPr>
            <w:r>
              <w:rPr>
                <w:rFonts w:hint="eastAsia" w:ascii="宋体" w:hAnsi="宋体" w:cs="宋体"/>
                <w:sz w:val="21"/>
                <w:lang w:val="en-US" w:eastAsia="zh-CN"/>
              </w:rPr>
              <w:t>④</w:t>
            </w:r>
            <w:r>
              <w:rPr>
                <w:rFonts w:hint="eastAsia" w:ascii="宋体" w:hAnsi="宋体" w:cs="宋体"/>
                <w:sz w:val="21"/>
              </w:rPr>
              <w:t>多管旋风除尘器</w:t>
            </w:r>
          </w:p>
          <w:p>
            <w:pPr>
              <w:pStyle w:val="369"/>
              <w:widowControl/>
              <w:ind w:firstLine="420"/>
              <w:jc w:val="left"/>
              <w:rPr>
                <w:sz w:val="21"/>
              </w:rPr>
            </w:pPr>
            <w:r>
              <w:rPr>
                <w:sz w:val="21"/>
              </w:rPr>
              <w:t>管旋风除尘器主要依赖于气流的旋转运动和离心力的作用。当含尘气流通过切线方向进入除尘器时，气流开始在内部进行旋转运动。在旋转过程中，气流中的尘粒受到离心力的作用，被甩向外壁。由于离心力可以达到重力的5到2500倍，因此能够有效地将尘粒从气流中分离出来。分离后的尘粒一旦接触到器壁，就会失去惯性力，依靠自身的重力和气流的动量沿着壁面下滑，最终落入集尘室。净化后的气体则通过排气管排出除尘器。多管旋风除尘器的结构特点包括筒体、锥体和进排气管等组成部分。多管设计使得多个旋风除尘器并联使用，共享进气室和排气室，以及共用灰斗。</w:t>
            </w:r>
          </w:p>
          <w:p>
            <w:pPr>
              <w:pStyle w:val="369"/>
              <w:widowControl/>
              <w:ind w:firstLine="0" w:firstLineChars="0"/>
              <w:jc w:val="center"/>
              <w:rPr>
                <w:rFonts w:ascii="宋体" w:hAnsi="宋体" w:cs="宋体"/>
                <w:sz w:val="21"/>
              </w:rPr>
            </w:pPr>
            <w:r>
              <w:drawing>
                <wp:inline distT="0" distB="0" distL="114300" distR="114300">
                  <wp:extent cx="1924685" cy="2171065"/>
                  <wp:effectExtent l="0" t="0" r="18415" b="635"/>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38"/>
                          <a:stretch>
                            <a:fillRect/>
                          </a:stretch>
                        </pic:blipFill>
                        <pic:spPr>
                          <a:xfrm>
                            <a:off x="0" y="0"/>
                            <a:ext cx="1924685" cy="2171065"/>
                          </a:xfrm>
                          <a:prstGeom prst="rect">
                            <a:avLst/>
                          </a:prstGeom>
                          <a:noFill/>
                          <a:ln>
                            <a:noFill/>
                          </a:ln>
                        </pic:spPr>
                      </pic:pic>
                    </a:graphicData>
                  </a:graphic>
                </wp:inline>
              </w:drawing>
            </w:r>
          </w:p>
          <w:p>
            <w:pPr>
              <w:spacing w:line="360" w:lineRule="auto"/>
              <w:jc w:val="center"/>
              <w:rPr>
                <w:rFonts w:hint="eastAsia"/>
                <w:b/>
                <w:bCs/>
                <w:szCs w:val="24"/>
              </w:rPr>
            </w:pPr>
            <w:r>
              <w:rPr>
                <w:rFonts w:hint="eastAsia"/>
                <w:b/>
                <w:bCs/>
                <w:szCs w:val="24"/>
              </w:rPr>
              <w:t>图4-</w:t>
            </w:r>
            <w:r>
              <w:rPr>
                <w:rFonts w:hint="eastAsia"/>
                <w:b/>
                <w:bCs/>
                <w:szCs w:val="24"/>
                <w:lang w:val="en-US" w:eastAsia="zh-CN"/>
              </w:rPr>
              <w:t>6</w:t>
            </w:r>
            <w:r>
              <w:rPr>
                <w:rFonts w:hint="eastAsia"/>
                <w:b/>
                <w:bCs/>
                <w:szCs w:val="24"/>
              </w:rPr>
              <w:t xml:space="preserve">  多管旋风除尘器结构示意图</w:t>
            </w:r>
          </w:p>
          <w:p>
            <w:pPr>
              <w:pStyle w:val="369"/>
              <w:widowControl/>
              <w:ind w:firstLine="420"/>
              <w:jc w:val="left"/>
              <w:rPr>
                <w:sz w:val="21"/>
              </w:rPr>
            </w:pPr>
            <w:r>
              <w:rPr>
                <w:rFonts w:hint="eastAsia"/>
                <w:sz w:val="21"/>
              </w:rPr>
              <w:t>主要技术参数如下：</w:t>
            </w:r>
          </w:p>
          <w:p>
            <w:pPr>
              <w:jc w:val="center"/>
              <w:rPr>
                <w:b/>
                <w:bCs/>
              </w:rPr>
            </w:pPr>
            <w:r>
              <w:rPr>
                <w:rFonts w:hint="eastAsia"/>
                <w:b/>
                <w:bCs/>
              </w:rPr>
              <w:t>表4-</w:t>
            </w:r>
            <w:r>
              <w:rPr>
                <w:rFonts w:hint="eastAsia"/>
                <w:b/>
                <w:bCs/>
                <w:lang w:val="en-US" w:eastAsia="zh-CN"/>
              </w:rPr>
              <w:t>9</w:t>
            </w:r>
            <w:r>
              <w:rPr>
                <w:rFonts w:hint="eastAsia"/>
                <w:b/>
                <w:bCs/>
              </w:rPr>
              <w:t xml:space="preserve">  多管旋风除尘器技术参数</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3269"/>
              <w:gridCol w:w="3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restart"/>
                  <w:noWrap w:val="0"/>
                  <w:vAlign w:val="center"/>
                </w:tcPr>
                <w:p>
                  <w:pPr>
                    <w:adjustRightInd w:val="0"/>
                    <w:snapToGrid w:val="0"/>
                    <w:jc w:val="center"/>
                    <w:rPr>
                      <w:color w:val="000000"/>
                      <w:kern w:val="0"/>
                      <w:sz w:val="20"/>
                      <w:szCs w:val="20"/>
                    </w:rPr>
                  </w:pPr>
                  <w:r>
                    <w:rPr>
                      <w:rFonts w:hint="eastAsia" w:cs="宋体"/>
                      <w:color w:val="000000"/>
                      <w:sz w:val="20"/>
                      <w:szCs w:val="20"/>
                      <w:lang w:bidi="ar"/>
                    </w:rPr>
                    <w:t>序号</w:t>
                  </w:r>
                </w:p>
              </w:tc>
              <w:tc>
                <w:tcPr>
                  <w:tcW w:w="4242" w:type="pct"/>
                  <w:gridSpan w:val="2"/>
                  <w:noWrap w:val="0"/>
                  <w:vAlign w:val="center"/>
                </w:tcPr>
                <w:p>
                  <w:pPr>
                    <w:adjustRightInd w:val="0"/>
                    <w:snapToGrid w:val="0"/>
                    <w:jc w:val="center"/>
                    <w:rPr>
                      <w:rFonts w:cs="宋体"/>
                      <w:b/>
                      <w:bCs/>
                      <w:color w:val="000000"/>
                      <w:sz w:val="20"/>
                      <w:szCs w:val="20"/>
                      <w:lang w:bidi="ar"/>
                    </w:rPr>
                  </w:pPr>
                  <w:r>
                    <w:rPr>
                      <w:rFonts w:hint="eastAsia" w:cs="宋体"/>
                      <w:b/>
                      <w:bCs/>
                      <w:color w:val="000000"/>
                      <w:sz w:val="20"/>
                      <w:szCs w:val="20"/>
                      <w:lang w:bidi="ar"/>
                    </w:rPr>
                    <w:t>多管旋风除尘器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vMerge w:val="continue"/>
                  <w:noWrap w:val="0"/>
                  <w:vAlign w:val="center"/>
                </w:tcPr>
                <w:p>
                  <w:pPr>
                    <w:widowControl/>
                    <w:jc w:val="left"/>
                    <w:rPr>
                      <w:rFonts w:ascii="Calibri" w:hAnsi="Calibri"/>
                      <w:color w:val="000000"/>
                      <w:kern w:val="0"/>
                      <w:sz w:val="20"/>
                      <w:szCs w:val="20"/>
                    </w:rPr>
                  </w:pP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名称</w:t>
                  </w:r>
                </w:p>
              </w:tc>
              <w:tc>
                <w:tcPr>
                  <w:tcW w:w="2299" w:type="pct"/>
                  <w:noWrap w:val="0"/>
                  <w:vAlign w:val="center"/>
                </w:tcPr>
                <w:p>
                  <w:pPr>
                    <w:adjustRightInd w:val="0"/>
                    <w:snapToGrid w:val="0"/>
                    <w:jc w:val="center"/>
                    <w:rPr>
                      <w:rFonts w:cs="宋体"/>
                      <w:color w:val="000000"/>
                      <w:sz w:val="20"/>
                      <w:szCs w:val="20"/>
                      <w:lang w:bidi="ar"/>
                    </w:rPr>
                  </w:pPr>
                  <w:r>
                    <w:rPr>
                      <w:rFonts w:hint="eastAsia" w:cs="宋体"/>
                      <w:color w:val="000000"/>
                      <w:sz w:val="20"/>
                      <w:szCs w:val="20"/>
                      <w:lang w:bidi="ar"/>
                    </w:rPr>
                    <w:t>技术参数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pPr>
                    <w:adjustRightInd w:val="0"/>
                    <w:snapToGrid w:val="0"/>
                    <w:jc w:val="center"/>
                    <w:rPr>
                      <w:color w:val="000000"/>
                      <w:kern w:val="0"/>
                      <w:sz w:val="20"/>
                      <w:szCs w:val="20"/>
                    </w:rPr>
                  </w:pPr>
                  <w:r>
                    <w:rPr>
                      <w:color w:val="000000"/>
                      <w:sz w:val="20"/>
                      <w:szCs w:val="20"/>
                      <w:lang w:bidi="ar"/>
                    </w:rPr>
                    <w:t>1</w:t>
                  </w: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处理风量</w:t>
                  </w:r>
                </w:p>
              </w:tc>
              <w:tc>
                <w:tcPr>
                  <w:tcW w:w="2299" w:type="pct"/>
                  <w:noWrap w:val="0"/>
                  <w:vAlign w:val="center"/>
                </w:tcPr>
                <w:p>
                  <w:pPr>
                    <w:adjustRightInd w:val="0"/>
                    <w:snapToGrid w:val="0"/>
                    <w:jc w:val="center"/>
                    <w:rPr>
                      <w:color w:val="000000"/>
                      <w:kern w:val="0"/>
                      <w:sz w:val="20"/>
                      <w:szCs w:val="20"/>
                    </w:rPr>
                  </w:pPr>
                  <w:r>
                    <w:rPr>
                      <w:rFonts w:hint="eastAsia"/>
                      <w:color w:val="000000"/>
                      <w:sz w:val="20"/>
                      <w:szCs w:val="20"/>
                      <w:lang w:val="en-US" w:eastAsia="zh-CN" w:bidi="ar"/>
                    </w:rPr>
                    <w:t>7</w:t>
                  </w:r>
                  <w:r>
                    <w:rPr>
                      <w:rFonts w:hint="eastAsia"/>
                      <w:color w:val="000000"/>
                      <w:sz w:val="20"/>
                      <w:szCs w:val="20"/>
                      <w:lang w:bidi="ar"/>
                    </w:rPr>
                    <w:t>000</w:t>
                  </w:r>
                  <w:r>
                    <w:rPr>
                      <w:color w:val="000000"/>
                      <w:kern w:val="0"/>
                      <w:sz w:val="20"/>
                      <w:szCs w:val="20"/>
                      <w:lang w:bidi="ar"/>
                    </w:rPr>
                    <w:t>m</w:t>
                  </w:r>
                  <w:r>
                    <w:rPr>
                      <w:color w:val="000000"/>
                      <w:kern w:val="0"/>
                      <w:sz w:val="20"/>
                      <w:szCs w:val="20"/>
                      <w:vertAlign w:val="superscript"/>
                      <w:lang w:bidi="ar"/>
                    </w:rPr>
                    <w:t>3</w:t>
                  </w:r>
                  <w:r>
                    <w:rPr>
                      <w:color w:val="000000"/>
                      <w:kern w:val="0"/>
                      <w:sz w:val="20"/>
                      <w:szCs w:val="20"/>
                      <w:lang w:bidi="ar"/>
                    </w:rPr>
                    <w: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pPr>
                    <w:adjustRightInd w:val="0"/>
                    <w:snapToGrid w:val="0"/>
                    <w:jc w:val="center"/>
                    <w:rPr>
                      <w:color w:val="000000"/>
                      <w:kern w:val="0"/>
                      <w:sz w:val="20"/>
                      <w:szCs w:val="20"/>
                    </w:rPr>
                  </w:pPr>
                  <w:r>
                    <w:rPr>
                      <w:color w:val="000000"/>
                      <w:sz w:val="20"/>
                      <w:szCs w:val="20"/>
                      <w:lang w:bidi="ar"/>
                    </w:rPr>
                    <w:t>2</w:t>
                  </w: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设计压损</w:t>
                  </w:r>
                </w:p>
              </w:tc>
              <w:tc>
                <w:tcPr>
                  <w:tcW w:w="2299"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w:t>
                  </w:r>
                  <w:r>
                    <w:rPr>
                      <w:color w:val="000000"/>
                      <w:sz w:val="20"/>
                      <w:szCs w:val="20"/>
                      <w:lang w:bidi="ar"/>
                    </w:rPr>
                    <w:t>120pa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pPr>
                    <w:adjustRightInd w:val="0"/>
                    <w:snapToGrid w:val="0"/>
                    <w:jc w:val="center"/>
                    <w:rPr>
                      <w:color w:val="000000"/>
                      <w:kern w:val="0"/>
                      <w:sz w:val="20"/>
                      <w:szCs w:val="20"/>
                    </w:rPr>
                  </w:pPr>
                  <w:r>
                    <w:rPr>
                      <w:color w:val="000000"/>
                      <w:sz w:val="20"/>
                      <w:szCs w:val="20"/>
                      <w:lang w:bidi="ar"/>
                    </w:rPr>
                    <w:t>3</w:t>
                  </w: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最高操作温度</w:t>
                  </w:r>
                </w:p>
              </w:tc>
              <w:tc>
                <w:tcPr>
                  <w:tcW w:w="2299" w:type="pct"/>
                  <w:noWrap w:val="0"/>
                  <w:vAlign w:val="center"/>
                </w:tcPr>
                <w:p>
                  <w:pPr>
                    <w:adjustRightInd w:val="0"/>
                    <w:snapToGrid w:val="0"/>
                    <w:jc w:val="center"/>
                    <w:rPr>
                      <w:color w:val="000000"/>
                      <w:kern w:val="0"/>
                      <w:sz w:val="20"/>
                      <w:szCs w:val="20"/>
                    </w:rPr>
                  </w:pPr>
                  <w:r>
                    <w:rPr>
                      <w:color w:val="000000"/>
                      <w:sz w:val="20"/>
                      <w:szCs w:val="20"/>
                      <w:lang w:bidi="ar"/>
                    </w:rPr>
                    <w:t>120</w:t>
                  </w:r>
                  <w:r>
                    <w:rPr>
                      <w:rFonts w:hint="eastAsia" w:cs="宋体"/>
                      <w:color w:val="000000"/>
                      <w:sz w:val="20"/>
                      <w:szCs w:val="20"/>
                      <w:lang w:bidi="ar"/>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pPr>
                    <w:adjustRightInd w:val="0"/>
                    <w:snapToGrid w:val="0"/>
                    <w:jc w:val="center"/>
                    <w:rPr>
                      <w:color w:val="000000"/>
                      <w:kern w:val="0"/>
                      <w:sz w:val="20"/>
                      <w:szCs w:val="20"/>
                    </w:rPr>
                  </w:pPr>
                  <w:r>
                    <w:rPr>
                      <w:color w:val="000000"/>
                      <w:sz w:val="20"/>
                      <w:szCs w:val="20"/>
                      <w:lang w:bidi="ar"/>
                    </w:rPr>
                    <w:t>4</w:t>
                  </w: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材质</w:t>
                  </w:r>
                </w:p>
              </w:tc>
              <w:tc>
                <w:tcPr>
                  <w:tcW w:w="2299" w:type="pct"/>
                  <w:noWrap w:val="0"/>
                  <w:vAlign w:val="center"/>
                </w:tcPr>
                <w:p>
                  <w:pPr>
                    <w:adjustRightInd w:val="0"/>
                    <w:snapToGrid w:val="0"/>
                    <w:jc w:val="center"/>
                    <w:rPr>
                      <w:color w:val="000000"/>
                      <w:kern w:val="0"/>
                      <w:sz w:val="20"/>
                      <w:szCs w:val="20"/>
                    </w:rPr>
                  </w:pPr>
                  <w:r>
                    <w:rPr>
                      <w:color w:val="000000"/>
                      <w:sz w:val="20"/>
                      <w:szCs w:val="20"/>
                      <w:lang w:bidi="ar"/>
                    </w:rPr>
                    <w:t>SUS304*4mm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pPr>
                    <w:adjustRightInd w:val="0"/>
                    <w:snapToGrid w:val="0"/>
                    <w:jc w:val="center"/>
                    <w:rPr>
                      <w:color w:val="000000"/>
                      <w:kern w:val="0"/>
                      <w:sz w:val="20"/>
                      <w:szCs w:val="20"/>
                    </w:rPr>
                  </w:pPr>
                  <w:r>
                    <w:rPr>
                      <w:color w:val="000000"/>
                      <w:sz w:val="20"/>
                      <w:szCs w:val="20"/>
                      <w:lang w:bidi="ar"/>
                    </w:rPr>
                    <w:t>5</w:t>
                  </w: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支架材质</w:t>
                  </w:r>
                </w:p>
              </w:tc>
              <w:tc>
                <w:tcPr>
                  <w:tcW w:w="2299" w:type="pct"/>
                  <w:noWrap w:val="0"/>
                  <w:vAlign w:val="center"/>
                </w:tcPr>
                <w:p>
                  <w:pPr>
                    <w:adjustRightInd w:val="0"/>
                    <w:snapToGrid w:val="0"/>
                    <w:jc w:val="center"/>
                    <w:rPr>
                      <w:color w:val="000000"/>
                      <w:kern w:val="0"/>
                      <w:sz w:val="20"/>
                      <w:szCs w:val="20"/>
                    </w:rPr>
                  </w:pPr>
                  <w:r>
                    <w:rPr>
                      <w:color w:val="000000"/>
                      <w:sz w:val="20"/>
                      <w:szCs w:val="20"/>
                      <w:lang w:bidi="ar"/>
                    </w:rPr>
                    <w:t>Q235B</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pPr>
                    <w:adjustRightInd w:val="0"/>
                    <w:snapToGrid w:val="0"/>
                    <w:jc w:val="center"/>
                    <w:rPr>
                      <w:color w:val="000000"/>
                      <w:kern w:val="0"/>
                      <w:sz w:val="20"/>
                      <w:szCs w:val="20"/>
                    </w:rPr>
                  </w:pPr>
                  <w:r>
                    <w:rPr>
                      <w:color w:val="000000"/>
                      <w:sz w:val="20"/>
                      <w:szCs w:val="20"/>
                      <w:lang w:bidi="ar"/>
                    </w:rPr>
                    <w:t>6</w:t>
                  </w: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设计除尘器尺寸</w:t>
                  </w:r>
                </w:p>
              </w:tc>
              <w:tc>
                <w:tcPr>
                  <w:tcW w:w="2299" w:type="pct"/>
                  <w:noWrap w:val="0"/>
                  <w:vAlign w:val="center"/>
                </w:tcPr>
                <w:p>
                  <w:pPr>
                    <w:adjustRightInd w:val="0"/>
                    <w:snapToGrid w:val="0"/>
                    <w:jc w:val="center"/>
                    <w:rPr>
                      <w:color w:val="000000"/>
                      <w:kern w:val="0"/>
                      <w:sz w:val="20"/>
                      <w:szCs w:val="20"/>
                    </w:rPr>
                  </w:pPr>
                  <w:r>
                    <w:rPr>
                      <w:rFonts w:hint="eastAsia" w:ascii="宋体" w:hAnsi="宋体" w:cs="宋体"/>
                      <w:color w:val="000000"/>
                      <w:sz w:val="20"/>
                      <w:szCs w:val="20"/>
                      <w:lang w:bidi="ar"/>
                    </w:rPr>
                    <w:t>∮</w:t>
                  </w:r>
                  <w:r>
                    <w:rPr>
                      <w:color w:val="000000"/>
                      <w:sz w:val="20"/>
                      <w:szCs w:val="20"/>
                      <w:lang w:bidi="ar"/>
                    </w:rPr>
                    <w:t>2100*7500mm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8" w:type="pct"/>
                  <w:noWrap w:val="0"/>
                  <w:vAlign w:val="center"/>
                </w:tcPr>
                <w:p>
                  <w:pPr>
                    <w:adjustRightInd w:val="0"/>
                    <w:snapToGrid w:val="0"/>
                    <w:jc w:val="center"/>
                    <w:rPr>
                      <w:color w:val="000000"/>
                      <w:kern w:val="0"/>
                      <w:sz w:val="20"/>
                      <w:szCs w:val="20"/>
                    </w:rPr>
                  </w:pPr>
                  <w:r>
                    <w:rPr>
                      <w:color w:val="000000"/>
                      <w:sz w:val="20"/>
                      <w:szCs w:val="20"/>
                      <w:lang w:bidi="ar"/>
                    </w:rPr>
                    <w:t>7</w:t>
                  </w:r>
                </w:p>
              </w:tc>
              <w:tc>
                <w:tcPr>
                  <w:tcW w:w="1943" w:type="pct"/>
                  <w:noWrap w:val="0"/>
                  <w:vAlign w:val="center"/>
                </w:tcPr>
                <w:p>
                  <w:pPr>
                    <w:adjustRightInd w:val="0"/>
                    <w:snapToGrid w:val="0"/>
                    <w:jc w:val="center"/>
                    <w:rPr>
                      <w:color w:val="000000"/>
                      <w:kern w:val="0"/>
                      <w:sz w:val="20"/>
                      <w:szCs w:val="20"/>
                    </w:rPr>
                  </w:pPr>
                  <w:r>
                    <w:rPr>
                      <w:rFonts w:hint="eastAsia" w:cs="宋体"/>
                      <w:color w:val="000000"/>
                      <w:sz w:val="20"/>
                      <w:szCs w:val="20"/>
                      <w:lang w:bidi="ar"/>
                    </w:rPr>
                    <w:t>处理效率</w:t>
                  </w:r>
                </w:p>
              </w:tc>
              <w:tc>
                <w:tcPr>
                  <w:tcW w:w="2299" w:type="pct"/>
                  <w:noWrap w:val="0"/>
                  <w:vAlign w:val="center"/>
                </w:tcPr>
                <w:p>
                  <w:pPr>
                    <w:adjustRightInd w:val="0"/>
                    <w:snapToGrid w:val="0"/>
                    <w:jc w:val="center"/>
                    <w:rPr>
                      <w:color w:val="000000"/>
                      <w:kern w:val="0"/>
                      <w:sz w:val="20"/>
                      <w:szCs w:val="20"/>
                    </w:rPr>
                  </w:pPr>
                  <w:r>
                    <w:rPr>
                      <w:rFonts w:hint="eastAsia"/>
                      <w:color w:val="FF0000"/>
                      <w:sz w:val="20"/>
                      <w:szCs w:val="20"/>
                      <w:lang w:val="en-US" w:eastAsia="zh-CN" w:bidi="ar"/>
                    </w:rPr>
                    <w:t>70</w:t>
                  </w:r>
                  <w:r>
                    <w:rPr>
                      <w:color w:val="FF0000"/>
                      <w:sz w:val="20"/>
                      <w:szCs w:val="20"/>
                      <w:lang w:bidi="ar"/>
                    </w:rPr>
                    <w:t>%</w:t>
                  </w:r>
                </w:p>
              </w:tc>
            </w:tr>
          </w:tbl>
          <w:p>
            <w:pPr>
              <w:pStyle w:val="369"/>
              <w:widowControl/>
              <w:ind w:left="0" w:leftChars="0" w:firstLine="420" w:firstLineChars="200"/>
              <w:jc w:val="left"/>
              <w:rPr>
                <w:rFonts w:hint="eastAsia" w:ascii="宋体" w:hAnsi="宋体" w:cs="宋体"/>
                <w:sz w:val="21"/>
              </w:rPr>
            </w:pPr>
            <w:r>
              <w:rPr>
                <w:rFonts w:hint="eastAsia" w:ascii="宋体" w:hAnsi="宋体" w:cs="宋体"/>
                <w:sz w:val="21"/>
                <w:lang w:val="en-US" w:eastAsia="zh-CN"/>
              </w:rPr>
              <w:t>⑤</w:t>
            </w:r>
            <w:r>
              <w:rPr>
                <w:rFonts w:hint="eastAsia" w:ascii="宋体" w:hAnsi="宋体" w:cs="宋体"/>
                <w:sz w:val="21"/>
              </w:rPr>
              <w:t>布袋除尘</w:t>
            </w:r>
            <w:r>
              <w:rPr>
                <w:rFonts w:ascii="宋体" w:hAnsi="宋体" w:cs="宋体"/>
                <w:sz w:val="21"/>
              </w:rPr>
              <w:t>原理</w:t>
            </w:r>
          </w:p>
          <w:p>
            <w:pPr>
              <w:spacing w:line="360" w:lineRule="auto"/>
              <w:ind w:firstLine="420" w:firstLineChars="200"/>
              <w:rPr>
                <w:szCs w:val="24"/>
              </w:rPr>
            </w:pPr>
            <w:r>
              <w:rPr>
                <w:szCs w:val="24"/>
              </w:rPr>
              <w:t>布袋除尘器是一种干式滤尘装置。它适用于捕集细小、干燥的粉尘。滤袋采用纺织的滤布或非纺织的毡制成，利用纤维织物的过滤作用对含尘气体进行过滤，当含尘气体进入袋式除尘器内时，颗粒大、比重大的粉尘，由于重力的作用沉降下来，落入灰斗，含有较细小粉尘的气体在通过滤料时，粉尘被阻留，使气体得到净化。具有除尘效率高（一般在99%以上，除尘器出口气体含尘浓度在数十mg/m</w:t>
            </w:r>
            <w:r>
              <w:rPr>
                <w:szCs w:val="24"/>
                <w:vertAlign w:val="superscript"/>
              </w:rPr>
              <w:t>3</w:t>
            </w:r>
            <w:r>
              <w:rPr>
                <w:szCs w:val="24"/>
              </w:rPr>
              <w:t>之内，对亚微米粒径的细尘有较高的分级效率），处理风量的范围广，结构简单，维护操作方便，对粉尘的特性不敏感，不受粉尘及电阻的影响等优点。而且项目排放的工业粉尘为常温排放，不会对设备的正常运行造成损害。</w:t>
            </w:r>
            <w:r>
              <w:rPr>
                <w:rFonts w:hint="eastAsia"/>
                <w:szCs w:val="24"/>
              </w:rPr>
              <w:t>布袋</w:t>
            </w:r>
            <w:r>
              <w:rPr>
                <w:szCs w:val="24"/>
              </w:rPr>
              <w:t>除尘器结构示意图见图4-</w:t>
            </w:r>
            <w:r>
              <w:rPr>
                <w:rFonts w:hint="eastAsia"/>
                <w:szCs w:val="24"/>
                <w:lang w:val="en-US" w:eastAsia="zh-CN"/>
              </w:rPr>
              <w:t>6</w:t>
            </w:r>
            <w:r>
              <w:rPr>
                <w:szCs w:val="24"/>
              </w:rPr>
              <w:t>，</w:t>
            </w:r>
            <w:r>
              <w:rPr>
                <w:rFonts w:hint="eastAsia"/>
                <w:szCs w:val="24"/>
              </w:rPr>
              <w:t>布袋</w:t>
            </w:r>
            <w:r>
              <w:rPr>
                <w:szCs w:val="24"/>
              </w:rPr>
              <w:t>除尘器具体参数见表4-</w:t>
            </w:r>
            <w:r>
              <w:rPr>
                <w:rFonts w:hint="eastAsia"/>
                <w:szCs w:val="24"/>
                <w:lang w:val="en-US" w:eastAsia="zh-CN"/>
              </w:rPr>
              <w:t>7</w:t>
            </w:r>
            <w:r>
              <w:rPr>
                <w:szCs w:val="24"/>
              </w:rPr>
              <w:t>。</w:t>
            </w:r>
          </w:p>
          <w:p>
            <w:pPr>
              <w:jc w:val="center"/>
              <w:rPr>
                <w:rFonts w:hint="eastAsia"/>
              </w:rPr>
            </w:pPr>
            <w:r>
              <w:rPr>
                <w:rFonts w:cs="宋体"/>
                <w:kern w:val="0"/>
                <w:szCs w:val="24"/>
              </w:rPr>
              <w:drawing>
                <wp:inline distT="0" distB="0" distL="114300" distR="114300">
                  <wp:extent cx="2148840" cy="2058670"/>
                  <wp:effectExtent l="0" t="0" r="3810" b="17780"/>
                  <wp:docPr id="9" name="图片 11" descr="3@5%R_5_3NJ%QUKCKA}ZZQ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3@5%R_5_3NJ%QUKCKA}ZZQE"/>
                          <pic:cNvPicPr>
                            <a:picLocks noChangeAspect="1"/>
                          </pic:cNvPicPr>
                        </pic:nvPicPr>
                        <pic:blipFill>
                          <a:blip r:embed="rId39"/>
                          <a:stretch>
                            <a:fillRect/>
                          </a:stretch>
                        </pic:blipFill>
                        <pic:spPr>
                          <a:xfrm>
                            <a:off x="0" y="0"/>
                            <a:ext cx="2148840" cy="2058670"/>
                          </a:xfrm>
                          <a:prstGeom prst="rect">
                            <a:avLst/>
                          </a:prstGeom>
                          <a:noFill/>
                          <a:ln>
                            <a:noFill/>
                          </a:ln>
                        </pic:spPr>
                      </pic:pic>
                    </a:graphicData>
                  </a:graphic>
                </wp:inline>
              </w:drawing>
            </w:r>
          </w:p>
          <w:p>
            <w:pPr>
              <w:adjustRightInd w:val="0"/>
              <w:snapToGrid w:val="0"/>
              <w:spacing w:line="360" w:lineRule="auto"/>
              <w:jc w:val="center"/>
              <w:rPr>
                <w:b/>
                <w:bCs/>
              </w:rPr>
            </w:pPr>
            <w:r>
              <w:rPr>
                <w:rFonts w:hint="eastAsia"/>
                <w:b/>
                <w:bCs/>
              </w:rPr>
              <w:t>图4-</w:t>
            </w:r>
            <w:r>
              <w:rPr>
                <w:rFonts w:hint="eastAsia"/>
                <w:b/>
                <w:bCs/>
                <w:lang w:val="en-US" w:eastAsia="zh-CN"/>
              </w:rPr>
              <w:t>7</w:t>
            </w:r>
            <w:r>
              <w:rPr>
                <w:b/>
                <w:bCs/>
              </w:rPr>
              <w:t xml:space="preserve"> </w:t>
            </w:r>
            <w:r>
              <w:rPr>
                <w:rFonts w:hint="eastAsia"/>
                <w:b/>
                <w:bCs/>
              </w:rPr>
              <w:t xml:space="preserve"> 布袋除尘器结构示意图</w:t>
            </w:r>
          </w:p>
          <w:p>
            <w:pPr>
              <w:snapToGrid w:val="0"/>
              <w:jc w:val="center"/>
              <w:rPr>
                <w:rFonts w:eastAsia="Times New Roman"/>
                <w:b/>
              </w:rPr>
            </w:pPr>
            <w:r>
              <w:rPr>
                <w:rFonts w:hint="eastAsia" w:ascii="宋体" w:hAnsi="宋体" w:cs="宋体"/>
                <w:b/>
              </w:rPr>
              <w:t>表</w:t>
            </w:r>
            <w:r>
              <w:rPr>
                <w:rFonts w:hint="eastAsia" w:eastAsia="Times New Roman"/>
                <w:b/>
              </w:rPr>
              <w:t>4-</w:t>
            </w:r>
            <w:r>
              <w:rPr>
                <w:rFonts w:hint="eastAsia"/>
                <w:b/>
                <w:lang w:val="en-US" w:eastAsia="zh-CN"/>
              </w:rPr>
              <w:t>10</w:t>
            </w:r>
            <w:r>
              <w:rPr>
                <w:rFonts w:hint="eastAsia" w:eastAsia="等线"/>
                <w:b/>
              </w:rPr>
              <w:t xml:space="preserve"> </w:t>
            </w:r>
            <w:r>
              <w:rPr>
                <w:rFonts w:eastAsia="Times New Roman"/>
                <w:b/>
              </w:rPr>
              <w:t xml:space="preserve"> </w:t>
            </w:r>
            <w:r>
              <w:rPr>
                <w:rFonts w:hint="eastAsia" w:ascii="宋体" w:hAnsi="宋体" w:cs="宋体"/>
                <w:b/>
              </w:rPr>
              <w:t>布袋除尘器设计参数一览表</w:t>
            </w:r>
          </w:p>
          <w:tbl>
            <w:tblPr>
              <w:tblStyle w:val="9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37"/>
              <w:gridCol w:w="48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b/>
                      <w:bCs/>
                      <w:sz w:val="20"/>
                      <w:szCs w:val="28"/>
                    </w:rPr>
                  </w:pPr>
                  <w:r>
                    <w:rPr>
                      <w:b/>
                      <w:bCs/>
                      <w:sz w:val="20"/>
                      <w:szCs w:val="28"/>
                    </w:rPr>
                    <w:t>参数名称</w:t>
                  </w:r>
                </w:p>
              </w:tc>
              <w:tc>
                <w:tcPr>
                  <w:tcW w:w="2898" w:type="pct"/>
                  <w:noWrap w:val="0"/>
                  <w:vAlign w:val="center"/>
                </w:tcPr>
                <w:p>
                  <w:pPr>
                    <w:adjustRightInd w:val="0"/>
                    <w:snapToGrid w:val="0"/>
                    <w:jc w:val="center"/>
                    <w:rPr>
                      <w:b/>
                      <w:bCs/>
                      <w:sz w:val="20"/>
                      <w:szCs w:val="28"/>
                    </w:rPr>
                  </w:pPr>
                  <w:r>
                    <w:rPr>
                      <w:b/>
                      <w:bCs/>
                      <w:sz w:val="20"/>
                      <w:szCs w:val="28"/>
                    </w:rPr>
                    <w:t>布袋除尘器技术参数值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sz w:val="20"/>
                      <w:szCs w:val="28"/>
                    </w:rPr>
                    <w:t>设计风量</w:t>
                  </w:r>
                  <w:r>
                    <w:rPr>
                      <w:rFonts w:hint="eastAsia"/>
                      <w:sz w:val="20"/>
                      <w:szCs w:val="28"/>
                    </w:rPr>
                    <w:t>(</w:t>
                  </w:r>
                  <w:r>
                    <w:rPr>
                      <w:sz w:val="20"/>
                      <w:szCs w:val="28"/>
                    </w:rPr>
                    <w:t>Nm</w:t>
                  </w:r>
                  <w:r>
                    <w:rPr>
                      <w:sz w:val="20"/>
                      <w:szCs w:val="28"/>
                      <w:vertAlign w:val="superscript"/>
                    </w:rPr>
                    <w:t>3</w:t>
                  </w:r>
                  <w:r>
                    <w:rPr>
                      <w:sz w:val="20"/>
                      <w:szCs w:val="28"/>
                    </w:rPr>
                    <w:t>/h</w:t>
                  </w:r>
                  <w:r>
                    <w:rPr>
                      <w:rFonts w:hint="eastAsia"/>
                      <w:sz w:val="20"/>
                      <w:szCs w:val="28"/>
                    </w:rPr>
                    <w:t>)</w:t>
                  </w:r>
                </w:p>
              </w:tc>
              <w:tc>
                <w:tcPr>
                  <w:tcW w:w="2898" w:type="pct"/>
                  <w:noWrap w:val="0"/>
                  <w:vAlign w:val="center"/>
                </w:tcPr>
                <w:p>
                  <w:pPr>
                    <w:adjustRightInd w:val="0"/>
                    <w:snapToGrid w:val="0"/>
                    <w:jc w:val="center"/>
                    <w:rPr>
                      <w:rFonts w:hint="eastAsia"/>
                      <w:sz w:val="20"/>
                      <w:szCs w:val="28"/>
                    </w:rPr>
                  </w:pPr>
                  <w:r>
                    <w:rPr>
                      <w:rFonts w:hint="eastAsia"/>
                      <w:sz w:val="20"/>
                      <w:szCs w:val="28"/>
                      <w:lang w:val="en-US" w:eastAsia="zh-CN"/>
                    </w:rPr>
                    <w:t>7</w:t>
                  </w:r>
                  <w:r>
                    <w:rPr>
                      <w:rFonts w:hint="eastAsia"/>
                      <w:sz w:val="20"/>
                      <w:szCs w:val="28"/>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rFonts w:hint="eastAsia"/>
                      <w:sz w:val="20"/>
                      <w:szCs w:val="28"/>
                    </w:rPr>
                    <w:t>工作温度(</w:t>
                  </w:r>
                  <w:r>
                    <w:rPr>
                      <w:sz w:val="20"/>
                      <w:szCs w:val="28"/>
                    </w:rPr>
                    <w:t>℃</w:t>
                  </w:r>
                  <w:r>
                    <w:rPr>
                      <w:rFonts w:hint="eastAsia"/>
                      <w:sz w:val="20"/>
                      <w:szCs w:val="28"/>
                    </w:rPr>
                    <w:t>)</w:t>
                  </w:r>
                </w:p>
              </w:tc>
              <w:tc>
                <w:tcPr>
                  <w:tcW w:w="2898" w:type="pct"/>
                  <w:noWrap w:val="0"/>
                  <w:vAlign w:val="center"/>
                </w:tcPr>
                <w:p>
                  <w:pPr>
                    <w:adjustRightInd w:val="0"/>
                    <w:snapToGrid w:val="0"/>
                    <w:jc w:val="center"/>
                    <w:rPr>
                      <w:sz w:val="20"/>
                      <w:szCs w:val="28"/>
                    </w:rPr>
                  </w:pPr>
                  <w:r>
                    <w:rPr>
                      <w:rFonts w:hint="eastAsia"/>
                      <w:sz w:val="20"/>
                      <w:szCs w:val="28"/>
                    </w:rPr>
                    <w:t>6</w:t>
                  </w:r>
                  <w:r>
                    <w:rPr>
                      <w:sz w:val="20"/>
                      <w:szCs w:val="28"/>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2102" w:type="pct"/>
                  <w:noWrap w:val="0"/>
                  <w:vAlign w:val="center"/>
                </w:tcPr>
                <w:p>
                  <w:pPr>
                    <w:adjustRightInd w:val="0"/>
                    <w:snapToGrid w:val="0"/>
                    <w:jc w:val="center"/>
                    <w:rPr>
                      <w:sz w:val="20"/>
                      <w:szCs w:val="28"/>
                    </w:rPr>
                  </w:pPr>
                  <w:r>
                    <w:rPr>
                      <w:sz w:val="20"/>
                      <w:szCs w:val="28"/>
                    </w:rPr>
                    <w:t>过滤风速</w:t>
                  </w:r>
                  <w:r>
                    <w:rPr>
                      <w:rFonts w:hint="eastAsia"/>
                      <w:sz w:val="20"/>
                      <w:szCs w:val="28"/>
                    </w:rPr>
                    <w:t>(</w:t>
                  </w:r>
                  <w:r>
                    <w:rPr>
                      <w:sz w:val="20"/>
                      <w:szCs w:val="28"/>
                    </w:rPr>
                    <w:t>m/min</w:t>
                  </w:r>
                  <w:r>
                    <w:rPr>
                      <w:rFonts w:hint="eastAsia"/>
                      <w:sz w:val="20"/>
                      <w:szCs w:val="28"/>
                    </w:rPr>
                    <w:t>)</w:t>
                  </w:r>
                </w:p>
              </w:tc>
              <w:tc>
                <w:tcPr>
                  <w:tcW w:w="2898" w:type="pct"/>
                  <w:noWrap w:val="0"/>
                  <w:vAlign w:val="center"/>
                </w:tcPr>
                <w:p>
                  <w:pPr>
                    <w:adjustRightInd w:val="0"/>
                    <w:snapToGrid w:val="0"/>
                    <w:jc w:val="center"/>
                    <w:rPr>
                      <w:sz w:val="20"/>
                      <w:szCs w:val="28"/>
                    </w:rPr>
                  </w:pPr>
                  <w:r>
                    <w:rPr>
                      <w:rFonts w:hint="eastAsia"/>
                      <w:sz w:val="20"/>
                      <w:szCs w:val="28"/>
                    </w:rPr>
                    <w:t>1</w:t>
                  </w:r>
                  <w:r>
                    <w:rPr>
                      <w:sz w:val="20"/>
                      <w:szCs w:val="28"/>
                    </w:rPr>
                    <w:t>.0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sz w:val="20"/>
                      <w:szCs w:val="28"/>
                    </w:rPr>
                    <w:t>总过滤面积</w:t>
                  </w:r>
                  <w:r>
                    <w:rPr>
                      <w:rFonts w:hint="eastAsia"/>
                      <w:sz w:val="20"/>
                      <w:szCs w:val="28"/>
                    </w:rPr>
                    <w:t>(</w:t>
                  </w:r>
                  <w:r>
                    <w:rPr>
                      <w:sz w:val="20"/>
                      <w:szCs w:val="28"/>
                    </w:rPr>
                    <w:t>m</w:t>
                  </w:r>
                  <w:r>
                    <w:rPr>
                      <w:sz w:val="20"/>
                      <w:szCs w:val="28"/>
                      <w:vertAlign w:val="superscript"/>
                    </w:rPr>
                    <w:t>2</w:t>
                  </w:r>
                  <w:r>
                    <w:rPr>
                      <w:rFonts w:hint="eastAsia"/>
                      <w:sz w:val="20"/>
                      <w:szCs w:val="28"/>
                    </w:rPr>
                    <w:t>)</w:t>
                  </w:r>
                </w:p>
              </w:tc>
              <w:tc>
                <w:tcPr>
                  <w:tcW w:w="2898" w:type="pct"/>
                  <w:noWrap w:val="0"/>
                  <w:vAlign w:val="center"/>
                </w:tcPr>
                <w:p>
                  <w:pPr>
                    <w:adjustRightInd w:val="0"/>
                    <w:snapToGrid w:val="0"/>
                    <w:jc w:val="center"/>
                    <w:rPr>
                      <w:sz w:val="20"/>
                      <w:szCs w:val="28"/>
                    </w:rPr>
                  </w:pPr>
                  <w:r>
                    <w:rPr>
                      <w:rFonts w:hint="eastAsia"/>
                      <w:sz w:val="20"/>
                      <w:szCs w:val="28"/>
                    </w:rPr>
                    <w:t>143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sz w:val="20"/>
                      <w:szCs w:val="28"/>
                    </w:rPr>
                    <w:t>滤袋规格</w:t>
                  </w:r>
                  <w:r>
                    <w:rPr>
                      <w:rFonts w:hint="eastAsia"/>
                      <w:sz w:val="20"/>
                      <w:szCs w:val="28"/>
                    </w:rPr>
                    <w:t>(</w:t>
                  </w:r>
                  <w:r>
                    <w:rPr>
                      <w:sz w:val="20"/>
                      <w:szCs w:val="28"/>
                    </w:rPr>
                    <w:t>mm</w:t>
                  </w:r>
                  <w:r>
                    <w:rPr>
                      <w:rFonts w:hint="eastAsia"/>
                      <w:sz w:val="20"/>
                      <w:szCs w:val="28"/>
                    </w:rPr>
                    <w:t>)</w:t>
                  </w:r>
                </w:p>
              </w:tc>
              <w:tc>
                <w:tcPr>
                  <w:tcW w:w="2898" w:type="pct"/>
                  <w:noWrap w:val="0"/>
                  <w:vAlign w:val="center"/>
                </w:tcPr>
                <w:p>
                  <w:pPr>
                    <w:adjustRightInd w:val="0"/>
                    <w:snapToGrid w:val="0"/>
                    <w:jc w:val="center"/>
                    <w:rPr>
                      <w:sz w:val="20"/>
                      <w:szCs w:val="28"/>
                    </w:rPr>
                  </w:pPr>
                  <w:r>
                    <w:rPr>
                      <w:sz w:val="20"/>
                      <w:szCs w:val="28"/>
                    </w:rPr>
                    <w:t>Φ160×2500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sz w:val="20"/>
                      <w:szCs w:val="28"/>
                    </w:rPr>
                    <w:t>布袋数量</w:t>
                  </w:r>
                </w:p>
              </w:tc>
              <w:tc>
                <w:tcPr>
                  <w:tcW w:w="2898" w:type="pct"/>
                  <w:noWrap w:val="0"/>
                  <w:vAlign w:val="center"/>
                </w:tcPr>
                <w:p>
                  <w:pPr>
                    <w:adjustRightInd w:val="0"/>
                    <w:snapToGrid w:val="0"/>
                    <w:jc w:val="center"/>
                    <w:rPr>
                      <w:sz w:val="20"/>
                      <w:szCs w:val="28"/>
                    </w:rPr>
                  </w:pPr>
                  <w:r>
                    <w:rPr>
                      <w:rFonts w:hint="eastAsia"/>
                      <w:sz w:val="20"/>
                      <w:szCs w:val="28"/>
                    </w:rPr>
                    <w:t>136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jc w:val="center"/>
              </w:trPr>
              <w:tc>
                <w:tcPr>
                  <w:tcW w:w="2102" w:type="pct"/>
                  <w:noWrap w:val="0"/>
                  <w:vAlign w:val="center"/>
                </w:tcPr>
                <w:p>
                  <w:pPr>
                    <w:adjustRightInd w:val="0"/>
                    <w:snapToGrid w:val="0"/>
                    <w:jc w:val="center"/>
                    <w:rPr>
                      <w:sz w:val="20"/>
                      <w:szCs w:val="28"/>
                    </w:rPr>
                  </w:pPr>
                  <w:r>
                    <w:rPr>
                      <w:sz w:val="20"/>
                      <w:szCs w:val="28"/>
                    </w:rPr>
                    <w:t>设备阻力</w:t>
                  </w:r>
                  <w:r>
                    <w:rPr>
                      <w:rFonts w:hint="eastAsia"/>
                      <w:sz w:val="20"/>
                      <w:szCs w:val="28"/>
                    </w:rPr>
                    <w:t>(</w:t>
                  </w:r>
                  <w:r>
                    <w:rPr>
                      <w:sz w:val="20"/>
                      <w:szCs w:val="28"/>
                    </w:rPr>
                    <w:t>pa</w:t>
                  </w:r>
                  <w:r>
                    <w:rPr>
                      <w:rFonts w:hint="eastAsia"/>
                      <w:sz w:val="20"/>
                      <w:szCs w:val="28"/>
                    </w:rPr>
                    <w:t>)</w:t>
                  </w:r>
                </w:p>
              </w:tc>
              <w:tc>
                <w:tcPr>
                  <w:tcW w:w="2898" w:type="pct"/>
                  <w:noWrap w:val="0"/>
                  <w:vAlign w:val="center"/>
                </w:tcPr>
                <w:p>
                  <w:pPr>
                    <w:adjustRightInd w:val="0"/>
                    <w:snapToGrid w:val="0"/>
                    <w:jc w:val="center"/>
                    <w:rPr>
                      <w:sz w:val="20"/>
                      <w:szCs w:val="28"/>
                    </w:rPr>
                  </w:pPr>
                  <w:r>
                    <w:rPr>
                      <w:rFonts w:hint="eastAsia"/>
                      <w:sz w:val="20"/>
                      <w:szCs w:val="28"/>
                    </w:rPr>
                    <w:t>1</w:t>
                  </w:r>
                  <w:r>
                    <w:rPr>
                      <w:sz w:val="20"/>
                      <w:szCs w:val="28"/>
                    </w:rPr>
                    <w:t>200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rFonts w:hint="eastAsia"/>
                      <w:sz w:val="20"/>
                      <w:szCs w:val="28"/>
                    </w:rPr>
                    <w:t>处理效率(%)</w:t>
                  </w:r>
                </w:p>
              </w:tc>
              <w:tc>
                <w:tcPr>
                  <w:tcW w:w="2898" w:type="pct"/>
                  <w:noWrap w:val="0"/>
                  <w:vAlign w:val="center"/>
                </w:tcPr>
                <w:p>
                  <w:pPr>
                    <w:adjustRightInd w:val="0"/>
                    <w:snapToGrid w:val="0"/>
                    <w:jc w:val="center"/>
                    <w:rPr>
                      <w:rFonts w:hint="default" w:eastAsia="宋体"/>
                      <w:sz w:val="20"/>
                      <w:szCs w:val="28"/>
                      <w:lang w:val="en-US" w:eastAsia="zh-CN"/>
                    </w:rPr>
                  </w:pPr>
                  <w:r>
                    <w:rPr>
                      <w:rFonts w:hint="eastAsia"/>
                      <w:color w:val="FF0000"/>
                      <w:sz w:val="20"/>
                      <w:szCs w:val="28"/>
                      <w:lang w:val="en-US" w:eastAsia="zh-CN"/>
                    </w:rPr>
                    <w:t>99.7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rFonts w:hint="eastAsia"/>
                      <w:sz w:val="20"/>
                      <w:szCs w:val="28"/>
                    </w:rPr>
                    <w:t>清灰方式</w:t>
                  </w:r>
                </w:p>
              </w:tc>
              <w:tc>
                <w:tcPr>
                  <w:tcW w:w="2898" w:type="pct"/>
                  <w:noWrap w:val="0"/>
                  <w:vAlign w:val="center"/>
                </w:tcPr>
                <w:p>
                  <w:pPr>
                    <w:adjustRightInd w:val="0"/>
                    <w:snapToGrid w:val="0"/>
                    <w:jc w:val="center"/>
                    <w:rPr>
                      <w:sz w:val="20"/>
                      <w:szCs w:val="28"/>
                    </w:rPr>
                  </w:pPr>
                  <w:r>
                    <w:rPr>
                      <w:rFonts w:hint="eastAsia"/>
                      <w:sz w:val="20"/>
                      <w:szCs w:val="28"/>
                    </w:rPr>
                    <w:t>脉冲清灰</w:t>
                  </w:r>
                </w:p>
              </w:tc>
            </w:tr>
          </w:tbl>
          <w:p>
            <w:pPr>
              <w:pStyle w:val="369"/>
              <w:widowControl/>
              <w:ind w:firstLine="420"/>
              <w:jc w:val="left"/>
              <w:rPr>
                <w:rFonts w:hint="default" w:ascii="宋体" w:hAnsi="宋体" w:cs="宋体"/>
                <w:sz w:val="21"/>
                <w:lang w:val="en-US" w:eastAsia="zh-CN"/>
              </w:rPr>
            </w:pPr>
            <w:r>
              <w:rPr>
                <w:rFonts w:hint="eastAsia" w:ascii="宋体" w:hAnsi="宋体" w:cs="宋体"/>
                <w:sz w:val="21"/>
                <w:lang w:val="en-US" w:eastAsia="zh-CN"/>
              </w:rPr>
              <w:t>⑥水幕除尘原理</w:t>
            </w:r>
          </w:p>
          <w:p>
            <w:pPr>
              <w:pStyle w:val="369"/>
              <w:widowControl/>
              <w:ind w:firstLine="420"/>
              <w:jc w:val="left"/>
              <w:rPr>
                <w:rFonts w:hint="eastAsia" w:ascii="宋体" w:hAnsi="宋体" w:cs="宋体"/>
                <w:sz w:val="21"/>
                <w:lang w:val="en-US" w:eastAsia="zh-CN"/>
              </w:rPr>
            </w:pPr>
            <w:r>
              <w:rPr>
                <w:rFonts w:hint="eastAsia" w:ascii="宋体" w:hAnsi="宋体" w:cs="宋体"/>
                <w:sz w:val="21"/>
                <w:lang w:val="en-US" w:eastAsia="zh-CN"/>
              </w:rPr>
              <w:t>水幕除尘的核心原理是利用‌高速水流形成的密集水帘或水膜‌，通过‌惯性碰撞、拦截吸附和凝聚增重‌三大物理机制，将空气中的粉尘颗粒“捕获”并随水流排出，从而实现气体净化。</w:t>
            </w:r>
          </w:p>
          <w:p>
            <w:pPr>
              <w:snapToGrid w:val="0"/>
              <w:jc w:val="center"/>
              <w:rPr>
                <w:rFonts w:eastAsia="Times New Roman"/>
                <w:b/>
              </w:rPr>
            </w:pPr>
            <w:r>
              <w:rPr>
                <w:rFonts w:hint="eastAsia" w:ascii="宋体" w:hAnsi="宋体" w:cs="宋体"/>
                <w:b/>
              </w:rPr>
              <w:t>表</w:t>
            </w:r>
            <w:r>
              <w:rPr>
                <w:rFonts w:hint="eastAsia" w:eastAsia="Times New Roman"/>
                <w:b/>
              </w:rPr>
              <w:t>4-</w:t>
            </w:r>
            <w:r>
              <w:rPr>
                <w:rFonts w:hint="eastAsia"/>
                <w:b/>
                <w:lang w:val="en-US" w:eastAsia="zh-CN"/>
              </w:rPr>
              <w:t>11</w:t>
            </w:r>
            <w:r>
              <w:rPr>
                <w:rFonts w:hint="eastAsia" w:eastAsia="等线"/>
                <w:b/>
              </w:rPr>
              <w:t xml:space="preserve"> </w:t>
            </w:r>
            <w:r>
              <w:rPr>
                <w:rFonts w:eastAsia="Times New Roman"/>
                <w:b/>
              </w:rPr>
              <w:t xml:space="preserve"> </w:t>
            </w:r>
            <w:r>
              <w:rPr>
                <w:rFonts w:hint="eastAsia" w:eastAsia="宋体"/>
                <w:b/>
                <w:lang w:val="en-US" w:eastAsia="zh-CN"/>
              </w:rPr>
              <w:t>水幕</w:t>
            </w:r>
            <w:r>
              <w:rPr>
                <w:rFonts w:hint="eastAsia" w:ascii="宋体" w:hAnsi="宋体" w:cs="宋体"/>
                <w:b/>
              </w:rPr>
              <w:t>除尘器设计参数一览表</w:t>
            </w:r>
          </w:p>
          <w:tbl>
            <w:tblPr>
              <w:tblStyle w:val="9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537"/>
              <w:gridCol w:w="487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b/>
                      <w:bCs/>
                      <w:sz w:val="20"/>
                      <w:szCs w:val="28"/>
                    </w:rPr>
                  </w:pPr>
                  <w:r>
                    <w:rPr>
                      <w:b/>
                      <w:bCs/>
                      <w:sz w:val="20"/>
                      <w:szCs w:val="28"/>
                    </w:rPr>
                    <w:t>参数名称</w:t>
                  </w:r>
                </w:p>
              </w:tc>
              <w:tc>
                <w:tcPr>
                  <w:tcW w:w="2897" w:type="pct"/>
                  <w:noWrap w:val="0"/>
                  <w:vAlign w:val="center"/>
                </w:tcPr>
                <w:p>
                  <w:pPr>
                    <w:adjustRightInd w:val="0"/>
                    <w:snapToGrid w:val="0"/>
                    <w:jc w:val="center"/>
                    <w:rPr>
                      <w:b/>
                      <w:bCs/>
                      <w:sz w:val="20"/>
                      <w:szCs w:val="28"/>
                    </w:rPr>
                  </w:pPr>
                  <w:r>
                    <w:rPr>
                      <w:rFonts w:hint="eastAsia"/>
                      <w:b/>
                      <w:bCs/>
                      <w:sz w:val="20"/>
                      <w:szCs w:val="28"/>
                      <w:lang w:val="en-US" w:eastAsia="zh-CN"/>
                    </w:rPr>
                    <w:t>水幕除尘</w:t>
                  </w:r>
                  <w:r>
                    <w:rPr>
                      <w:b/>
                      <w:bCs/>
                      <w:sz w:val="20"/>
                      <w:szCs w:val="28"/>
                    </w:rPr>
                    <w:t>器技术参数值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sz w:val="20"/>
                      <w:szCs w:val="28"/>
                    </w:rPr>
                    <w:t>设计风量</w:t>
                  </w:r>
                  <w:r>
                    <w:rPr>
                      <w:rFonts w:hint="eastAsia"/>
                      <w:sz w:val="20"/>
                      <w:szCs w:val="28"/>
                    </w:rPr>
                    <w:t>(</w:t>
                  </w:r>
                  <w:r>
                    <w:rPr>
                      <w:sz w:val="20"/>
                      <w:szCs w:val="28"/>
                    </w:rPr>
                    <w:t>Nm</w:t>
                  </w:r>
                  <w:r>
                    <w:rPr>
                      <w:sz w:val="20"/>
                      <w:szCs w:val="28"/>
                      <w:vertAlign w:val="superscript"/>
                    </w:rPr>
                    <w:t>3</w:t>
                  </w:r>
                  <w:r>
                    <w:rPr>
                      <w:sz w:val="20"/>
                      <w:szCs w:val="28"/>
                    </w:rPr>
                    <w:t>/h</w:t>
                  </w:r>
                  <w:r>
                    <w:rPr>
                      <w:rFonts w:hint="eastAsia"/>
                      <w:sz w:val="20"/>
                      <w:szCs w:val="28"/>
                    </w:rPr>
                    <w:t>)</w:t>
                  </w:r>
                </w:p>
              </w:tc>
              <w:tc>
                <w:tcPr>
                  <w:tcW w:w="2897" w:type="pct"/>
                  <w:noWrap w:val="0"/>
                  <w:vAlign w:val="center"/>
                </w:tcPr>
                <w:p>
                  <w:pPr>
                    <w:adjustRightInd w:val="0"/>
                    <w:snapToGrid w:val="0"/>
                    <w:jc w:val="center"/>
                    <w:rPr>
                      <w:rFonts w:hint="eastAsia"/>
                      <w:sz w:val="20"/>
                      <w:szCs w:val="28"/>
                    </w:rPr>
                  </w:pPr>
                  <w:r>
                    <w:rPr>
                      <w:rFonts w:hint="eastAsia"/>
                      <w:sz w:val="20"/>
                      <w:szCs w:val="28"/>
                      <w:lang w:val="en-US" w:eastAsia="zh-CN"/>
                    </w:rPr>
                    <w:t>7</w:t>
                  </w:r>
                  <w:r>
                    <w:rPr>
                      <w:rFonts w:hint="eastAsia"/>
                      <w:sz w:val="20"/>
                      <w:szCs w:val="28"/>
                    </w:rPr>
                    <w:t>000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rFonts w:hint="default" w:eastAsia="宋体"/>
                      <w:sz w:val="20"/>
                      <w:szCs w:val="28"/>
                      <w:lang w:val="en-US" w:eastAsia="zh-CN"/>
                    </w:rPr>
                  </w:pPr>
                  <w:r>
                    <w:rPr>
                      <w:rFonts w:hint="eastAsia"/>
                      <w:sz w:val="20"/>
                      <w:szCs w:val="28"/>
                      <w:lang w:val="en-US" w:eastAsia="zh-CN"/>
                    </w:rPr>
                    <w:t>除尘效率（%）</w:t>
                  </w:r>
                </w:p>
              </w:tc>
              <w:tc>
                <w:tcPr>
                  <w:tcW w:w="2897" w:type="pct"/>
                  <w:noWrap w:val="0"/>
                  <w:vAlign w:val="center"/>
                </w:tcPr>
                <w:p>
                  <w:pPr>
                    <w:adjustRightInd w:val="0"/>
                    <w:snapToGrid w:val="0"/>
                    <w:jc w:val="center"/>
                    <w:rPr>
                      <w:rFonts w:hint="default" w:eastAsia="宋体"/>
                      <w:sz w:val="20"/>
                      <w:szCs w:val="28"/>
                      <w:lang w:val="en-US" w:eastAsia="zh-CN"/>
                    </w:rPr>
                  </w:pPr>
                  <w:r>
                    <w:rPr>
                      <w:rFonts w:hint="eastAsia"/>
                      <w:sz w:val="20"/>
                      <w:szCs w:val="28"/>
                      <w:lang w:val="en-US" w:eastAsia="zh-CN"/>
                    </w:rPr>
                    <w:t>87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rFonts w:hint="eastAsia"/>
                      <w:sz w:val="20"/>
                      <w:szCs w:val="28"/>
                      <w:lang w:val="en-US" w:eastAsia="zh-CN"/>
                    </w:rPr>
                    <w:t>入口</w:t>
                  </w:r>
                  <w:r>
                    <w:rPr>
                      <w:sz w:val="20"/>
                      <w:szCs w:val="28"/>
                    </w:rPr>
                    <w:t>风速</w:t>
                  </w:r>
                  <w:r>
                    <w:rPr>
                      <w:rFonts w:hint="eastAsia"/>
                      <w:sz w:val="20"/>
                      <w:szCs w:val="28"/>
                    </w:rPr>
                    <w:t>(</w:t>
                  </w:r>
                  <w:r>
                    <w:rPr>
                      <w:sz w:val="20"/>
                      <w:szCs w:val="28"/>
                    </w:rPr>
                    <w:t>m/</w:t>
                  </w:r>
                  <w:r>
                    <w:rPr>
                      <w:rFonts w:hint="eastAsia"/>
                      <w:sz w:val="20"/>
                      <w:szCs w:val="28"/>
                      <w:lang w:val="en-US" w:eastAsia="zh-CN"/>
                    </w:rPr>
                    <w:t>s</w:t>
                  </w:r>
                  <w:r>
                    <w:rPr>
                      <w:rFonts w:hint="eastAsia"/>
                      <w:sz w:val="20"/>
                      <w:szCs w:val="28"/>
                    </w:rPr>
                    <w:t>)</w:t>
                  </w:r>
                </w:p>
              </w:tc>
              <w:tc>
                <w:tcPr>
                  <w:tcW w:w="2897" w:type="pct"/>
                  <w:noWrap w:val="0"/>
                  <w:vAlign w:val="center"/>
                </w:tcPr>
                <w:p>
                  <w:pPr>
                    <w:adjustRightInd w:val="0"/>
                    <w:snapToGrid w:val="0"/>
                    <w:jc w:val="center"/>
                    <w:rPr>
                      <w:rFonts w:hint="default" w:eastAsia="宋体"/>
                      <w:sz w:val="20"/>
                      <w:szCs w:val="28"/>
                      <w:lang w:val="en-US" w:eastAsia="zh-CN"/>
                    </w:rPr>
                  </w:pPr>
                  <w:r>
                    <w:rPr>
                      <w:rFonts w:hint="eastAsia"/>
                      <w:sz w:val="20"/>
                      <w:szCs w:val="28"/>
                      <w:lang w:val="en-US" w:eastAsia="zh-CN"/>
                    </w:rPr>
                    <w:t>15-22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rFonts w:hint="default" w:eastAsia="宋体"/>
                      <w:sz w:val="20"/>
                      <w:szCs w:val="28"/>
                      <w:lang w:val="en-US" w:eastAsia="zh-CN"/>
                    </w:rPr>
                  </w:pPr>
                  <w:r>
                    <w:rPr>
                      <w:rFonts w:hint="eastAsia"/>
                      <w:sz w:val="20"/>
                      <w:szCs w:val="28"/>
                      <w:lang w:val="en-US" w:eastAsia="zh-CN"/>
                    </w:rPr>
                    <w:t>断面流速（m/s）</w:t>
                  </w:r>
                </w:p>
              </w:tc>
              <w:tc>
                <w:tcPr>
                  <w:tcW w:w="2897" w:type="pct"/>
                  <w:noWrap w:val="0"/>
                  <w:vAlign w:val="center"/>
                </w:tcPr>
                <w:p>
                  <w:pPr>
                    <w:adjustRightInd w:val="0"/>
                    <w:snapToGrid w:val="0"/>
                    <w:jc w:val="center"/>
                    <w:rPr>
                      <w:rFonts w:hint="default" w:eastAsia="宋体"/>
                      <w:sz w:val="20"/>
                      <w:szCs w:val="28"/>
                      <w:lang w:val="en-US" w:eastAsia="zh-CN"/>
                    </w:rPr>
                  </w:pPr>
                  <w:r>
                    <w:rPr>
                      <w:rFonts w:hint="eastAsia"/>
                      <w:sz w:val="20"/>
                      <w:szCs w:val="28"/>
                      <w:lang w:val="en-US" w:eastAsia="zh-CN"/>
                    </w:rPr>
                    <w:t>3.5-5.0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rFonts w:hint="eastAsia" w:eastAsia="宋体"/>
                      <w:sz w:val="20"/>
                      <w:szCs w:val="28"/>
                      <w:lang w:eastAsia="zh-CN"/>
                    </w:rPr>
                  </w:pPr>
                  <w:r>
                    <w:rPr>
                      <w:rFonts w:hint="eastAsia"/>
                      <w:sz w:val="20"/>
                      <w:szCs w:val="28"/>
                      <w:lang w:val="en-US" w:eastAsia="zh-CN"/>
                    </w:rPr>
                    <w:t>设备阻力（Pa）</w:t>
                  </w:r>
                </w:p>
              </w:tc>
              <w:tc>
                <w:tcPr>
                  <w:tcW w:w="2897" w:type="pct"/>
                  <w:noWrap w:val="0"/>
                  <w:vAlign w:val="center"/>
                </w:tcPr>
                <w:p>
                  <w:pPr>
                    <w:adjustRightInd w:val="0"/>
                    <w:snapToGrid w:val="0"/>
                    <w:jc w:val="center"/>
                    <w:rPr>
                      <w:rFonts w:hint="default" w:eastAsia="宋体"/>
                      <w:sz w:val="20"/>
                      <w:szCs w:val="28"/>
                      <w:lang w:val="en-US" w:eastAsia="zh-CN"/>
                    </w:rPr>
                  </w:pPr>
                  <w:r>
                    <w:rPr>
                      <w:rFonts w:hint="eastAsia"/>
                      <w:sz w:val="20"/>
                      <w:szCs w:val="28"/>
                      <w:lang w:val="en-US" w:eastAsia="zh-CN"/>
                    </w:rPr>
                    <w:t>400-900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rFonts w:hint="eastAsia" w:eastAsia="宋体"/>
                      <w:sz w:val="20"/>
                      <w:szCs w:val="28"/>
                      <w:lang w:eastAsia="zh-CN"/>
                    </w:rPr>
                  </w:pPr>
                  <w:r>
                    <w:rPr>
                      <w:rFonts w:hint="eastAsia"/>
                      <w:sz w:val="20"/>
                      <w:szCs w:val="28"/>
                      <w:lang w:val="en-US" w:eastAsia="zh-CN"/>
                    </w:rPr>
                    <w:t>耗水量（L/m</w:t>
                  </w:r>
                  <w:r>
                    <w:rPr>
                      <w:rFonts w:hint="eastAsia"/>
                      <w:sz w:val="20"/>
                      <w:szCs w:val="28"/>
                      <w:vertAlign w:val="superscript"/>
                      <w:lang w:val="en-US" w:eastAsia="zh-CN"/>
                    </w:rPr>
                    <w:t>3</w:t>
                  </w:r>
                  <w:r>
                    <w:rPr>
                      <w:rFonts w:hint="eastAsia"/>
                      <w:sz w:val="20"/>
                      <w:szCs w:val="28"/>
                      <w:lang w:val="en-US" w:eastAsia="zh-CN"/>
                    </w:rPr>
                    <w:t>）</w:t>
                  </w:r>
                </w:p>
              </w:tc>
              <w:tc>
                <w:tcPr>
                  <w:tcW w:w="2897" w:type="pct"/>
                  <w:noWrap w:val="0"/>
                  <w:vAlign w:val="center"/>
                </w:tcPr>
                <w:p>
                  <w:pPr>
                    <w:adjustRightInd w:val="0"/>
                    <w:snapToGrid w:val="0"/>
                    <w:jc w:val="center"/>
                    <w:rPr>
                      <w:rFonts w:hint="default" w:eastAsia="宋体"/>
                      <w:sz w:val="20"/>
                      <w:szCs w:val="28"/>
                      <w:lang w:val="en-US" w:eastAsia="zh-CN"/>
                    </w:rPr>
                  </w:pPr>
                  <w:r>
                    <w:rPr>
                      <w:rFonts w:hint="eastAsia"/>
                      <w:sz w:val="20"/>
                      <w:szCs w:val="28"/>
                      <w:lang w:val="en-US" w:eastAsia="zh-CN"/>
                    </w:rPr>
                    <w:t>0.5-1.5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102" w:type="pct"/>
                  <w:noWrap w:val="0"/>
                  <w:vAlign w:val="center"/>
                </w:tcPr>
                <w:p>
                  <w:pPr>
                    <w:adjustRightInd w:val="0"/>
                    <w:snapToGrid w:val="0"/>
                    <w:jc w:val="center"/>
                    <w:rPr>
                      <w:sz w:val="20"/>
                      <w:szCs w:val="28"/>
                    </w:rPr>
                  </w:pPr>
                  <w:r>
                    <w:rPr>
                      <w:sz w:val="20"/>
                      <w:szCs w:val="28"/>
                    </w:rPr>
                    <w:t>设备阻力</w:t>
                  </w:r>
                  <w:r>
                    <w:rPr>
                      <w:rFonts w:hint="eastAsia"/>
                      <w:sz w:val="20"/>
                      <w:szCs w:val="28"/>
                    </w:rPr>
                    <w:t>(</w:t>
                  </w:r>
                  <w:r>
                    <w:rPr>
                      <w:sz w:val="20"/>
                      <w:szCs w:val="28"/>
                    </w:rPr>
                    <w:t>pa</w:t>
                  </w:r>
                  <w:r>
                    <w:rPr>
                      <w:rFonts w:hint="eastAsia"/>
                      <w:sz w:val="20"/>
                      <w:szCs w:val="28"/>
                    </w:rPr>
                    <w:t>)</w:t>
                  </w:r>
                </w:p>
              </w:tc>
              <w:tc>
                <w:tcPr>
                  <w:tcW w:w="2897" w:type="pct"/>
                  <w:noWrap w:val="0"/>
                  <w:vAlign w:val="center"/>
                </w:tcPr>
                <w:p>
                  <w:pPr>
                    <w:adjustRightInd w:val="0"/>
                    <w:snapToGrid w:val="0"/>
                    <w:jc w:val="center"/>
                    <w:rPr>
                      <w:sz w:val="20"/>
                      <w:szCs w:val="28"/>
                    </w:rPr>
                  </w:pPr>
                  <w:r>
                    <w:rPr>
                      <w:rFonts w:hint="eastAsia"/>
                      <w:sz w:val="20"/>
                      <w:szCs w:val="28"/>
                    </w:rPr>
                    <w:t>1</w:t>
                  </w:r>
                  <w:r>
                    <w:rPr>
                      <w:sz w:val="20"/>
                      <w:szCs w:val="28"/>
                    </w:rPr>
                    <w:t>200</w:t>
                  </w:r>
                </w:p>
              </w:tc>
            </w:tr>
          </w:tbl>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⑦石灰喷雾干燥法脱琉脱酸（半干法）</w:t>
            </w:r>
          </w:p>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石灰喷雾干燥法脱硫（半干法）工艺原理：生石灰经消化并加水制成消石灰浆液，碱性吸收剂消石灰浆液经过滤后由泵输入到吸收塔内的雾化装置。在吸收干燥塔的高温烟气作用下（120-160℃）浆液被雾化成细小液滴的吸收剂与烟气混合接触，与烟气中的SO</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、SO</w:t>
            </w:r>
            <w:r>
              <w:rPr>
                <w:rFonts w:hint="eastAsia"/>
                <w:b w:val="0"/>
                <w:bCs w:val="0"/>
                <w:color w:val="auto"/>
                <w:kern w:val="0"/>
                <w:szCs w:val="21"/>
                <w:vertAlign w:val="subscript"/>
                <w:lang w:val="en-US" w:eastAsia="zh-CN"/>
              </w:rPr>
              <w:t>3</w:t>
            </w:r>
            <w:r>
              <w:rPr>
                <w:rFonts w:hint="eastAsia"/>
                <w:b w:val="0"/>
                <w:bCs w:val="0"/>
                <w:color w:val="auto"/>
                <w:kern w:val="0"/>
                <w:szCs w:val="21"/>
                <w:lang w:val="en-US" w:eastAsia="zh-CN"/>
              </w:rPr>
              <w:t>、HC1发生酸碱中和反应生成亚硫酸钙(CaSO</w:t>
            </w:r>
            <w:r>
              <w:rPr>
                <w:rFonts w:hint="eastAsia"/>
                <w:b w:val="0"/>
                <w:bCs w:val="0"/>
                <w:color w:val="auto"/>
                <w:kern w:val="0"/>
                <w:szCs w:val="21"/>
                <w:vertAlign w:val="subscript"/>
                <w:lang w:val="en-US" w:eastAsia="zh-CN"/>
              </w:rPr>
              <w:t>3</w:t>
            </w:r>
            <w:r>
              <w:rPr>
                <w:rFonts w:hint="eastAsia"/>
                <w:b w:val="0"/>
                <w:bCs w:val="0"/>
                <w:color w:val="auto"/>
                <w:kern w:val="0"/>
                <w:szCs w:val="21"/>
                <w:lang w:val="en-US" w:eastAsia="zh-CN"/>
              </w:rPr>
              <w:t>)、硫酸钙(CaSO</w:t>
            </w:r>
            <w:r>
              <w:rPr>
                <w:rFonts w:hint="eastAsia"/>
                <w:b w:val="0"/>
                <w:bCs w:val="0"/>
                <w:color w:val="auto"/>
                <w:kern w:val="0"/>
                <w:szCs w:val="21"/>
                <w:vertAlign w:val="subscript"/>
                <w:lang w:val="en-US" w:eastAsia="zh-CN"/>
              </w:rPr>
              <w:t>4</w:t>
            </w:r>
            <w:r>
              <w:rPr>
                <w:rFonts w:hint="eastAsia"/>
                <w:b w:val="0"/>
                <w:bCs w:val="0"/>
                <w:color w:val="auto"/>
                <w:kern w:val="0"/>
                <w:szCs w:val="21"/>
                <w:lang w:val="en-US" w:eastAsia="zh-CN"/>
              </w:rPr>
              <w:t>）和氯化钙(CaC1</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),其他副反应产生碳酸钙(CaCO</w:t>
            </w:r>
            <w:r>
              <w:rPr>
                <w:rFonts w:hint="eastAsia"/>
                <w:b w:val="0"/>
                <w:bCs w:val="0"/>
                <w:color w:val="auto"/>
                <w:kern w:val="0"/>
                <w:szCs w:val="21"/>
                <w:vertAlign w:val="subscript"/>
                <w:lang w:val="en-US" w:eastAsia="zh-CN"/>
              </w:rPr>
              <w:t>3</w:t>
            </w:r>
            <w:r>
              <w:rPr>
                <w:rFonts w:hint="eastAsia"/>
                <w:b w:val="0"/>
                <w:bCs w:val="0"/>
                <w:color w:val="auto"/>
                <w:kern w:val="0"/>
                <w:szCs w:val="21"/>
                <w:lang w:val="en-US" w:eastAsia="zh-CN"/>
              </w:rPr>
              <w:t>)。脱硫剂带入的水分迅速被蒸发而干燥，形成粉末状的反应副产品，烟气温度随之降低，但仍然高于酸露点，可以直接排放，且不产生废水。因添加的吸收剂呈湿态，而脱硫产物呈干态，也被称为半干法。干粉状固体颗粒通过两种途径分离，一部分较大颗粒因重力作用在塔底锥体收集，细微颗粒随烟气进入后续除尘器被捕集。</w:t>
            </w:r>
          </w:p>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脱硫反应分为以下阶段:</w:t>
            </w:r>
          </w:p>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1、消化反应:CaO+H</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O→Ca(OH)</w:t>
            </w:r>
            <w:r>
              <w:rPr>
                <w:rFonts w:hint="eastAsia"/>
                <w:b w:val="0"/>
                <w:bCs w:val="0"/>
                <w:color w:val="auto"/>
                <w:kern w:val="0"/>
                <w:szCs w:val="21"/>
                <w:vertAlign w:val="subscript"/>
                <w:lang w:val="en-US" w:eastAsia="zh-CN"/>
              </w:rPr>
              <w:t>2</w:t>
            </w:r>
          </w:p>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2、吸收反应:Ca(OH)</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+SO</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→CaSO</w:t>
            </w:r>
            <w:r>
              <w:rPr>
                <w:rFonts w:hint="eastAsia"/>
                <w:b w:val="0"/>
                <w:bCs w:val="0"/>
                <w:color w:val="auto"/>
                <w:kern w:val="0"/>
                <w:szCs w:val="21"/>
                <w:vertAlign w:val="subscript"/>
                <w:lang w:val="en-US" w:eastAsia="zh-CN"/>
              </w:rPr>
              <w:t xml:space="preserve">3 </w:t>
            </w:r>
            <w:r>
              <w:rPr>
                <w:rFonts w:hint="eastAsia"/>
                <w:b w:val="0"/>
                <w:bCs w:val="0"/>
                <w:color w:val="auto"/>
                <w:kern w:val="0"/>
                <w:szCs w:val="21"/>
                <w:lang w:val="en-US" w:eastAsia="zh-CN"/>
              </w:rPr>
              <w:t>↓+H</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O</w:t>
            </w:r>
          </w:p>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3、氧化阶段:2CaSO</w:t>
            </w:r>
            <w:r>
              <w:rPr>
                <w:rFonts w:hint="eastAsia"/>
                <w:b w:val="0"/>
                <w:bCs w:val="0"/>
                <w:color w:val="auto"/>
                <w:kern w:val="0"/>
                <w:szCs w:val="21"/>
                <w:vertAlign w:val="subscript"/>
                <w:lang w:val="en-US" w:eastAsia="zh-CN"/>
              </w:rPr>
              <w:t>3</w:t>
            </w:r>
            <w:r>
              <w:rPr>
                <w:rFonts w:hint="eastAsia"/>
                <w:b w:val="0"/>
                <w:bCs w:val="0"/>
                <w:color w:val="auto"/>
                <w:kern w:val="0"/>
                <w:szCs w:val="21"/>
                <w:lang w:val="en-US" w:eastAsia="zh-CN"/>
              </w:rPr>
              <w:t>+O</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→2CaSO</w:t>
            </w:r>
            <w:r>
              <w:rPr>
                <w:rFonts w:hint="eastAsia"/>
                <w:b w:val="0"/>
                <w:bCs w:val="0"/>
                <w:color w:val="auto"/>
                <w:kern w:val="0"/>
                <w:szCs w:val="21"/>
                <w:vertAlign w:val="subscript"/>
                <w:lang w:val="en-US" w:eastAsia="zh-CN"/>
              </w:rPr>
              <w:t>4</w:t>
            </w:r>
          </w:p>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其他副反应:Ca(OH)+CO=CaCO</w:t>
            </w:r>
            <w:r>
              <w:rPr>
                <w:rFonts w:hint="eastAsia"/>
                <w:b w:val="0"/>
                <w:bCs w:val="0"/>
                <w:color w:val="auto"/>
                <w:kern w:val="0"/>
                <w:szCs w:val="21"/>
                <w:vertAlign w:val="subscript"/>
                <w:lang w:val="en-US" w:eastAsia="zh-CN"/>
              </w:rPr>
              <w:t>3</w:t>
            </w:r>
            <w:r>
              <w:rPr>
                <w:rFonts w:hint="eastAsia"/>
                <w:b w:val="0"/>
                <w:bCs w:val="0"/>
                <w:color w:val="auto"/>
                <w:kern w:val="0"/>
                <w:szCs w:val="21"/>
                <w:lang w:val="en-US" w:eastAsia="zh-CN"/>
              </w:rPr>
              <w:t xml:space="preserve"> ↓+H</w:t>
            </w:r>
            <w:r>
              <w:rPr>
                <w:rFonts w:hint="eastAsia"/>
                <w:b w:val="0"/>
                <w:bCs w:val="0"/>
                <w:color w:val="auto"/>
                <w:kern w:val="0"/>
                <w:szCs w:val="21"/>
                <w:vertAlign w:val="subscript"/>
                <w:lang w:val="en-US" w:eastAsia="zh-CN"/>
              </w:rPr>
              <w:t>2</w:t>
            </w:r>
            <w:r>
              <w:rPr>
                <w:rFonts w:hint="eastAsia"/>
                <w:b w:val="0"/>
                <w:bCs w:val="0"/>
                <w:color w:val="auto"/>
                <w:kern w:val="0"/>
                <w:szCs w:val="21"/>
                <w:lang w:val="en-US" w:eastAsia="zh-CN"/>
              </w:rPr>
              <w:t>O</w:t>
            </w:r>
          </w:p>
          <w:p>
            <w:pPr>
              <w:autoSpaceDE w:val="0"/>
              <w:autoSpaceDN w:val="0"/>
              <w:adjustRightInd w:val="0"/>
              <w:snapToGrid w:val="0"/>
              <w:spacing w:line="400" w:lineRule="exact"/>
              <w:ind w:firstLine="420" w:firstLineChars="200"/>
              <w:rPr>
                <w:rFonts w:hint="eastAsia"/>
                <w:b w:val="0"/>
                <w:bCs w:val="0"/>
                <w:color w:val="auto"/>
                <w:kern w:val="0"/>
                <w:szCs w:val="21"/>
                <w:lang w:val="en-US" w:eastAsia="zh-CN"/>
              </w:rPr>
            </w:pPr>
            <w:r>
              <w:rPr>
                <w:rFonts w:hint="eastAsia"/>
                <w:b w:val="0"/>
                <w:bCs w:val="0"/>
                <w:color w:val="auto"/>
                <w:kern w:val="0"/>
                <w:szCs w:val="21"/>
                <w:lang w:val="en-US" w:eastAsia="zh-CN"/>
              </w:rPr>
              <w:t>本项目采用半干法脱硫，相比湿法脱硫的石灰石/石膏湿法脱硫通过强氧化将亚硫酸钙转化为硫酸钙（石膏），而喷雾干燥法未进行充分氧化步骤，因此产物中硫酸钙含量较低，无法形成工业级石膏。脱硫渣定期清运，贮存在一般固废仓库。</w:t>
            </w:r>
          </w:p>
          <w:p>
            <w:pPr>
              <w:autoSpaceDE w:val="0"/>
              <w:autoSpaceDN w:val="0"/>
              <w:adjustRightInd w:val="0"/>
              <w:snapToGrid w:val="0"/>
              <w:spacing w:line="400" w:lineRule="exact"/>
              <w:ind w:firstLine="420" w:firstLineChars="200"/>
              <w:rPr>
                <w:rFonts w:hint="default"/>
                <w:lang w:val="en-US" w:eastAsia="zh-CN"/>
              </w:rPr>
            </w:pPr>
            <w:r>
              <w:rPr>
                <w:rFonts w:hint="default" w:ascii="Times New Roman" w:hAnsi="Times New Roman" w:eastAsia="宋体" w:cs="Times New Roman"/>
                <w:b w:val="0"/>
                <w:bCs w:val="0"/>
                <w:color w:val="auto"/>
                <w:kern w:val="0"/>
                <w:szCs w:val="21"/>
                <w:lang w:val="en-US" w:eastAsia="zh-CN"/>
              </w:rPr>
              <w:t>钙硫比是衡量钙基脱硫剂使用效率的关键指标</w:t>
            </w:r>
            <w:r>
              <w:rPr>
                <w:rFonts w:hint="eastAsia" w:ascii="Times New Roman" w:hAnsi="Times New Roman" w:eastAsia="宋体" w:cs="Times New Roman"/>
                <w:b w:val="0"/>
                <w:bCs w:val="0"/>
                <w:color w:val="auto"/>
                <w:kern w:val="0"/>
                <w:szCs w:val="21"/>
                <w:lang w:val="en-US" w:eastAsia="zh-CN"/>
              </w:rPr>
              <w:t>,</w:t>
            </w:r>
            <w:r>
              <w:rPr>
                <w:rFonts w:hint="default" w:ascii="Times New Roman" w:hAnsi="Times New Roman" w:eastAsia="宋体" w:cs="Times New Roman"/>
                <w:b w:val="0"/>
                <w:bCs w:val="0"/>
                <w:color w:val="auto"/>
                <w:kern w:val="0"/>
                <w:szCs w:val="21"/>
                <w:lang w:val="en-US" w:eastAsia="zh-CN"/>
              </w:rPr>
              <w:t>定义为投入系统的钙基吸收剂与脱除硫氧化物的摩尔数之比，用于表征脱硫剂过量程度，其理论摩尔比为1:1，实际应用中需提升钙硫比以提高效率，干法/半干法脱硫则需1.2-1.5以平衡经济性与效率。本项目钙硫比Ca</w:t>
            </w:r>
            <w:r>
              <w:rPr>
                <w:rFonts w:hint="eastAsia" w:ascii="Times New Roman" w:hAnsi="Times New Roman" w:eastAsia="宋体" w:cs="Times New Roman"/>
                <w:b w:val="0"/>
                <w:bCs w:val="0"/>
                <w:color w:val="auto"/>
                <w:kern w:val="0"/>
                <w:szCs w:val="21"/>
                <w:lang w:val="en-US" w:eastAsia="zh-CN"/>
              </w:rPr>
              <w:t>/S</w:t>
            </w:r>
            <w:r>
              <w:rPr>
                <w:rFonts w:hint="default" w:ascii="Times New Roman" w:hAnsi="Times New Roman" w:eastAsia="宋体" w:cs="Times New Roman"/>
                <w:b w:val="0"/>
                <w:bCs w:val="0"/>
                <w:color w:val="auto"/>
                <w:kern w:val="0"/>
                <w:szCs w:val="21"/>
                <w:lang w:val="en-US" w:eastAsia="zh-CN"/>
              </w:rPr>
              <w:t>取1.5，根据工程计算，SO</w:t>
            </w:r>
            <w:r>
              <w:rPr>
                <w:rFonts w:hint="eastAsia" w:cs="Times New Roman"/>
                <w:b w:val="0"/>
                <w:bCs w:val="0"/>
                <w:color w:val="auto"/>
                <w:kern w:val="0"/>
                <w:szCs w:val="21"/>
                <w:vertAlign w:val="subscript"/>
                <w:lang w:val="en-US" w:eastAsia="zh-CN"/>
              </w:rPr>
              <w:t>2</w:t>
            </w:r>
            <w:r>
              <w:rPr>
                <w:rFonts w:hint="default" w:ascii="Times New Roman" w:hAnsi="Times New Roman" w:eastAsia="宋体" w:cs="Times New Roman"/>
                <w:b w:val="0"/>
                <w:bCs w:val="0"/>
                <w:color w:val="auto"/>
                <w:kern w:val="0"/>
                <w:szCs w:val="21"/>
                <w:lang w:val="en-US" w:eastAsia="zh-CN"/>
              </w:rPr>
              <w:t>处理量为</w:t>
            </w:r>
            <w:r>
              <w:rPr>
                <w:rFonts w:hint="eastAsia" w:ascii="Times New Roman" w:hAnsi="Times New Roman" w:eastAsia="宋体" w:cs="Times New Roman"/>
                <w:b w:val="0"/>
                <w:bCs w:val="0"/>
                <w:color w:val="auto"/>
                <w:kern w:val="0"/>
                <w:szCs w:val="21"/>
                <w:lang w:val="en-US" w:eastAsia="zh-CN"/>
              </w:rPr>
              <w:t>3.332</w:t>
            </w:r>
            <w:r>
              <w:rPr>
                <w:rFonts w:hint="default" w:ascii="Times New Roman" w:hAnsi="Times New Roman" w:eastAsia="宋体" w:cs="Times New Roman"/>
                <w:b w:val="0"/>
                <w:bCs w:val="0"/>
                <w:color w:val="auto"/>
                <w:kern w:val="0"/>
                <w:szCs w:val="21"/>
                <w:lang w:val="en-US" w:eastAsia="zh-CN"/>
              </w:rPr>
              <w:t>t，则消耗生石灰(CaO纯度≥80%)</w:t>
            </w:r>
            <w:r>
              <w:rPr>
                <w:rFonts w:hint="eastAsia" w:ascii="Times New Roman" w:hAnsi="Times New Roman" w:eastAsia="宋体" w:cs="Times New Roman"/>
                <w:b w:val="0"/>
                <w:bCs w:val="0"/>
                <w:color w:val="auto"/>
                <w:kern w:val="0"/>
                <w:szCs w:val="21"/>
                <w:lang w:val="en-US" w:eastAsia="zh-CN"/>
              </w:rPr>
              <w:t>约5</w:t>
            </w:r>
            <w:r>
              <w:rPr>
                <w:rFonts w:hint="default" w:ascii="Times New Roman" w:hAnsi="Times New Roman" w:eastAsia="宋体" w:cs="Times New Roman"/>
                <w:b w:val="0"/>
                <w:bCs w:val="0"/>
                <w:color w:val="auto"/>
                <w:kern w:val="0"/>
                <w:szCs w:val="21"/>
                <w:lang w:val="en-US" w:eastAsia="zh-CN"/>
              </w:rPr>
              <w:t>t。</w:t>
            </w:r>
          </w:p>
          <w:p>
            <w:pPr>
              <w:autoSpaceDE w:val="0"/>
              <w:autoSpaceDN w:val="0"/>
              <w:adjustRightInd w:val="0"/>
              <w:snapToGrid w:val="0"/>
              <w:spacing w:line="400" w:lineRule="exact"/>
              <w:ind w:firstLine="420" w:firstLineChars="200"/>
              <w:rPr>
                <w:rFonts w:hint="eastAsia"/>
                <w:b w:val="0"/>
                <w:bCs w:val="0"/>
                <w:snapToGrid w:val="0"/>
                <w:color w:val="auto"/>
                <w:kern w:val="0"/>
                <w:szCs w:val="21"/>
              </w:rPr>
            </w:pPr>
            <w:r>
              <w:rPr>
                <w:rFonts w:hint="eastAsia"/>
                <w:b w:val="0"/>
                <w:bCs w:val="0"/>
                <w:color w:val="auto"/>
                <w:kern w:val="0"/>
                <w:szCs w:val="21"/>
                <w:lang w:val="en-US" w:eastAsia="zh-CN"/>
              </w:rPr>
              <w:t>根据</w:t>
            </w:r>
            <w:r>
              <w:rPr>
                <w:rFonts w:hint="eastAsia"/>
                <w:b w:val="0"/>
                <w:bCs w:val="0"/>
                <w:color w:val="000000" w:themeColor="text1"/>
                <w:sz w:val="21"/>
                <w:szCs w:val="21"/>
                <w:lang w:val="en-US" w:eastAsia="zh-CN"/>
                <w14:textFill>
                  <w14:solidFill>
                    <w14:schemeClr w14:val="tx1"/>
                  </w14:solidFill>
                </w14:textFill>
              </w:rPr>
              <w:t>《排污许可证申请与核发技术规范 锅炉》（HJ953-2018）表7锅炉烟气污染防治可行技术，生物质锅炉氮氧化物</w:t>
            </w:r>
            <w:r>
              <w:rPr>
                <w:rFonts w:hint="eastAsia" w:ascii="Times New Roman" w:hAnsi="Times New Roman" w:cs="Times New Roman"/>
                <w:b w:val="0"/>
                <w:bCs w:val="0"/>
                <w:color w:val="auto"/>
                <w:kern w:val="0"/>
                <w:szCs w:val="21"/>
              </w:rPr>
              <w:t>可选用的可行技术有：低氮燃烧技术、低氮燃烧+SNCR脱硝技术、低氮燃烧+SCR脱硝技术、低氮燃烧+（SNCR-SCR联合）脱硝技术、SNCR脱硝技术、SCR脱硝技术、SNCR-SCR 联合脱硝技术</w:t>
            </w:r>
            <w:r>
              <w:rPr>
                <w:rFonts w:hint="eastAsia" w:ascii="Times New Roman" w:hAnsi="Times New Roman" w:cs="Times New Roman"/>
                <w:b w:val="0"/>
                <w:bCs w:val="0"/>
                <w:color w:val="auto"/>
                <w:kern w:val="0"/>
                <w:szCs w:val="21"/>
                <w:lang w:eastAsia="zh-CN"/>
              </w:rPr>
              <w:t>；</w:t>
            </w:r>
            <w:r>
              <w:rPr>
                <w:rFonts w:hint="eastAsia" w:ascii="Times New Roman" w:hAnsi="Times New Roman" w:cs="Times New Roman"/>
                <w:b w:val="0"/>
                <w:bCs w:val="0"/>
                <w:color w:val="auto"/>
                <w:kern w:val="0"/>
                <w:szCs w:val="21"/>
                <w:lang w:val="en-US" w:eastAsia="zh-CN"/>
              </w:rPr>
              <w:t>颗粒物可行技术为旋风除尘和袋式除尘组合技术，</w:t>
            </w:r>
            <w:r>
              <w:rPr>
                <w:rFonts w:hint="eastAsia" w:cs="Times New Roman"/>
                <w:b w:val="0"/>
                <w:bCs w:val="0"/>
                <w:color w:val="auto"/>
                <w:kern w:val="0"/>
                <w:szCs w:val="21"/>
                <w:lang w:val="en-US" w:eastAsia="zh-CN"/>
              </w:rPr>
              <w:t>二氧化硫可行技术为石灰喷雾干燥法（半干法），</w:t>
            </w:r>
            <w:r>
              <w:rPr>
                <w:rFonts w:hint="eastAsia" w:ascii="Times New Roman" w:hAnsi="Times New Roman" w:cs="Times New Roman"/>
                <w:b w:val="0"/>
                <w:bCs w:val="0"/>
                <w:color w:val="FF0000"/>
                <w:kern w:val="0"/>
                <w:szCs w:val="21"/>
                <w:lang w:val="en-US" w:eastAsia="zh-CN"/>
              </w:rPr>
              <w:t>本项目蒸汽锅炉和导热油炉</w:t>
            </w:r>
            <w:r>
              <w:rPr>
                <w:rFonts w:hint="eastAsia" w:cs="Times New Roman"/>
                <w:b w:val="0"/>
                <w:bCs w:val="0"/>
                <w:color w:val="FF0000"/>
                <w:kern w:val="0"/>
                <w:szCs w:val="21"/>
                <w:lang w:val="en-US" w:eastAsia="zh-CN"/>
              </w:rPr>
              <w:t>各</w:t>
            </w:r>
            <w:r>
              <w:rPr>
                <w:rFonts w:hint="eastAsia" w:ascii="Times New Roman" w:hAnsi="Times New Roman" w:cs="Times New Roman"/>
                <w:b w:val="0"/>
                <w:bCs w:val="0"/>
                <w:color w:val="FF0000"/>
                <w:kern w:val="0"/>
                <w:szCs w:val="21"/>
                <w:lang w:val="en-US" w:eastAsia="zh-CN"/>
              </w:rPr>
              <w:t>经一套低氮燃烧+SNCR+</w:t>
            </w:r>
            <w:r>
              <w:rPr>
                <w:rFonts w:hint="eastAsia" w:cs="Times New Roman"/>
                <w:b w:val="0"/>
                <w:bCs w:val="0"/>
                <w:color w:val="FF0000"/>
                <w:kern w:val="0"/>
                <w:szCs w:val="21"/>
                <w:lang w:val="en-US" w:eastAsia="zh-CN"/>
              </w:rPr>
              <w:t>石灰喷雾干燥+</w:t>
            </w:r>
            <w:r>
              <w:rPr>
                <w:rFonts w:hint="eastAsia" w:ascii="Times New Roman" w:hAnsi="Times New Roman" w:cs="Times New Roman"/>
                <w:b w:val="0"/>
                <w:bCs w:val="0"/>
                <w:color w:val="FF0000"/>
                <w:kern w:val="0"/>
                <w:szCs w:val="21"/>
                <w:lang w:val="en-US" w:eastAsia="zh-CN"/>
              </w:rPr>
              <w:t>余热回收+旋风除尘+布袋除尘+水幕除尘装置处理</w:t>
            </w:r>
            <w:r>
              <w:rPr>
                <w:rFonts w:hint="eastAsia" w:ascii="Times New Roman" w:hAnsi="Times New Roman" w:cs="Times New Roman"/>
                <w:b w:val="0"/>
                <w:bCs w:val="0"/>
                <w:color w:val="FF0000"/>
                <w:kern w:val="0"/>
                <w:szCs w:val="21"/>
                <w:lang w:eastAsia="zh-CN"/>
              </w:rPr>
              <w:t>，</w:t>
            </w:r>
            <w:r>
              <w:rPr>
                <w:rFonts w:hint="eastAsia" w:cs="Times New Roman"/>
                <w:b w:val="0"/>
                <w:bCs w:val="0"/>
                <w:color w:val="FF0000"/>
                <w:kern w:val="0"/>
                <w:szCs w:val="21"/>
                <w:lang w:val="en-US" w:eastAsia="zh-CN"/>
              </w:rPr>
              <w:t>根据前文分析，收集率为100%，二氧化硫去除率为70%，氮氧化物去除率为80%，颗粒物去除率为99.98%，</w:t>
            </w:r>
            <w:r>
              <w:rPr>
                <w:rFonts w:hint="eastAsia" w:ascii="Times New Roman" w:hAnsi="Times New Roman" w:cs="Times New Roman"/>
                <w:b w:val="0"/>
                <w:bCs w:val="0"/>
                <w:color w:val="FF0000"/>
                <w:kern w:val="0"/>
                <w:szCs w:val="21"/>
              </w:rPr>
              <w:t>满足相关政策要求。</w:t>
            </w:r>
          </w:p>
          <w:p>
            <w:pPr>
              <w:autoSpaceDE w:val="0"/>
              <w:autoSpaceDN w:val="0"/>
              <w:adjustRightInd w:val="0"/>
              <w:snapToGrid w:val="0"/>
              <w:spacing w:line="400" w:lineRule="exact"/>
              <w:ind w:firstLine="422" w:firstLineChars="200"/>
              <w:rPr>
                <w:rFonts w:hint="eastAsia" w:eastAsia="宋体"/>
                <w:b/>
                <w:bCs/>
                <w:color w:val="auto"/>
                <w:kern w:val="0"/>
                <w:szCs w:val="21"/>
                <w:lang w:eastAsia="zh-CN"/>
              </w:rPr>
            </w:pPr>
            <w:r>
              <w:rPr>
                <w:rFonts w:hint="eastAsia"/>
                <w:b/>
                <w:bCs/>
                <w:color w:val="auto"/>
                <w:kern w:val="0"/>
                <w:szCs w:val="21"/>
                <w:lang w:val="en-US" w:eastAsia="zh-CN"/>
              </w:rPr>
              <w:t>4</w:t>
            </w:r>
            <w:r>
              <w:rPr>
                <w:rFonts w:hint="eastAsia"/>
                <w:b/>
                <w:bCs/>
                <w:color w:val="auto"/>
                <w:kern w:val="0"/>
                <w:szCs w:val="21"/>
              </w:rPr>
              <w:t>）无组织废气污染防治措施可行性分析</w:t>
            </w:r>
          </w:p>
          <w:p>
            <w:pPr>
              <w:autoSpaceDE w:val="0"/>
              <w:autoSpaceDN w:val="0"/>
              <w:adjustRightInd w:val="0"/>
              <w:snapToGrid w:val="0"/>
              <w:spacing w:line="400" w:lineRule="exact"/>
              <w:ind w:firstLine="420" w:firstLineChars="200"/>
              <w:rPr>
                <w:color w:val="auto"/>
                <w:kern w:val="0"/>
                <w:szCs w:val="21"/>
              </w:rPr>
            </w:pPr>
            <w:r>
              <w:rPr>
                <w:color w:val="auto"/>
                <w:kern w:val="0"/>
                <w:szCs w:val="21"/>
              </w:rPr>
              <w:t>本项目无组织废气主要</w:t>
            </w:r>
            <w:r>
              <w:rPr>
                <w:rFonts w:hint="eastAsia"/>
                <w:color w:val="auto"/>
                <w:kern w:val="0"/>
                <w:szCs w:val="21"/>
              </w:rPr>
              <w:t>为未被捕集的废气</w:t>
            </w:r>
            <w:r>
              <w:rPr>
                <w:rFonts w:hint="eastAsia"/>
                <w:color w:val="auto"/>
                <w:kern w:val="0"/>
                <w:szCs w:val="21"/>
                <w:lang w:val="en-US" w:eastAsia="zh-CN"/>
              </w:rPr>
              <w:t>和SNCR装置极少量氨逃逸</w:t>
            </w:r>
            <w:r>
              <w:rPr>
                <w:color w:val="auto"/>
                <w:kern w:val="0"/>
                <w:szCs w:val="21"/>
              </w:rPr>
              <w:t>。</w:t>
            </w:r>
          </w:p>
          <w:p>
            <w:pPr>
              <w:autoSpaceDE w:val="0"/>
              <w:autoSpaceDN w:val="0"/>
              <w:adjustRightInd w:val="0"/>
              <w:snapToGrid w:val="0"/>
              <w:spacing w:line="400" w:lineRule="exact"/>
              <w:ind w:firstLine="420" w:firstLineChars="200"/>
              <w:rPr>
                <w:color w:val="auto"/>
                <w:kern w:val="0"/>
                <w:szCs w:val="21"/>
              </w:rPr>
            </w:pPr>
            <w:r>
              <w:rPr>
                <w:rFonts w:hint="default" w:ascii="Times New Roman" w:hAnsi="Times New Roman" w:eastAsia="宋体" w:cs="Times New Roman"/>
                <w:color w:val="FF0000"/>
                <w:sz w:val="21"/>
                <w:szCs w:val="21"/>
              </w:rPr>
              <w:t xml:space="preserve">《排污许可证申请与核发技术规范 </w:t>
            </w:r>
            <w:r>
              <w:rPr>
                <w:rFonts w:hint="eastAsia" w:ascii="Times New Roman" w:hAnsi="Times New Roman" w:eastAsia="宋体" w:cs="Times New Roman"/>
                <w:color w:val="FF0000"/>
                <w:sz w:val="21"/>
                <w:szCs w:val="21"/>
                <w:lang w:val="en-US" w:eastAsia="zh-CN"/>
              </w:rPr>
              <w:t>纺织印染工业</w:t>
            </w:r>
            <w:r>
              <w:rPr>
                <w:rFonts w:hint="default" w:ascii="Times New Roman" w:hAnsi="Times New Roman" w:eastAsia="宋体" w:cs="Times New Roman"/>
                <w:color w:val="FF0000"/>
                <w:sz w:val="21"/>
                <w:szCs w:val="21"/>
              </w:rPr>
              <w:t>》（HJ</w:t>
            </w:r>
            <w:r>
              <w:rPr>
                <w:rFonts w:hint="eastAsia" w:ascii="Times New Roman" w:hAnsi="Times New Roman" w:eastAsia="宋体" w:cs="Times New Roman"/>
                <w:color w:val="FF0000"/>
                <w:sz w:val="21"/>
                <w:szCs w:val="21"/>
                <w:lang w:val="en-US" w:eastAsia="zh-CN"/>
              </w:rPr>
              <w:t>861</w:t>
            </w:r>
            <w:r>
              <w:rPr>
                <w:rFonts w:hint="default" w:ascii="Times New Roman" w:hAnsi="Times New Roman" w:eastAsia="宋体" w:cs="Times New Roman"/>
                <w:color w:val="FF0000"/>
                <w:sz w:val="21"/>
                <w:szCs w:val="21"/>
              </w:rPr>
              <w:t>-201</w:t>
            </w:r>
            <w:r>
              <w:rPr>
                <w:rFonts w:hint="eastAsia" w:ascii="Times New Roman" w:hAnsi="Times New Roman" w:eastAsia="宋体" w:cs="Times New Roman"/>
                <w:color w:val="FF0000"/>
                <w:sz w:val="21"/>
                <w:szCs w:val="21"/>
                <w:lang w:val="en-US" w:eastAsia="zh-CN"/>
              </w:rPr>
              <w:t>7</w:t>
            </w:r>
            <w:r>
              <w:rPr>
                <w:rFonts w:hint="default" w:ascii="Times New Roman" w:hAnsi="Times New Roman" w:eastAsia="宋体" w:cs="Times New Roman"/>
                <w:color w:val="FF0000"/>
                <w:sz w:val="21"/>
                <w:szCs w:val="21"/>
              </w:rPr>
              <w:t>）</w:t>
            </w:r>
            <w:r>
              <w:rPr>
                <w:rFonts w:hint="eastAsia" w:ascii="Times New Roman" w:hAnsi="Times New Roman" w:eastAsia="宋体" w:cs="Times New Roman"/>
                <w:color w:val="FF0000"/>
                <w:sz w:val="21"/>
                <w:szCs w:val="21"/>
                <w:lang w:val="en-US" w:eastAsia="zh-CN"/>
              </w:rPr>
              <w:t>和</w:t>
            </w:r>
            <w:r>
              <w:rPr>
                <w:rFonts w:hint="default" w:ascii="Times New Roman" w:hAnsi="Times New Roman" w:eastAsia="宋体" w:cs="Times New Roman"/>
                <w:color w:val="FF0000"/>
                <w:sz w:val="21"/>
                <w:szCs w:val="21"/>
              </w:rPr>
              <w:t>《排污许可证申请与核发技术规范 锅炉》（HJ953-2018）</w:t>
            </w:r>
            <w:r>
              <w:rPr>
                <w:rFonts w:hint="eastAsia" w:ascii="Times New Roman" w:hAnsi="Times New Roman" w:eastAsia="宋体" w:cs="Times New Roman"/>
                <w:color w:val="FF0000"/>
                <w:sz w:val="21"/>
                <w:szCs w:val="21"/>
                <w:lang w:val="en-US" w:eastAsia="zh-CN"/>
              </w:rPr>
              <w:t>，</w:t>
            </w:r>
            <w:r>
              <w:rPr>
                <w:rFonts w:hint="eastAsia"/>
                <w:color w:val="auto"/>
                <w:kern w:val="0"/>
                <w:szCs w:val="21"/>
              </w:rPr>
              <w:t>企业</w:t>
            </w:r>
            <w:r>
              <w:rPr>
                <w:color w:val="auto"/>
                <w:kern w:val="0"/>
                <w:szCs w:val="21"/>
              </w:rPr>
              <w:t>拟采取的无组织控制措施主要有：</w:t>
            </w:r>
          </w:p>
          <w:p>
            <w:pPr>
              <w:autoSpaceDE w:val="0"/>
              <w:autoSpaceDN w:val="0"/>
              <w:adjustRightInd w:val="0"/>
              <w:snapToGrid w:val="0"/>
              <w:spacing w:line="400" w:lineRule="exact"/>
              <w:ind w:firstLine="420" w:firstLineChars="200"/>
              <w:rPr>
                <w:color w:val="auto"/>
                <w:kern w:val="0"/>
                <w:szCs w:val="21"/>
              </w:rPr>
            </w:pPr>
            <w:r>
              <w:rPr>
                <w:rFonts w:hint="eastAsia" w:ascii="宋体" w:hAnsi="宋体"/>
                <w:color w:val="auto"/>
                <w:kern w:val="0"/>
                <w:szCs w:val="21"/>
              </w:rPr>
              <w:t>①</w:t>
            </w:r>
            <w:r>
              <w:rPr>
                <w:rFonts w:hint="eastAsia"/>
                <w:color w:val="auto"/>
                <w:kern w:val="0"/>
                <w:szCs w:val="21"/>
              </w:rPr>
              <w:t>车间均采用先进的生产工艺和设备，特别是对</w:t>
            </w:r>
            <w:r>
              <w:rPr>
                <w:rFonts w:hint="eastAsia"/>
                <w:color w:val="auto"/>
                <w:kern w:val="0"/>
                <w:szCs w:val="21"/>
                <w:lang w:val="en-US" w:eastAsia="zh-CN"/>
              </w:rPr>
              <w:t>拉毛、定型、刷呢、剪毛、烫光、揺粒和蒸呢</w:t>
            </w:r>
            <w:r>
              <w:rPr>
                <w:rFonts w:hint="eastAsia"/>
                <w:color w:val="auto"/>
                <w:kern w:val="0"/>
                <w:szCs w:val="21"/>
              </w:rPr>
              <w:t>等可能产生废气的设备采取密闭收集或是负压收集，并采用自动化控制系统，可对生产过程中产生的废气进行有效收集。</w:t>
            </w:r>
          </w:p>
          <w:p>
            <w:pPr>
              <w:autoSpaceDE w:val="0"/>
              <w:autoSpaceDN w:val="0"/>
              <w:adjustRightInd w:val="0"/>
              <w:snapToGrid w:val="0"/>
              <w:spacing w:line="400" w:lineRule="exact"/>
              <w:ind w:firstLine="420" w:firstLineChars="200"/>
              <w:rPr>
                <w:rFonts w:hint="eastAsia" w:eastAsia="宋体"/>
                <w:color w:val="auto"/>
                <w:szCs w:val="21"/>
                <w:lang w:eastAsia="zh-CN"/>
              </w:rPr>
            </w:pPr>
            <w:r>
              <w:rPr>
                <w:rFonts w:hint="eastAsia" w:ascii="宋体" w:hAnsi="宋体"/>
                <w:color w:val="auto"/>
                <w:kern w:val="0"/>
                <w:szCs w:val="21"/>
              </w:rPr>
              <w:t>②</w:t>
            </w:r>
            <w:r>
              <w:rPr>
                <w:color w:val="auto"/>
                <w:szCs w:val="21"/>
              </w:rPr>
              <w:t>合理设计送排风系统，提高废气收集效果，尽量将废气收集集中处理</w:t>
            </w:r>
            <w:r>
              <w:rPr>
                <w:rFonts w:hint="eastAsia"/>
                <w:color w:val="auto"/>
                <w:szCs w:val="21"/>
              </w:rPr>
              <w:t>。</w:t>
            </w:r>
            <w:r>
              <w:rPr>
                <w:color w:val="auto"/>
                <w:szCs w:val="21"/>
              </w:rPr>
              <w:t>加强生产管理，规范操作，使设备设施处于正常工作状态</w:t>
            </w:r>
            <w:r>
              <w:rPr>
                <w:rFonts w:hint="eastAsia"/>
                <w:color w:val="auto"/>
                <w:szCs w:val="21"/>
                <w:lang w:eastAsia="zh-CN"/>
              </w:rPr>
              <w:t>。</w:t>
            </w:r>
          </w:p>
          <w:p>
            <w:pPr>
              <w:autoSpaceDE w:val="0"/>
              <w:autoSpaceDN w:val="0"/>
              <w:adjustRightInd w:val="0"/>
              <w:snapToGrid w:val="0"/>
              <w:spacing w:line="400" w:lineRule="exact"/>
              <w:ind w:firstLine="420" w:firstLineChars="200"/>
              <w:rPr>
                <w:color w:val="auto"/>
                <w:kern w:val="0"/>
                <w:szCs w:val="21"/>
              </w:rPr>
            </w:pPr>
            <w:r>
              <w:rPr>
                <w:rFonts w:hint="eastAsia" w:ascii="宋体" w:hAnsi="宋体"/>
                <w:color w:val="auto"/>
                <w:kern w:val="0"/>
                <w:szCs w:val="21"/>
              </w:rPr>
              <w:t>③</w:t>
            </w:r>
            <w:r>
              <w:rPr>
                <w:rFonts w:hint="eastAsia"/>
                <w:color w:val="auto"/>
                <w:kern w:val="0"/>
                <w:szCs w:val="21"/>
              </w:rPr>
              <w:t>通风生产设备、操作工位、车间厂房等应在符合安全生产、职业卫生相关的前提下，根据行业作业规程与标准、工业建筑及洁净厂房通风设计规范等的要求，采用合理的通风量。</w:t>
            </w:r>
          </w:p>
          <w:p>
            <w:pPr>
              <w:autoSpaceDE w:val="0"/>
              <w:autoSpaceDN w:val="0"/>
              <w:adjustRightInd w:val="0"/>
              <w:snapToGrid w:val="0"/>
              <w:spacing w:line="400" w:lineRule="exact"/>
              <w:ind w:firstLine="420" w:firstLineChars="200"/>
              <w:rPr>
                <w:color w:val="auto"/>
                <w:kern w:val="0"/>
                <w:szCs w:val="21"/>
              </w:rPr>
            </w:pPr>
            <w:r>
              <w:rPr>
                <w:rFonts w:hint="eastAsia" w:ascii="宋体" w:hAnsi="宋体"/>
                <w:color w:val="auto"/>
                <w:kern w:val="0"/>
                <w:szCs w:val="21"/>
              </w:rPr>
              <w:t>④</w:t>
            </w:r>
            <w:r>
              <w:rPr>
                <w:color w:val="auto"/>
                <w:kern w:val="0"/>
                <w:szCs w:val="21"/>
              </w:rPr>
              <w:t>对设备及时进行检修，更换破损的管道、机泵、阀门及污染防治设备，减少和防止生产过程中的跑冒滴漏和事故性排放；</w:t>
            </w:r>
          </w:p>
          <w:p>
            <w:pPr>
              <w:autoSpaceDE w:val="0"/>
              <w:autoSpaceDN w:val="0"/>
              <w:adjustRightInd w:val="0"/>
              <w:snapToGrid w:val="0"/>
              <w:spacing w:line="400" w:lineRule="exact"/>
              <w:ind w:firstLine="420" w:firstLineChars="200"/>
              <w:rPr>
                <w:color w:val="auto"/>
                <w:kern w:val="0"/>
                <w:szCs w:val="21"/>
              </w:rPr>
            </w:pPr>
            <w:r>
              <w:rPr>
                <w:rFonts w:hint="eastAsia" w:ascii="宋体" w:hAnsi="宋体"/>
                <w:color w:val="auto"/>
                <w:kern w:val="0"/>
                <w:szCs w:val="21"/>
              </w:rPr>
              <w:t>⑤</w:t>
            </w:r>
            <w:r>
              <w:rPr>
                <w:rFonts w:hint="eastAsia"/>
                <w:color w:val="auto"/>
                <w:kern w:val="0"/>
                <w:szCs w:val="21"/>
              </w:rPr>
              <w:t>合理布置车间，将产生无组织废气的工序尽量布置在远离厂界的地方，以减少无组织废气对厂界周围环境的影响；</w:t>
            </w:r>
          </w:p>
          <w:p>
            <w:pPr>
              <w:autoSpaceDE w:val="0"/>
              <w:autoSpaceDN w:val="0"/>
              <w:adjustRightInd w:val="0"/>
              <w:snapToGrid w:val="0"/>
              <w:spacing w:line="400" w:lineRule="exact"/>
              <w:ind w:firstLine="420" w:firstLineChars="200"/>
              <w:rPr>
                <w:color w:val="auto"/>
                <w:kern w:val="0"/>
                <w:szCs w:val="21"/>
              </w:rPr>
            </w:pPr>
            <w:r>
              <w:rPr>
                <w:rFonts w:hint="eastAsia" w:ascii="宋体" w:hAnsi="宋体"/>
                <w:color w:val="auto"/>
                <w:kern w:val="0"/>
                <w:szCs w:val="21"/>
              </w:rPr>
              <w:t>⑥</w:t>
            </w:r>
            <w:r>
              <w:rPr>
                <w:color w:val="auto"/>
                <w:kern w:val="0"/>
                <w:szCs w:val="21"/>
              </w:rPr>
              <w:t>加强运行管理和环境管理，提高工人操作水平，通过宣传增强职工环保意识，积极推行清洁生产，节能降耗，多种措施并举，减少污染物排放</w:t>
            </w:r>
            <w:r>
              <w:rPr>
                <w:rFonts w:hint="eastAsia"/>
                <w:color w:val="auto"/>
                <w:kern w:val="0"/>
                <w:szCs w:val="21"/>
              </w:rPr>
              <w:t>。</w:t>
            </w:r>
          </w:p>
          <w:p>
            <w:pPr>
              <w:autoSpaceDE w:val="0"/>
              <w:autoSpaceDN w:val="0"/>
              <w:adjustRightInd w:val="0"/>
              <w:snapToGrid w:val="0"/>
              <w:spacing w:line="400" w:lineRule="exact"/>
              <w:ind w:firstLine="422" w:firstLineChars="200"/>
              <w:rPr>
                <w:b/>
                <w:bCs/>
                <w:color w:val="auto"/>
                <w:kern w:val="0"/>
                <w:szCs w:val="21"/>
              </w:rPr>
            </w:pPr>
            <w:r>
              <w:rPr>
                <w:rFonts w:hint="eastAsia"/>
                <w:b/>
                <w:bCs/>
                <w:color w:val="auto"/>
                <w:kern w:val="0"/>
                <w:szCs w:val="21"/>
                <w:lang w:eastAsia="zh-CN"/>
              </w:rPr>
              <w:t>（</w:t>
            </w:r>
            <w:r>
              <w:rPr>
                <w:rFonts w:hint="eastAsia"/>
                <w:b/>
                <w:bCs/>
                <w:color w:val="auto"/>
                <w:kern w:val="0"/>
                <w:szCs w:val="21"/>
                <w:lang w:val="en-US" w:eastAsia="zh-CN"/>
              </w:rPr>
              <w:t>3</w:t>
            </w:r>
            <w:r>
              <w:rPr>
                <w:rFonts w:hint="eastAsia"/>
                <w:b/>
                <w:bCs/>
                <w:color w:val="auto"/>
                <w:kern w:val="0"/>
                <w:szCs w:val="21"/>
                <w:lang w:eastAsia="zh-CN"/>
              </w:rPr>
              <w:t>）</w:t>
            </w:r>
            <w:r>
              <w:rPr>
                <w:b/>
                <w:bCs/>
                <w:color w:val="auto"/>
                <w:kern w:val="0"/>
                <w:szCs w:val="21"/>
              </w:rPr>
              <w:t>排气筒设置合理性分析及规范化要求</w:t>
            </w:r>
          </w:p>
          <w:p>
            <w:pPr>
              <w:autoSpaceDE w:val="0"/>
              <w:autoSpaceDN w:val="0"/>
              <w:adjustRightInd w:val="0"/>
              <w:snapToGrid w:val="0"/>
              <w:spacing w:line="400" w:lineRule="exact"/>
              <w:ind w:firstLine="420" w:firstLineChars="200"/>
              <w:rPr>
                <w:color w:val="auto"/>
                <w:kern w:val="0"/>
                <w:szCs w:val="21"/>
              </w:rPr>
            </w:pPr>
            <w:r>
              <w:rPr>
                <w:color w:val="auto"/>
                <w:kern w:val="0"/>
                <w:szCs w:val="21"/>
              </w:rPr>
              <w:fldChar w:fldCharType="begin"/>
            </w:r>
            <w:r>
              <w:rPr>
                <w:color w:val="auto"/>
                <w:kern w:val="0"/>
                <w:szCs w:val="21"/>
              </w:rPr>
              <w:instrText xml:space="preserve"> </w:instrText>
            </w:r>
            <w:r>
              <w:rPr>
                <w:rFonts w:hint="eastAsia"/>
                <w:color w:val="auto"/>
                <w:kern w:val="0"/>
                <w:szCs w:val="21"/>
              </w:rPr>
              <w:instrText xml:space="preserve">= 1 \* GB3</w:instrText>
            </w:r>
            <w:r>
              <w:rPr>
                <w:color w:val="auto"/>
                <w:kern w:val="0"/>
                <w:szCs w:val="21"/>
              </w:rPr>
              <w:instrText xml:space="preserve"> </w:instrText>
            </w:r>
            <w:r>
              <w:rPr>
                <w:color w:val="auto"/>
                <w:kern w:val="0"/>
                <w:szCs w:val="21"/>
              </w:rPr>
              <w:fldChar w:fldCharType="separate"/>
            </w:r>
            <w:r>
              <w:rPr>
                <w:rFonts w:hint="eastAsia"/>
                <w:color w:val="auto"/>
                <w:kern w:val="0"/>
                <w:szCs w:val="21"/>
              </w:rPr>
              <w:t>①</w:t>
            </w:r>
            <w:r>
              <w:rPr>
                <w:color w:val="auto"/>
                <w:kern w:val="0"/>
                <w:szCs w:val="21"/>
              </w:rPr>
              <w:fldChar w:fldCharType="end"/>
            </w:r>
            <w:r>
              <w:rPr>
                <w:color w:val="auto"/>
                <w:kern w:val="0"/>
                <w:szCs w:val="21"/>
              </w:rPr>
              <w:t>高度可行性</w:t>
            </w:r>
          </w:p>
          <w:p>
            <w:pPr>
              <w:autoSpaceDE w:val="0"/>
              <w:autoSpaceDN w:val="0"/>
              <w:adjustRightInd w:val="0"/>
              <w:snapToGrid w:val="0"/>
              <w:spacing w:line="400" w:lineRule="exact"/>
              <w:ind w:firstLine="420" w:firstLineChars="200"/>
              <w:rPr>
                <w:rFonts w:hint="eastAsia" w:ascii="Times New Roman" w:hAnsi="Times New Roman"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本项目DA001高度设置为</w:t>
            </w:r>
            <w:r>
              <w:rPr>
                <w:rFonts w:hint="default" w:ascii="Times New Roman" w:hAnsi="Times New Roman" w:eastAsia="宋体" w:cs="Times New Roman"/>
                <w:color w:val="auto"/>
                <w:kern w:val="0"/>
                <w:szCs w:val="21"/>
                <w:lang w:val="en-US" w:eastAsia="zh-CN"/>
              </w:rPr>
              <w:t>15m</w:t>
            </w:r>
            <w:r>
              <w:rPr>
                <w:rFonts w:hint="eastAsia" w:ascii="Times New Roman" w:hAnsi="Times New Roman" w:eastAsia="宋体" w:cs="Times New Roman"/>
                <w:color w:val="auto"/>
                <w:kern w:val="0"/>
                <w:szCs w:val="21"/>
                <w:lang w:val="en-US" w:eastAsia="zh-CN"/>
              </w:rPr>
              <w:t>，排放高度满足《大气污染物综合排放标准》 （DB32/4041-2021）有组织排放相关要求：排放光气、氰化氢和氯气的排气筒高度不低于25m，其他排气筒高度不低于15m（因安全考虑或有特殊工艺要求的除外），本项目DA001排气筒（15m）</w:t>
            </w:r>
            <w:r>
              <w:rPr>
                <w:rFonts w:hint="eastAsia"/>
                <w:color w:val="auto"/>
                <w:kern w:val="0"/>
                <w:szCs w:val="21"/>
              </w:rPr>
              <w:t>满足相关标准中排气筒高度要求。</w:t>
            </w:r>
          </w:p>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根据</w:t>
            </w:r>
            <w:r>
              <w:rPr>
                <w:kern w:val="24"/>
              </w:rPr>
              <w:t>《</w:t>
            </w:r>
            <w:r>
              <w:rPr>
                <w:rFonts w:hint="eastAsia"/>
                <w:kern w:val="24"/>
              </w:rPr>
              <w:t>锅炉</w:t>
            </w:r>
            <w:r>
              <w:rPr>
                <w:kern w:val="24"/>
              </w:rPr>
              <w:t>大气污染物排放标准》（DB3</w:t>
            </w:r>
            <w:r>
              <w:rPr>
                <w:rFonts w:hint="eastAsia"/>
                <w:kern w:val="24"/>
              </w:rPr>
              <w:t>2/4385-2022</w:t>
            </w:r>
            <w:r>
              <w:rPr>
                <w:kern w:val="24"/>
              </w:rPr>
              <w:t>）</w:t>
            </w:r>
            <w:r>
              <w:rPr>
                <w:rFonts w:hint="eastAsia"/>
                <w:color w:val="auto"/>
                <w:kern w:val="0"/>
                <w:szCs w:val="21"/>
              </w:rPr>
              <w:t>中</w:t>
            </w:r>
            <w:r>
              <w:rPr>
                <w:rFonts w:hint="eastAsia"/>
                <w:color w:val="auto"/>
                <w:kern w:val="0"/>
                <w:szCs w:val="21"/>
                <w:lang w:val="en-US" w:eastAsia="zh-CN"/>
              </w:rPr>
              <w:t>表2</w:t>
            </w:r>
            <w:r>
              <w:rPr>
                <w:rFonts w:hint="eastAsia"/>
                <w:color w:val="auto"/>
                <w:kern w:val="0"/>
                <w:szCs w:val="21"/>
              </w:rPr>
              <w:t>：燃煤、燃生物质锅炉房烟囱最低允许高度不低于</w:t>
            </w:r>
            <w:r>
              <w:rPr>
                <w:rFonts w:hint="eastAsia"/>
                <w:color w:val="auto"/>
                <w:kern w:val="0"/>
                <w:szCs w:val="21"/>
                <w:lang w:val="en-US" w:eastAsia="zh-CN"/>
              </w:rPr>
              <w:t>35</w:t>
            </w:r>
            <w:r>
              <w:rPr>
                <w:rFonts w:hint="eastAsia"/>
                <w:color w:val="auto"/>
                <w:kern w:val="0"/>
                <w:szCs w:val="21"/>
              </w:rPr>
              <w:t>m</w:t>
            </w:r>
            <w:r>
              <w:rPr>
                <w:rFonts w:hint="eastAsia"/>
                <w:color w:val="auto"/>
                <w:kern w:val="0"/>
                <w:szCs w:val="21"/>
                <w:lang w:eastAsia="zh-CN"/>
              </w:rPr>
              <w:t>（</w:t>
            </w:r>
            <w:r>
              <w:rPr>
                <w:rFonts w:hint="eastAsia"/>
                <w:color w:val="auto"/>
                <w:kern w:val="0"/>
                <w:szCs w:val="21"/>
                <w:lang w:val="en-US" w:eastAsia="zh-CN"/>
              </w:rPr>
              <w:t>锅炉总容量4~10t/h</w:t>
            </w:r>
            <w:r>
              <w:rPr>
                <w:rFonts w:hint="eastAsia"/>
                <w:color w:val="auto"/>
                <w:kern w:val="0"/>
                <w:szCs w:val="21"/>
                <w:lang w:eastAsia="zh-CN"/>
              </w:rPr>
              <w:t>）</w:t>
            </w:r>
            <w:r>
              <w:rPr>
                <w:rFonts w:hint="eastAsia"/>
                <w:color w:val="auto"/>
                <w:kern w:val="0"/>
                <w:szCs w:val="21"/>
              </w:rPr>
              <w:t>，</w:t>
            </w:r>
            <w:r>
              <w:rPr>
                <w:rFonts w:hint="eastAsia"/>
                <w:color w:val="auto"/>
                <w:kern w:val="0"/>
                <w:szCs w:val="21"/>
                <w:lang w:val="en-US" w:eastAsia="zh-CN"/>
              </w:rPr>
              <w:t>本项目DA002（35m）和DA003（35m）</w:t>
            </w:r>
            <w:r>
              <w:rPr>
                <w:rFonts w:hint="eastAsia"/>
                <w:color w:val="auto"/>
                <w:kern w:val="0"/>
                <w:szCs w:val="21"/>
              </w:rPr>
              <w:t>满足相关标准中排气筒高度要求。</w:t>
            </w:r>
          </w:p>
          <w:p>
            <w:pPr>
              <w:autoSpaceDE w:val="0"/>
              <w:autoSpaceDN w:val="0"/>
              <w:adjustRightInd w:val="0"/>
              <w:snapToGrid w:val="0"/>
              <w:spacing w:line="400" w:lineRule="exact"/>
              <w:ind w:left="420"/>
              <w:rPr>
                <w:color w:val="auto"/>
                <w:kern w:val="0"/>
                <w:szCs w:val="21"/>
              </w:rPr>
            </w:pPr>
            <w:r>
              <w:rPr>
                <w:color w:val="auto"/>
                <w:kern w:val="0"/>
                <w:szCs w:val="21"/>
              </w:rPr>
              <w:fldChar w:fldCharType="begin"/>
            </w:r>
            <w:r>
              <w:rPr>
                <w:color w:val="auto"/>
                <w:kern w:val="0"/>
                <w:szCs w:val="21"/>
              </w:rPr>
              <w:instrText xml:space="preserve"> </w:instrText>
            </w:r>
            <w:r>
              <w:rPr>
                <w:rFonts w:hint="eastAsia"/>
                <w:color w:val="auto"/>
                <w:kern w:val="0"/>
                <w:szCs w:val="21"/>
              </w:rPr>
              <w:instrText xml:space="preserve">= 2 \* GB3</w:instrText>
            </w:r>
            <w:r>
              <w:rPr>
                <w:color w:val="auto"/>
                <w:kern w:val="0"/>
                <w:szCs w:val="21"/>
              </w:rPr>
              <w:instrText xml:space="preserve"> </w:instrText>
            </w:r>
            <w:r>
              <w:rPr>
                <w:color w:val="auto"/>
                <w:kern w:val="0"/>
                <w:szCs w:val="21"/>
              </w:rPr>
              <w:fldChar w:fldCharType="separate"/>
            </w:r>
            <w:r>
              <w:rPr>
                <w:rFonts w:hint="eastAsia"/>
                <w:color w:val="auto"/>
                <w:kern w:val="0"/>
                <w:szCs w:val="21"/>
              </w:rPr>
              <w:t>②</w:t>
            </w:r>
            <w:r>
              <w:rPr>
                <w:color w:val="auto"/>
                <w:kern w:val="0"/>
                <w:szCs w:val="21"/>
              </w:rPr>
              <w:fldChar w:fldCharType="end"/>
            </w:r>
            <w:r>
              <w:rPr>
                <w:rFonts w:hint="eastAsia"/>
                <w:color w:val="auto"/>
                <w:kern w:val="0"/>
                <w:szCs w:val="21"/>
              </w:rPr>
              <w:t>出口风速合理性分析</w:t>
            </w:r>
          </w:p>
          <w:p>
            <w:pPr>
              <w:autoSpaceDE w:val="0"/>
              <w:autoSpaceDN w:val="0"/>
              <w:adjustRightInd w:val="0"/>
              <w:snapToGrid w:val="0"/>
              <w:spacing w:line="400" w:lineRule="exact"/>
              <w:ind w:firstLine="420" w:firstLineChars="200"/>
              <w:rPr>
                <w:color w:val="auto"/>
                <w:kern w:val="0"/>
                <w:szCs w:val="21"/>
              </w:rPr>
            </w:pPr>
            <w:r>
              <w:rPr>
                <w:rFonts w:hint="eastAsia"/>
                <w:color w:val="auto"/>
                <w:kern w:val="0"/>
                <w:szCs w:val="21"/>
              </w:rPr>
              <w:t>经计算，本项目DA00</w:t>
            </w:r>
            <w:r>
              <w:rPr>
                <w:rFonts w:hint="eastAsia"/>
                <w:color w:val="auto"/>
                <w:kern w:val="0"/>
                <w:szCs w:val="21"/>
                <w:lang w:val="en-US" w:eastAsia="zh-CN"/>
              </w:rPr>
              <w:t>1</w:t>
            </w:r>
            <w:r>
              <w:rPr>
                <w:rFonts w:hint="eastAsia"/>
                <w:color w:val="auto"/>
                <w:kern w:val="0"/>
                <w:szCs w:val="21"/>
              </w:rPr>
              <w:t>、DA00</w:t>
            </w:r>
            <w:r>
              <w:rPr>
                <w:rFonts w:hint="eastAsia"/>
                <w:color w:val="auto"/>
                <w:kern w:val="0"/>
                <w:szCs w:val="21"/>
                <w:lang w:val="en-US" w:eastAsia="zh-CN"/>
              </w:rPr>
              <w:t>2和DA003</w:t>
            </w:r>
            <w:r>
              <w:rPr>
                <w:rFonts w:hint="eastAsia"/>
                <w:color w:val="auto"/>
                <w:kern w:val="0"/>
                <w:szCs w:val="21"/>
              </w:rPr>
              <w:t>排气筒烟气排放速率</w:t>
            </w:r>
            <w:r>
              <w:rPr>
                <w:rFonts w:hint="eastAsia"/>
                <w:color w:val="auto"/>
                <w:kern w:val="0"/>
                <w:szCs w:val="21"/>
                <w:lang w:val="en-US" w:eastAsia="zh-CN"/>
              </w:rPr>
              <w:t>分别</w:t>
            </w:r>
            <w:r>
              <w:rPr>
                <w:rFonts w:hint="eastAsia"/>
                <w:color w:val="auto"/>
                <w:kern w:val="0"/>
                <w:szCs w:val="21"/>
              </w:rPr>
              <w:t>为</w:t>
            </w:r>
            <w:r>
              <w:rPr>
                <w:rFonts w:hint="eastAsia"/>
                <w:color w:val="auto"/>
                <w:kern w:val="0"/>
                <w:szCs w:val="21"/>
                <w:lang w:val="en-US" w:eastAsia="zh-CN"/>
              </w:rPr>
              <w:t>13.26m/s、15.47m/s和15.47</w:t>
            </w:r>
            <w:r>
              <w:rPr>
                <w:rFonts w:hint="eastAsia"/>
                <w:color w:val="auto"/>
                <w:kern w:val="0"/>
                <w:szCs w:val="21"/>
              </w:rPr>
              <w:t>m/s，符合《大气污染治理工程技术导则》（HJ2000-2010）中“5.3.5排气筒的出口直径应根据出口流速确定，流速宜取15m/s左右。当采用钢管烟囱且高度较高时或烟气量较大时，可适当提高出口流速至20~25m/s”的相关规定，因此是可行的。</w:t>
            </w:r>
          </w:p>
          <w:p>
            <w:pPr>
              <w:adjustRightInd w:val="0"/>
              <w:snapToGrid w:val="0"/>
              <w:spacing w:line="400" w:lineRule="exact"/>
              <w:ind w:firstLine="422" w:firstLineChars="200"/>
              <w:rPr>
                <w:b/>
                <w:bCs/>
                <w:color w:val="auto"/>
                <w:szCs w:val="21"/>
              </w:rPr>
            </w:pPr>
            <w:r>
              <w:rPr>
                <w:rFonts w:hint="eastAsia"/>
                <w:b/>
                <w:bCs/>
                <w:color w:val="auto"/>
                <w:szCs w:val="21"/>
              </w:rPr>
              <w:t>（4）厂界恶臭</w:t>
            </w:r>
            <w:r>
              <w:rPr>
                <w:rFonts w:hint="eastAsia"/>
                <w:b/>
                <w:bCs/>
                <w:color w:val="auto"/>
                <w:szCs w:val="21"/>
                <w:lang w:val="en-US" w:eastAsia="zh-CN"/>
              </w:rPr>
              <w:t>影响</w:t>
            </w:r>
            <w:r>
              <w:rPr>
                <w:rFonts w:hint="eastAsia"/>
                <w:b/>
                <w:bCs/>
                <w:color w:val="auto"/>
                <w:szCs w:val="21"/>
              </w:rPr>
              <w:t>分析</w:t>
            </w:r>
          </w:p>
          <w:p>
            <w:pPr>
              <w:autoSpaceDE w:val="0"/>
              <w:autoSpaceDN w:val="0"/>
              <w:adjustRightInd w:val="0"/>
              <w:snapToGrid w:val="0"/>
              <w:spacing w:line="400" w:lineRule="exact"/>
              <w:ind w:firstLine="420" w:firstLineChars="200"/>
              <w:rPr>
                <w:rFonts w:hint="eastAsia"/>
                <w:color w:val="auto"/>
                <w:kern w:val="0"/>
                <w:szCs w:val="21"/>
              </w:rPr>
            </w:pPr>
            <w:r>
              <w:rPr>
                <w:rFonts w:hint="eastAsia"/>
                <w:color w:val="auto"/>
                <w:kern w:val="0"/>
                <w:szCs w:val="21"/>
              </w:rPr>
              <w:t>本项目生产过程中产生的废气不能够100%捕集</w:t>
            </w:r>
            <w:r>
              <w:rPr>
                <w:rFonts w:hint="eastAsia"/>
                <w:color w:val="auto"/>
                <w:kern w:val="0"/>
                <w:szCs w:val="21"/>
                <w:lang w:val="en-US" w:eastAsia="zh-CN"/>
              </w:rPr>
              <w:t>以及SNCR脱硝会产生极少量无组织排放的氨气</w:t>
            </w:r>
            <w:r>
              <w:rPr>
                <w:rFonts w:hint="eastAsia"/>
                <w:color w:val="auto"/>
                <w:kern w:val="0"/>
                <w:szCs w:val="21"/>
              </w:rPr>
              <w:t>，该无组织废气对外环境的影响带有较强的主观性，将此部分废气以臭气浓度评价。</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rPr>
            </w:pPr>
            <w:r>
              <w:rPr>
                <w:rFonts w:hint="eastAsia"/>
                <w:color w:val="auto"/>
                <w:kern w:val="0"/>
                <w:szCs w:val="21"/>
                <w:lang w:val="en-US" w:eastAsia="zh-CN"/>
              </w:rPr>
              <w:t>本</w:t>
            </w:r>
            <w:r>
              <w:rPr>
                <w:rFonts w:hint="eastAsia"/>
                <w:color w:val="auto"/>
                <w:kern w:val="0"/>
                <w:szCs w:val="21"/>
              </w:rPr>
              <w:t>项目异味主要来源于</w:t>
            </w:r>
            <w:r>
              <w:rPr>
                <w:rFonts w:hint="eastAsia"/>
                <w:color w:val="auto"/>
                <w:kern w:val="0"/>
                <w:szCs w:val="21"/>
                <w:lang w:val="en-US" w:eastAsia="zh-CN"/>
              </w:rPr>
              <w:t>锅炉废气脱销过程</w:t>
            </w:r>
            <w:r>
              <w:rPr>
                <w:rFonts w:hint="eastAsia"/>
                <w:color w:val="auto"/>
                <w:kern w:val="0"/>
                <w:szCs w:val="21"/>
              </w:rPr>
              <w:t>中</w:t>
            </w:r>
            <w:r>
              <w:rPr>
                <w:rFonts w:hint="eastAsia"/>
                <w:color w:val="auto"/>
                <w:kern w:val="0"/>
                <w:szCs w:val="21"/>
                <w:lang w:val="en-US" w:eastAsia="zh-CN"/>
              </w:rPr>
              <w:t>产生的</w:t>
            </w:r>
            <w:r>
              <w:rPr>
                <w:rFonts w:hint="eastAsia"/>
                <w:color w:val="auto"/>
                <w:kern w:val="0"/>
                <w:szCs w:val="21"/>
              </w:rPr>
              <w:t>少量氨</w:t>
            </w:r>
            <w:r>
              <w:rPr>
                <w:rFonts w:hint="eastAsia"/>
                <w:color w:val="auto"/>
                <w:kern w:val="0"/>
                <w:szCs w:val="21"/>
                <w:lang w:val="en-US" w:eastAsia="zh-CN"/>
              </w:rPr>
              <w:t>气</w:t>
            </w:r>
            <w:r>
              <w:rPr>
                <w:rFonts w:hint="eastAsia"/>
                <w:color w:val="auto"/>
                <w:kern w:val="0"/>
                <w:szCs w:val="21"/>
              </w:rPr>
              <w:t>。</w:t>
            </w:r>
            <w:r>
              <w:rPr>
                <w:rFonts w:hint="eastAsia" w:ascii="Times New Roman" w:hAnsi="Times New Roman" w:eastAsia="宋体" w:cs="Times New Roman"/>
                <w:color w:val="auto"/>
                <w:kern w:val="0"/>
                <w:szCs w:val="21"/>
              </w:rPr>
              <w:t>异味的主要危害为：</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①危害呼吸系统。人们突然闻到异味，就会产生反射性地抑制吸气使呼吸次数减少，深度变浅，甚至会暂时停止吸气，妨碍正常呼吸功能。</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②危害消化系统。经常接触异味，会使人厌食、恶心，甚至呕吐，进而发展为消化功能减退。</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③危害内分泌系统。经常受异味刺激，会使内分泌系统的分泌功能紊乱，影响机体的代谢活动。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④危害神经系统。长期受到一种或几种低浓度异味物质的刺激，会引起嗅觉脱失、嗅觉疲劳等障碍。“久闻而不知其臭”，使嗅觉丧失了第一道防御功能，但脑神经仍不断受到刺激和损伤，最后导致大脑皮质兴奋和抑制的调节功能失调。</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⑤对精神的影响。异味使人精神烦躁不安，思想不集中，工作效率减低，判断力和记忆力下降影响大脑的思考活动。</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cs="Times New Roman"/>
                <w:color w:val="FF0000"/>
                <w:kern w:val="0"/>
                <w:szCs w:val="21"/>
                <w:lang w:val="en-US" w:eastAsia="zh-CN"/>
              </w:rPr>
              <w:t>本项目主要以为物质氨厂界落地浓度值见表4-12</w:t>
            </w:r>
          </w:p>
          <w:p>
            <w:pPr>
              <w:keepNext w:val="0"/>
              <w:keepLines w:val="0"/>
              <w:pageBreakBefore w:val="0"/>
              <w:widowControl w:val="0"/>
              <w:kinsoku/>
              <w:wordWrap/>
              <w:overflowPunct/>
              <w:topLinePunct w:val="0"/>
              <w:bidi w:val="0"/>
              <w:spacing w:line="360" w:lineRule="auto"/>
              <w:jc w:val="center"/>
              <w:textAlignment w:val="auto"/>
              <w:rPr>
                <w:rFonts w:hint="default" w:ascii="Times New Roman" w:hAnsi="Times New Roman" w:eastAsia="宋体" w:cs="Times New Roman"/>
                <w:b/>
                <w:color w:val="FF0000"/>
                <w:sz w:val="21"/>
                <w:szCs w:val="21"/>
                <w:lang w:val="en-US" w:eastAsia="zh-CN"/>
              </w:rPr>
            </w:pPr>
            <w:r>
              <w:rPr>
                <w:rFonts w:hint="eastAsia" w:ascii="Times New Roman" w:hAnsi="Times New Roman" w:eastAsia="宋体" w:cs="Times New Roman"/>
                <w:b/>
                <w:color w:val="FF0000"/>
                <w:sz w:val="21"/>
                <w:szCs w:val="21"/>
                <w:lang w:val="en-US" w:eastAsia="zh-CN"/>
              </w:rPr>
              <w:t>表4-12  异味物质厂界落地浓度值</w:t>
            </w:r>
          </w:p>
          <w:tbl>
            <w:tblPr>
              <w:tblStyle w:val="9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2017"/>
              <w:gridCol w:w="1816"/>
              <w:gridCol w:w="1693"/>
              <w:gridCol w:w="15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70" w:type="pct"/>
                  <w:noWrap w:val="0"/>
                  <w:tcMar>
                    <w:left w:w="57" w:type="dxa"/>
                    <w:right w:w="57" w:type="dxa"/>
                  </w:tcMar>
                  <w:vAlign w:val="center"/>
                </w:tcPr>
                <w:p>
                  <w:pPr>
                    <w:pStyle w:val="180"/>
                    <w:spacing w:line="320" w:lineRule="exact"/>
                    <w:rPr>
                      <w:rFonts w:hint="default" w:eastAsia="宋体"/>
                      <w:b/>
                      <w:color w:val="FF0000"/>
                      <w:sz w:val="20"/>
                      <w:szCs w:val="20"/>
                      <w:lang w:val="en-US" w:eastAsia="zh-CN"/>
                    </w:rPr>
                  </w:pPr>
                  <w:r>
                    <w:rPr>
                      <w:rFonts w:hint="eastAsia"/>
                      <w:b/>
                      <w:color w:val="FF0000"/>
                      <w:sz w:val="20"/>
                      <w:szCs w:val="20"/>
                      <w:lang w:val="en-US" w:eastAsia="zh-CN"/>
                    </w:rPr>
                    <w:t>污染物名称</w:t>
                  </w:r>
                </w:p>
              </w:tc>
              <w:tc>
                <w:tcPr>
                  <w:tcW w:w="1198" w:type="pct"/>
                  <w:noWrap w:val="0"/>
                  <w:tcMar>
                    <w:left w:w="57" w:type="dxa"/>
                    <w:right w:w="57" w:type="dxa"/>
                  </w:tcMar>
                  <w:vAlign w:val="center"/>
                </w:tcPr>
                <w:p>
                  <w:pPr>
                    <w:pStyle w:val="180"/>
                    <w:spacing w:line="320" w:lineRule="exact"/>
                    <w:rPr>
                      <w:rFonts w:hint="default" w:eastAsia="宋体"/>
                      <w:b/>
                      <w:color w:val="FF0000"/>
                      <w:sz w:val="20"/>
                      <w:szCs w:val="20"/>
                      <w:lang w:val="en-US" w:eastAsia="zh-CN"/>
                    </w:rPr>
                  </w:pPr>
                  <w:r>
                    <w:rPr>
                      <w:rFonts w:hint="eastAsia"/>
                      <w:b/>
                      <w:color w:val="FF0000"/>
                      <w:sz w:val="20"/>
                      <w:szCs w:val="20"/>
                      <w:lang w:val="en-US" w:eastAsia="zh-CN"/>
                    </w:rPr>
                    <w:t>下风向最大质量浓度（mg/m</w:t>
                  </w:r>
                  <w:r>
                    <w:rPr>
                      <w:rFonts w:hint="eastAsia"/>
                      <w:b/>
                      <w:color w:val="FF0000"/>
                      <w:sz w:val="20"/>
                      <w:szCs w:val="20"/>
                      <w:vertAlign w:val="superscript"/>
                      <w:lang w:val="en-US" w:eastAsia="zh-CN"/>
                    </w:rPr>
                    <w:t>3</w:t>
                  </w:r>
                  <w:r>
                    <w:rPr>
                      <w:rFonts w:hint="eastAsia"/>
                      <w:b/>
                      <w:color w:val="FF0000"/>
                      <w:sz w:val="20"/>
                      <w:szCs w:val="20"/>
                      <w:lang w:val="en-US" w:eastAsia="zh-CN"/>
                    </w:rPr>
                    <w:t>）</w:t>
                  </w:r>
                </w:p>
              </w:tc>
              <w:tc>
                <w:tcPr>
                  <w:tcW w:w="1079" w:type="pct"/>
                  <w:noWrap w:val="0"/>
                  <w:tcMar>
                    <w:left w:w="57" w:type="dxa"/>
                    <w:right w:w="57" w:type="dxa"/>
                  </w:tcMar>
                  <w:vAlign w:val="center"/>
                </w:tcPr>
                <w:p>
                  <w:pPr>
                    <w:pStyle w:val="180"/>
                    <w:spacing w:line="320" w:lineRule="exact"/>
                    <w:rPr>
                      <w:rFonts w:hint="default" w:eastAsia="宋体"/>
                      <w:b/>
                      <w:color w:val="FF0000"/>
                      <w:sz w:val="20"/>
                      <w:szCs w:val="20"/>
                      <w:lang w:val="en-US" w:eastAsia="zh-CN"/>
                    </w:rPr>
                  </w:pPr>
                  <w:r>
                    <w:rPr>
                      <w:rFonts w:hint="eastAsia"/>
                      <w:b/>
                      <w:color w:val="FF0000"/>
                      <w:sz w:val="20"/>
                      <w:szCs w:val="20"/>
                      <w:lang w:val="en-US" w:eastAsia="zh-CN"/>
                    </w:rPr>
                    <w:t>下风向最大质量占标率（%）</w:t>
                  </w:r>
                </w:p>
              </w:tc>
              <w:tc>
                <w:tcPr>
                  <w:tcW w:w="1006" w:type="pct"/>
                  <w:noWrap w:val="0"/>
                  <w:tcMar>
                    <w:left w:w="57" w:type="dxa"/>
                    <w:right w:w="57" w:type="dxa"/>
                  </w:tcMar>
                  <w:vAlign w:val="center"/>
                </w:tcPr>
                <w:p>
                  <w:pPr>
                    <w:pStyle w:val="180"/>
                    <w:spacing w:line="320" w:lineRule="exact"/>
                    <w:rPr>
                      <w:rFonts w:hint="eastAsia" w:eastAsia="宋体"/>
                      <w:b/>
                      <w:color w:val="FF0000"/>
                      <w:sz w:val="20"/>
                      <w:szCs w:val="20"/>
                      <w:lang w:val="en-US" w:eastAsia="zh-CN"/>
                    </w:rPr>
                  </w:pPr>
                  <w:r>
                    <w:rPr>
                      <w:rFonts w:hint="eastAsia"/>
                      <w:b/>
                      <w:color w:val="FF0000"/>
                      <w:sz w:val="20"/>
                      <w:szCs w:val="20"/>
                      <w:lang w:val="en-US" w:eastAsia="zh-CN"/>
                    </w:rPr>
                    <w:t>嗅阈值（mg/m</w:t>
                  </w:r>
                  <w:r>
                    <w:rPr>
                      <w:rFonts w:hint="eastAsia"/>
                      <w:b/>
                      <w:color w:val="FF0000"/>
                      <w:sz w:val="20"/>
                      <w:szCs w:val="20"/>
                      <w:vertAlign w:val="superscript"/>
                      <w:lang w:val="en-US" w:eastAsia="zh-CN"/>
                    </w:rPr>
                    <w:t>3</w:t>
                  </w:r>
                  <w:r>
                    <w:rPr>
                      <w:rFonts w:hint="eastAsia"/>
                      <w:b/>
                      <w:color w:val="FF0000"/>
                      <w:sz w:val="20"/>
                      <w:szCs w:val="20"/>
                      <w:lang w:val="en-US" w:eastAsia="zh-CN"/>
                    </w:rPr>
                    <w:t>）</w:t>
                  </w:r>
                </w:p>
              </w:tc>
              <w:tc>
                <w:tcPr>
                  <w:tcW w:w="943" w:type="pct"/>
                  <w:noWrap w:val="0"/>
                  <w:tcMar>
                    <w:left w:w="57" w:type="dxa"/>
                    <w:right w:w="57" w:type="dxa"/>
                  </w:tcMar>
                  <w:vAlign w:val="center"/>
                </w:tcPr>
                <w:p>
                  <w:pPr>
                    <w:pStyle w:val="180"/>
                    <w:spacing w:line="320" w:lineRule="exact"/>
                    <w:rPr>
                      <w:rFonts w:hint="eastAsia" w:eastAsia="宋体"/>
                      <w:b/>
                      <w:color w:val="FF0000"/>
                      <w:sz w:val="20"/>
                      <w:szCs w:val="20"/>
                      <w:lang w:val="en-US" w:eastAsia="zh-CN"/>
                    </w:rPr>
                  </w:pPr>
                  <w:r>
                    <w:rPr>
                      <w:rFonts w:hint="eastAsia"/>
                      <w:b/>
                      <w:color w:val="FF0000"/>
                      <w:sz w:val="20"/>
                      <w:szCs w:val="20"/>
                      <w:lang w:val="en-US" w:eastAsia="zh-CN"/>
                    </w:rPr>
                    <w:t>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770" w:type="pct"/>
                  <w:noWrap w:val="0"/>
                  <w:tcMar>
                    <w:left w:w="57" w:type="dxa"/>
                    <w:right w:w="57" w:type="dxa"/>
                  </w:tcMar>
                  <w:vAlign w:val="center"/>
                </w:tcPr>
                <w:p>
                  <w:pPr>
                    <w:pStyle w:val="180"/>
                    <w:spacing w:line="320" w:lineRule="exact"/>
                    <w:rPr>
                      <w:rFonts w:hint="eastAsia" w:eastAsia="宋体"/>
                      <w:color w:val="FF0000"/>
                      <w:sz w:val="20"/>
                      <w:szCs w:val="20"/>
                      <w:lang w:eastAsia="zh-CN"/>
                    </w:rPr>
                  </w:pPr>
                  <w:r>
                    <w:rPr>
                      <w:rFonts w:hint="eastAsia"/>
                      <w:color w:val="FF0000"/>
                      <w:sz w:val="20"/>
                      <w:szCs w:val="20"/>
                      <w:lang w:val="en-US" w:eastAsia="zh-CN"/>
                    </w:rPr>
                    <w:t>氨</w:t>
                  </w:r>
                </w:p>
              </w:tc>
              <w:tc>
                <w:tcPr>
                  <w:tcW w:w="1198" w:type="pct"/>
                  <w:noWrap w:val="0"/>
                  <w:vAlign w:val="center"/>
                </w:tcPr>
                <w:p>
                  <w:pPr>
                    <w:pStyle w:val="180"/>
                    <w:spacing w:line="320" w:lineRule="exact"/>
                    <w:rPr>
                      <w:rFonts w:hint="default" w:eastAsia="宋体"/>
                      <w:color w:val="FF0000"/>
                      <w:sz w:val="20"/>
                      <w:szCs w:val="20"/>
                      <w:lang w:val="en-US" w:eastAsia="zh-CN"/>
                    </w:rPr>
                  </w:pPr>
                  <w:r>
                    <w:rPr>
                      <w:rFonts w:hint="eastAsia"/>
                      <w:color w:val="FF0000"/>
                      <w:sz w:val="20"/>
                      <w:szCs w:val="20"/>
                      <w:lang w:val="en-US" w:eastAsia="zh-CN"/>
                    </w:rPr>
                    <w:t>1.545×10</w:t>
                  </w:r>
                  <w:r>
                    <w:rPr>
                      <w:rFonts w:hint="eastAsia"/>
                      <w:color w:val="FF0000"/>
                      <w:sz w:val="20"/>
                      <w:szCs w:val="20"/>
                      <w:vertAlign w:val="superscript"/>
                      <w:lang w:val="en-US" w:eastAsia="zh-CN"/>
                    </w:rPr>
                    <w:t>-4</w:t>
                  </w:r>
                </w:p>
              </w:tc>
              <w:tc>
                <w:tcPr>
                  <w:tcW w:w="1079" w:type="pct"/>
                  <w:noWrap w:val="0"/>
                  <w:tcMar>
                    <w:left w:w="57" w:type="dxa"/>
                    <w:right w:w="57" w:type="dxa"/>
                  </w:tcMar>
                  <w:vAlign w:val="center"/>
                </w:tcPr>
                <w:p>
                  <w:pPr>
                    <w:spacing w:line="320" w:lineRule="exact"/>
                    <w:jc w:val="center"/>
                    <w:rPr>
                      <w:rFonts w:hint="default" w:eastAsia="宋体"/>
                      <w:color w:val="FF0000"/>
                      <w:sz w:val="20"/>
                      <w:szCs w:val="20"/>
                      <w:lang w:val="en-US" w:eastAsia="zh-CN"/>
                    </w:rPr>
                  </w:pPr>
                  <w:r>
                    <w:rPr>
                      <w:rFonts w:hint="eastAsia"/>
                      <w:color w:val="FF0000"/>
                      <w:sz w:val="20"/>
                      <w:szCs w:val="20"/>
                      <w:lang w:val="en-US" w:eastAsia="zh-CN"/>
                    </w:rPr>
                    <w:t>0.0773</w:t>
                  </w:r>
                </w:p>
              </w:tc>
              <w:tc>
                <w:tcPr>
                  <w:tcW w:w="1006" w:type="pct"/>
                  <w:noWrap w:val="0"/>
                  <w:tcMar>
                    <w:left w:w="57" w:type="dxa"/>
                    <w:right w:w="57" w:type="dxa"/>
                  </w:tcMar>
                  <w:vAlign w:val="center"/>
                </w:tcPr>
                <w:p>
                  <w:pPr>
                    <w:spacing w:line="320" w:lineRule="exact"/>
                    <w:jc w:val="center"/>
                    <w:rPr>
                      <w:rFonts w:hint="default" w:eastAsia="宋体"/>
                      <w:color w:val="FF0000"/>
                      <w:sz w:val="20"/>
                      <w:szCs w:val="20"/>
                      <w:lang w:val="en-US" w:eastAsia="zh-CN"/>
                    </w:rPr>
                  </w:pPr>
                  <w:r>
                    <w:rPr>
                      <w:rFonts w:hint="eastAsia"/>
                      <w:color w:val="FF0000"/>
                      <w:sz w:val="20"/>
                      <w:szCs w:val="20"/>
                      <w:lang w:val="en-US" w:eastAsia="zh-CN"/>
                    </w:rPr>
                    <w:t>0.5</w:t>
                  </w:r>
                </w:p>
              </w:tc>
              <w:tc>
                <w:tcPr>
                  <w:tcW w:w="943" w:type="pct"/>
                  <w:noWrap w:val="0"/>
                  <w:tcMar>
                    <w:left w:w="57" w:type="dxa"/>
                    <w:right w:w="57" w:type="dxa"/>
                  </w:tcMar>
                  <w:vAlign w:val="center"/>
                </w:tcPr>
                <w:p>
                  <w:pPr>
                    <w:spacing w:line="320" w:lineRule="exact"/>
                    <w:jc w:val="center"/>
                    <w:rPr>
                      <w:rFonts w:hint="default" w:eastAsia="宋体"/>
                      <w:color w:val="FF0000"/>
                      <w:sz w:val="20"/>
                      <w:szCs w:val="20"/>
                      <w:lang w:val="en-US" w:eastAsia="zh-CN"/>
                    </w:rPr>
                  </w:pPr>
                  <w:r>
                    <w:rPr>
                      <w:rFonts w:hint="eastAsia"/>
                      <w:color w:val="FF0000"/>
                      <w:sz w:val="20"/>
                      <w:szCs w:val="20"/>
                      <w:lang w:val="en-US" w:eastAsia="zh-CN"/>
                    </w:rPr>
                    <w:t>未达到嗅阈值</w:t>
                  </w:r>
                </w:p>
              </w:tc>
            </w:tr>
          </w:tbl>
          <w:p>
            <w:pPr>
              <w:autoSpaceDE w:val="0"/>
              <w:autoSpaceDN w:val="0"/>
              <w:adjustRightInd w:val="0"/>
              <w:snapToGrid w:val="0"/>
              <w:spacing w:line="400" w:lineRule="exact"/>
              <w:ind w:firstLine="420" w:firstLineChars="200"/>
              <w:rPr>
                <w:rFonts w:ascii="Times New Roman" w:hAnsi="Times New Roman" w:eastAsia="宋体" w:cs="Times New Roman"/>
                <w:color w:val="auto"/>
                <w:kern w:val="0"/>
                <w:szCs w:val="21"/>
              </w:rPr>
            </w:pPr>
            <w:r>
              <w:rPr>
                <w:rFonts w:hint="eastAsia" w:cs="Times New Roman"/>
                <w:color w:val="auto"/>
                <w:kern w:val="0"/>
                <w:szCs w:val="21"/>
                <w:lang w:val="en-US" w:eastAsia="zh-CN"/>
              </w:rPr>
              <w:t>根据</w:t>
            </w:r>
            <w:r>
              <w:rPr>
                <w:rFonts w:hint="eastAsia" w:ascii="Times New Roman" w:hAnsi="Times New Roman" w:eastAsia="宋体" w:cs="Times New Roman"/>
                <w:color w:val="auto"/>
                <w:kern w:val="0"/>
                <w:szCs w:val="21"/>
              </w:rPr>
              <w:t>美国纳德提出将臭气感觉强度从“无气味”到“臭气强度极强”分为五级，</w:t>
            </w:r>
            <w:r>
              <w:rPr>
                <w:rFonts w:ascii="Times New Roman" w:hAnsi="Times New Roman" w:eastAsia="宋体" w:cs="Times New Roman"/>
                <w:color w:val="auto"/>
                <w:kern w:val="0"/>
                <w:szCs w:val="21"/>
              </w:rPr>
              <w:t>一般在车间下风向20m范围内有较强的异味（强度约3~4类），在20m~50m范围内很容易感觉到气味的存在（轻度约2~3类），在50~100m处气味就很弱（强度约1~2类），在100m外基本闻不到气味。随着距离的增加，气味浓度会迅速下降，南通地区春夏以东南风为主，冬季以西北风居多，项目厂界下风向周边敏感点距离项目生产车间</w:t>
            </w:r>
            <w:r>
              <w:rPr>
                <w:rFonts w:hint="eastAsia" w:cs="Times New Roman"/>
                <w:color w:val="auto"/>
                <w:kern w:val="0"/>
                <w:szCs w:val="21"/>
                <w:lang w:val="en-US" w:eastAsia="zh-CN"/>
              </w:rPr>
              <w:t>为112m</w:t>
            </w:r>
            <w:r>
              <w:rPr>
                <w:rFonts w:ascii="Times New Roman" w:hAnsi="Times New Roman" w:eastAsia="宋体" w:cs="Times New Roman"/>
                <w:color w:val="auto"/>
                <w:kern w:val="0"/>
                <w:szCs w:val="21"/>
              </w:rPr>
              <w:t>，臭气强度为1~2类，对周边环境影响较小，项目产生的</w:t>
            </w:r>
            <w:r>
              <w:rPr>
                <w:rFonts w:hint="eastAsia" w:cs="Times New Roman"/>
                <w:color w:val="auto"/>
                <w:kern w:val="0"/>
                <w:szCs w:val="21"/>
                <w:lang w:val="en-US" w:eastAsia="zh-CN"/>
              </w:rPr>
              <w:t>氨气</w:t>
            </w:r>
            <w:r>
              <w:rPr>
                <w:rFonts w:hint="eastAsia" w:ascii="Times New Roman" w:hAnsi="Times New Roman" w:eastAsia="宋体" w:cs="Times New Roman"/>
                <w:color w:val="auto"/>
                <w:kern w:val="0"/>
                <w:szCs w:val="21"/>
                <w:lang w:val="en-US" w:eastAsia="zh-CN"/>
              </w:rPr>
              <w:t>仅</w:t>
            </w:r>
            <w:r>
              <w:rPr>
                <w:rFonts w:hint="eastAsia" w:cs="Times New Roman"/>
                <w:color w:val="auto"/>
                <w:kern w:val="0"/>
                <w:szCs w:val="21"/>
                <w:lang w:val="en-US" w:eastAsia="zh-CN"/>
              </w:rPr>
              <w:t>3ppm</w:t>
            </w:r>
            <w:r>
              <w:rPr>
                <w:rFonts w:ascii="Times New Roman" w:hAnsi="Times New Roman" w:eastAsia="宋体" w:cs="Times New Roman"/>
                <w:color w:val="auto"/>
                <w:kern w:val="0"/>
                <w:szCs w:val="21"/>
              </w:rPr>
              <w:t>，臭气强度为0~1类，对周边大气环境影响可接受。</w:t>
            </w:r>
          </w:p>
          <w:p>
            <w:pPr>
              <w:autoSpaceDE w:val="0"/>
              <w:autoSpaceDN w:val="0"/>
              <w:adjustRightInd w:val="0"/>
              <w:snapToGrid w:val="0"/>
              <w:spacing w:line="400" w:lineRule="exact"/>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考虑人体对异味的敏感程度各不相同，对于一些敏感受体，即使气味污染物浓度未超出嗅阈值，仍可被感知。因此，企业应加强异味气体的污染防治措施，降低无组织排放量和非正常排放的概率，避免异味污染。</w:t>
            </w:r>
          </w:p>
          <w:p>
            <w:pPr>
              <w:autoSpaceDE w:val="0"/>
              <w:autoSpaceDN w:val="0"/>
              <w:adjustRightInd w:val="0"/>
              <w:snapToGrid w:val="0"/>
              <w:spacing w:line="400" w:lineRule="exact"/>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建议项目在生产时，采取以下措施以杜绝恶臭气体和异味对周围环境的不良影响：</w:t>
            </w:r>
          </w:p>
          <w:p>
            <w:pPr>
              <w:autoSpaceDE w:val="0"/>
              <w:autoSpaceDN w:val="0"/>
              <w:adjustRightInd w:val="0"/>
              <w:snapToGrid w:val="0"/>
              <w:spacing w:line="400" w:lineRule="exact"/>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①</w:t>
            </w:r>
            <w:r>
              <w:rPr>
                <w:rFonts w:ascii="Times New Roman" w:hAnsi="Times New Roman" w:eastAsia="宋体" w:cs="Times New Roman"/>
                <w:color w:val="auto"/>
                <w:kern w:val="0"/>
                <w:szCs w:val="21"/>
              </w:rPr>
              <w:t>生产时，应加强环保管理，确保废气治理措施相关的风机、吸附塔等的正常运行，最大程度减少非正常排放；</w:t>
            </w:r>
          </w:p>
          <w:p>
            <w:pPr>
              <w:autoSpaceDE w:val="0"/>
              <w:autoSpaceDN w:val="0"/>
              <w:adjustRightInd w:val="0"/>
              <w:snapToGrid w:val="0"/>
              <w:spacing w:line="400" w:lineRule="exact"/>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②</w:t>
            </w:r>
            <w:r>
              <w:rPr>
                <w:rFonts w:ascii="Times New Roman" w:hAnsi="Times New Roman" w:eastAsia="宋体" w:cs="Times New Roman"/>
                <w:color w:val="auto"/>
                <w:kern w:val="0"/>
                <w:szCs w:val="21"/>
              </w:rPr>
              <w:t>在车间周围种植树木，加强绿化，以减轻异味对周围的环境污染。</w:t>
            </w:r>
          </w:p>
          <w:p>
            <w:pPr>
              <w:autoSpaceDE w:val="0"/>
              <w:autoSpaceDN w:val="0"/>
              <w:adjustRightInd w:val="0"/>
              <w:snapToGrid w:val="0"/>
              <w:spacing w:line="400" w:lineRule="exact"/>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通过采取以上措施后，可将异味的影响降低到最低程度，不会对周边敏感目产生不良影响。</w:t>
            </w:r>
          </w:p>
          <w:p>
            <w:pPr>
              <w:numPr>
                <w:ilvl w:val="0"/>
                <w:numId w:val="0"/>
              </w:numPr>
              <w:autoSpaceDE w:val="0"/>
              <w:autoSpaceDN w:val="0"/>
              <w:adjustRightInd w:val="0"/>
              <w:snapToGrid w:val="0"/>
              <w:spacing w:line="400" w:lineRule="exact"/>
              <w:ind w:leftChars="200"/>
              <w:jc w:val="left"/>
              <w:rPr>
                <w:rFonts w:hint="eastAsia"/>
                <w:b/>
                <w:bCs/>
                <w:color w:val="auto"/>
                <w:kern w:val="0"/>
                <w:szCs w:val="21"/>
                <w:lang w:val="en-US" w:eastAsia="zh-CN"/>
              </w:rPr>
            </w:pPr>
            <w:r>
              <w:rPr>
                <w:rFonts w:hint="eastAsia"/>
                <w:b/>
                <w:bCs/>
                <w:color w:val="auto"/>
                <w:kern w:val="0"/>
                <w:szCs w:val="21"/>
                <w:lang w:val="en-US" w:eastAsia="zh-CN"/>
              </w:rPr>
              <w:t>（5）汞对人体健康分析</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汞对人体健康的危害主要集中在神经系统、肾脏、消化系统、呼吸系统及发育毒性等方面‌，其毒性作用与汞的化学形态（如金属汞、无机汞、有机汞）、暴露途径（吸入、摄入、皮肤接触）以及暴露时间长短密切相关</w:t>
            </w:r>
            <w:r>
              <w:rPr>
                <w:rFonts w:hint="eastAsia" w:ascii="Times New Roman" w:hAnsi="Times New Roman" w:eastAsia="宋体" w:cs="Times New Roman"/>
                <w:color w:val="auto"/>
                <w:kern w:val="0"/>
                <w:szCs w:val="21"/>
                <w:lang w:val="en-US" w:eastAsia="zh-CN"/>
              </w:rPr>
              <w:t>。</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根据《环境空气质量标准》（GB3095-2026），‌空气汞的最大允许浓度为0.05微克/立方米</w:t>
            </w:r>
            <w:r>
              <w:rPr>
                <w:rFonts w:hint="eastAsia" w:ascii="Times New Roman" w:hAnsi="Times New Roman" w:eastAsia="宋体" w:cs="Times New Roman"/>
                <w:color w:val="auto"/>
                <w:kern w:val="0"/>
                <w:szCs w:val="21"/>
                <w:lang w:val="en-US" w:eastAsia="zh-CN"/>
              </w:rPr>
              <w:t>，</w:t>
            </w:r>
            <w:r>
              <w:rPr>
                <w:rFonts w:hint="default" w:ascii="Times New Roman" w:hAnsi="Times New Roman" w:eastAsia="宋体" w:cs="Times New Roman"/>
                <w:color w:val="auto"/>
                <w:kern w:val="0"/>
                <w:szCs w:val="21"/>
                <w:lang w:val="en-US" w:eastAsia="zh-CN"/>
              </w:rPr>
              <w:t>而燃煤电厂等工业源排放标准为‌0.03mg/m</w:t>
            </w:r>
            <w:r>
              <w:rPr>
                <w:rFonts w:hint="eastAsia" w:ascii="Times New Roman" w:hAnsi="Times New Roman" w:eastAsia="宋体" w:cs="Times New Roman"/>
                <w:color w:val="auto"/>
                <w:kern w:val="0"/>
                <w:szCs w:val="21"/>
                <w:vertAlign w:val="superscript"/>
                <w:lang w:val="en-US" w:eastAsia="zh-CN"/>
              </w:rPr>
              <w:t>3</w:t>
            </w:r>
            <w:r>
              <w:rPr>
                <w:rFonts w:hint="default" w:ascii="Times New Roman" w:hAnsi="Times New Roman" w:eastAsia="宋体" w:cs="Times New Roman"/>
                <w:color w:val="auto"/>
                <w:kern w:val="0"/>
                <w:szCs w:val="21"/>
                <w:lang w:val="en-US" w:eastAsia="zh-CN"/>
              </w:rPr>
              <w:t>（即30微克/立方米）</w:t>
            </w:r>
            <w:r>
              <w:rPr>
                <w:rFonts w:hint="eastAsia" w:ascii="Times New Roman" w:hAnsi="Times New Roman" w:eastAsia="宋体" w:cs="Times New Roman"/>
                <w:color w:val="auto"/>
                <w:kern w:val="0"/>
                <w:szCs w:val="21"/>
                <w:lang w:val="en-US" w:eastAsia="zh-CN"/>
              </w:rPr>
              <w:t>，工作场所空气中汞的时间加权平均容许浓度为‌0.02mg/m</w:t>
            </w:r>
            <w:r>
              <w:rPr>
                <w:rFonts w:hint="eastAsia" w:ascii="Times New Roman" w:hAnsi="Times New Roman" w:eastAsia="宋体" w:cs="Times New Roman"/>
                <w:color w:val="auto"/>
                <w:kern w:val="0"/>
                <w:szCs w:val="21"/>
                <w:vertAlign w:val="superscript"/>
                <w:lang w:val="en-US" w:eastAsia="zh-CN"/>
              </w:rPr>
              <w:t>3</w:t>
            </w:r>
            <w:r>
              <w:rPr>
                <w:rFonts w:hint="eastAsia" w:ascii="Times New Roman" w:hAnsi="Times New Roman" w:eastAsia="宋体" w:cs="Times New Roman"/>
                <w:color w:val="auto"/>
                <w:kern w:val="0"/>
                <w:szCs w:val="21"/>
                <w:lang w:val="en-US" w:eastAsia="zh-CN"/>
              </w:rPr>
              <w:t>‌（约20微克/立方米），超过即需采取防护措施。</w:t>
            </w:r>
            <w:r>
              <w:rPr>
                <w:rFonts w:hint="default" w:ascii="Times New Roman" w:hAnsi="Times New Roman" w:eastAsia="宋体" w:cs="Times New Roman"/>
                <w:color w:val="auto"/>
                <w:kern w:val="0"/>
                <w:szCs w:val="21"/>
                <w:lang w:val="en-US" w:eastAsia="zh-CN"/>
              </w:rPr>
              <w:t>‌</w:t>
            </w:r>
          </w:p>
          <w:p>
            <w:pPr>
              <w:autoSpaceDE w:val="0"/>
              <w:autoSpaceDN w:val="0"/>
              <w:adjustRightInd w:val="0"/>
              <w:snapToGrid w:val="0"/>
              <w:spacing w:line="400" w:lineRule="exact"/>
              <w:ind w:firstLine="420" w:firstLineChars="200"/>
              <w:rPr>
                <w:rFonts w:hint="default"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本项目汞排放浓度为16微克/立方米，</w:t>
            </w:r>
            <w:r>
              <w:rPr>
                <w:rFonts w:hint="default" w:ascii="Times New Roman" w:hAnsi="Times New Roman" w:eastAsia="宋体" w:cs="Times New Roman"/>
                <w:color w:val="auto"/>
                <w:kern w:val="0"/>
                <w:szCs w:val="21"/>
                <w:lang w:val="en-US" w:eastAsia="zh-CN"/>
              </w:rPr>
              <w:t>暴露途径下健康风险控制在可接受风险概率水平</w:t>
            </w:r>
            <w:r>
              <w:rPr>
                <w:rFonts w:hint="eastAsia" w:ascii="Times New Roman" w:hAnsi="Times New Roman" w:eastAsia="宋体" w:cs="Times New Roman"/>
                <w:color w:val="auto"/>
                <w:kern w:val="0"/>
                <w:szCs w:val="21"/>
                <w:lang w:val="en-US" w:eastAsia="zh-CN"/>
              </w:rPr>
              <w:t>。</w:t>
            </w:r>
          </w:p>
          <w:p>
            <w:pPr>
              <w:autoSpaceDE w:val="0"/>
              <w:autoSpaceDN w:val="0"/>
              <w:adjustRightInd w:val="0"/>
              <w:snapToGrid w:val="0"/>
              <w:spacing w:line="400" w:lineRule="exact"/>
              <w:ind w:firstLine="422" w:firstLineChars="200"/>
              <w:jc w:val="left"/>
              <w:rPr>
                <w:rFonts w:hint="default"/>
                <w:b/>
                <w:bCs/>
                <w:color w:val="auto"/>
                <w:kern w:val="0"/>
                <w:szCs w:val="21"/>
                <w:lang w:val="en-US" w:eastAsia="zh-CN"/>
              </w:rPr>
            </w:pPr>
            <w:r>
              <w:rPr>
                <w:rFonts w:hint="eastAsia"/>
                <w:b/>
                <w:bCs/>
                <w:color w:val="auto"/>
                <w:kern w:val="0"/>
                <w:szCs w:val="21"/>
                <w:lang w:eastAsia="zh-CN"/>
              </w:rPr>
              <w:t>（</w:t>
            </w:r>
            <w:r>
              <w:rPr>
                <w:rFonts w:hint="eastAsia"/>
                <w:b/>
                <w:bCs/>
                <w:color w:val="auto"/>
                <w:kern w:val="0"/>
                <w:szCs w:val="21"/>
                <w:lang w:val="en-US" w:eastAsia="zh-CN"/>
              </w:rPr>
              <w:t>6</w:t>
            </w:r>
            <w:r>
              <w:rPr>
                <w:rFonts w:hint="eastAsia"/>
                <w:b/>
                <w:bCs/>
                <w:color w:val="auto"/>
                <w:kern w:val="0"/>
                <w:szCs w:val="21"/>
                <w:lang w:eastAsia="zh-CN"/>
              </w:rPr>
              <w:t>）</w:t>
            </w:r>
            <w:r>
              <w:rPr>
                <w:rFonts w:hint="eastAsia"/>
                <w:b/>
                <w:bCs/>
                <w:color w:val="auto"/>
                <w:kern w:val="0"/>
                <w:szCs w:val="21"/>
                <w:lang w:val="en-US" w:eastAsia="zh-CN"/>
              </w:rPr>
              <w:t>卫生防护距离</w:t>
            </w:r>
          </w:p>
          <w:p>
            <w:pPr>
              <w:autoSpaceDE w:val="0"/>
              <w:autoSpaceDN w:val="0"/>
              <w:adjustRightInd w:val="0"/>
              <w:snapToGrid w:val="0"/>
              <w:spacing w:line="400" w:lineRule="exact"/>
              <w:ind w:firstLine="420" w:firstLineChars="200"/>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根据《大气有害物质物质无组织排放卫生防护距离推导技术导则》（GB/T39499-2020），核算卫生防护距离。卫生防护距离初值计算公式如下：</w:t>
            </w:r>
          </w:p>
          <w:p>
            <w:pPr>
              <w:spacing w:line="360" w:lineRule="auto"/>
              <w:ind w:firstLine="420"/>
              <w:jc w:val="center"/>
              <w:rPr>
                <w:color w:val="000000"/>
              </w:rPr>
            </w:pPr>
            <w:r>
              <w:rPr>
                <w:color w:val="000000"/>
                <w:position w:val="-30"/>
              </w:rPr>
              <w:drawing>
                <wp:inline distT="0" distB="0" distL="114300" distR="114300">
                  <wp:extent cx="1828800" cy="457200"/>
                  <wp:effectExtent l="0" t="0" r="0"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40"/>
                          <a:stretch>
                            <a:fillRect/>
                          </a:stretch>
                        </pic:blipFill>
                        <pic:spPr>
                          <a:xfrm>
                            <a:off x="0" y="0"/>
                            <a:ext cx="1828800" cy="457200"/>
                          </a:xfrm>
                          <a:prstGeom prst="rect">
                            <a:avLst/>
                          </a:prstGeom>
                          <a:noFill/>
                          <a:ln>
                            <a:noFill/>
                          </a:ln>
                        </pic:spPr>
                      </pic:pic>
                    </a:graphicData>
                  </a:graphic>
                </wp:inline>
              </w:drawing>
            </w:r>
          </w:p>
          <w:p>
            <w:pPr>
              <w:spacing w:line="360" w:lineRule="auto"/>
              <w:ind w:firstLine="420"/>
              <w:rPr>
                <w:color w:val="000000"/>
              </w:rPr>
            </w:pPr>
            <w:r>
              <w:rPr>
                <w:color w:val="000000"/>
              </w:rPr>
              <w:t>式中：</w:t>
            </w:r>
          </w:p>
          <w:p>
            <w:pPr>
              <w:spacing w:line="360" w:lineRule="auto"/>
              <w:ind w:firstLine="420"/>
              <w:rPr>
                <w:color w:val="000000"/>
              </w:rPr>
            </w:pPr>
            <w:r>
              <w:rPr>
                <w:color w:val="000000"/>
              </w:rPr>
              <w:t>Cm—为环境一次浓度标准限值，mg/m</w:t>
            </w:r>
            <w:r>
              <w:rPr>
                <w:color w:val="000000"/>
                <w:vertAlign w:val="superscript"/>
              </w:rPr>
              <w:t>3</w:t>
            </w:r>
            <w:r>
              <w:rPr>
                <w:color w:val="000000"/>
              </w:rPr>
              <w:t>；</w:t>
            </w:r>
          </w:p>
          <w:p>
            <w:pPr>
              <w:spacing w:line="360" w:lineRule="auto"/>
              <w:ind w:firstLine="420"/>
              <w:rPr>
                <w:color w:val="000000"/>
              </w:rPr>
            </w:pPr>
            <w:r>
              <w:rPr>
                <w:color w:val="000000"/>
              </w:rPr>
              <w:t>L—大气有害物质卫生防护距离初值，m；</w:t>
            </w:r>
          </w:p>
          <w:p>
            <w:pPr>
              <w:spacing w:line="360" w:lineRule="auto"/>
              <w:ind w:firstLine="420"/>
              <w:rPr>
                <w:color w:val="000000"/>
              </w:rPr>
            </w:pPr>
            <w:r>
              <w:rPr>
                <w:color w:val="000000"/>
              </w:rPr>
              <w:t>Qc—有害气体无组织排放量可以达到的控制水平（kg/h）；</w:t>
            </w:r>
          </w:p>
          <w:p>
            <w:pPr>
              <w:spacing w:line="360" w:lineRule="auto"/>
              <w:ind w:firstLine="420"/>
              <w:rPr>
                <w:color w:val="000000"/>
              </w:rPr>
            </w:pPr>
            <w:r>
              <w:rPr>
                <w:color w:val="000000"/>
              </w:rPr>
              <w:t>r—大气有害物质无组织排放源所在生产单元的等效半径，m，可按生产单元占地面积S换算，r=(S/π)1/2；</w:t>
            </w:r>
          </w:p>
          <w:p>
            <w:pPr>
              <w:spacing w:line="360" w:lineRule="auto"/>
              <w:ind w:firstLine="420"/>
              <w:rPr>
                <w:color w:val="000000"/>
              </w:rPr>
            </w:pPr>
            <w:r>
              <w:rPr>
                <w:color w:val="000000"/>
              </w:rPr>
              <w:t>A、B、C、D—卫生防护距离初值计算系数，无因次，根据工业企业所在地区近5年平均风速及大气污染源构成类别从系数表中查取。</w:t>
            </w:r>
          </w:p>
          <w:p>
            <w:pPr>
              <w:spacing w:line="360" w:lineRule="auto"/>
              <w:ind w:firstLine="420"/>
              <w:rPr>
                <w:color w:val="000000"/>
              </w:rPr>
            </w:pPr>
            <w:r>
              <w:rPr>
                <w:color w:val="000000"/>
              </w:rPr>
              <w:t>无组织排放多种有害气体时，按Qc/Cm的最大值计算其所需的卫生防护距离。卫生防护距离在100m内时，级差为50m；超过100m，但小于1000m时，级差为100m。当按两种或两种以上有害气体的Qc/Cm计算卫生防护距离在同一级别时，该类工业企业的卫生防护距离提高一级。</w:t>
            </w:r>
          </w:p>
          <w:p>
            <w:pPr>
              <w:spacing w:line="360" w:lineRule="auto"/>
              <w:ind w:firstLine="420"/>
              <w:rPr>
                <w:b/>
                <w:color w:val="000000"/>
              </w:rPr>
            </w:pPr>
            <w:r>
              <w:rPr>
                <w:color w:val="000000"/>
              </w:rPr>
              <w:t>本项目大气卫生防护距离计算参数见表4-</w:t>
            </w:r>
            <w:r>
              <w:rPr>
                <w:rFonts w:hint="eastAsia"/>
                <w:color w:val="000000"/>
                <w:lang w:val="en-US" w:eastAsia="zh-CN"/>
              </w:rPr>
              <w:t>13</w:t>
            </w:r>
            <w:r>
              <w:rPr>
                <w:color w:val="000000"/>
              </w:rPr>
              <w:t>。</w:t>
            </w:r>
          </w:p>
          <w:p>
            <w:pPr>
              <w:spacing w:line="360" w:lineRule="auto"/>
              <w:jc w:val="center"/>
              <w:rPr>
                <w:b/>
                <w:color w:val="000000"/>
              </w:rPr>
            </w:pPr>
            <w:r>
              <w:rPr>
                <w:b/>
                <w:color w:val="000000"/>
              </w:rPr>
              <w:t>表4-</w:t>
            </w:r>
            <w:r>
              <w:rPr>
                <w:rFonts w:hint="eastAsia"/>
                <w:b/>
                <w:color w:val="000000"/>
                <w:lang w:val="en-US" w:eastAsia="zh-CN"/>
              </w:rPr>
              <w:t>13</w:t>
            </w:r>
            <w:r>
              <w:rPr>
                <w:b/>
                <w:color w:val="000000"/>
              </w:rPr>
              <w:t xml:space="preserve"> </w:t>
            </w:r>
            <w:r>
              <w:rPr>
                <w:rFonts w:hint="eastAsia"/>
                <w:b/>
                <w:color w:val="000000"/>
                <w:lang w:val="en-US" w:eastAsia="zh-CN"/>
              </w:rPr>
              <w:t xml:space="preserve"> </w:t>
            </w:r>
            <w:r>
              <w:rPr>
                <w:b/>
                <w:color w:val="000000"/>
              </w:rPr>
              <w:t>卫生防护距离计算系数</w:t>
            </w:r>
          </w:p>
          <w:tbl>
            <w:tblPr>
              <w:tblStyle w:val="90"/>
              <w:tblW w:w="506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3"/>
              <w:gridCol w:w="1435"/>
              <w:gridCol w:w="654"/>
              <w:gridCol w:w="656"/>
              <w:gridCol w:w="664"/>
              <w:gridCol w:w="649"/>
              <w:gridCol w:w="649"/>
              <w:gridCol w:w="654"/>
              <w:gridCol w:w="649"/>
              <w:gridCol w:w="652"/>
              <w:gridCol w:w="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pPr>
                    <w:spacing w:line="240" w:lineRule="auto"/>
                    <w:ind w:firstLine="0" w:firstLineChars="0"/>
                    <w:jc w:val="center"/>
                    <w:rPr>
                      <w:b/>
                      <w:bCs/>
                      <w:color w:val="000000"/>
                      <w:sz w:val="20"/>
                      <w:szCs w:val="20"/>
                    </w:rPr>
                  </w:pPr>
                  <w:r>
                    <w:rPr>
                      <w:b/>
                      <w:bCs/>
                      <w:color w:val="000000"/>
                      <w:sz w:val="20"/>
                      <w:szCs w:val="20"/>
                    </w:rPr>
                    <w:t>计算系数</w:t>
                  </w:r>
                </w:p>
              </w:tc>
              <w:tc>
                <w:tcPr>
                  <w:tcW w:w="842" w:type="pct"/>
                  <w:vMerge w:val="restart"/>
                  <w:noWrap w:val="0"/>
                  <w:vAlign w:val="center"/>
                </w:tcPr>
                <w:p>
                  <w:pPr>
                    <w:spacing w:line="240" w:lineRule="auto"/>
                    <w:ind w:firstLine="0" w:firstLineChars="0"/>
                    <w:jc w:val="center"/>
                    <w:rPr>
                      <w:b/>
                      <w:bCs/>
                      <w:color w:val="000000"/>
                      <w:sz w:val="20"/>
                      <w:szCs w:val="20"/>
                    </w:rPr>
                  </w:pPr>
                  <w:r>
                    <w:rPr>
                      <w:b/>
                      <w:bCs/>
                      <w:color w:val="000000"/>
                      <w:sz w:val="20"/>
                      <w:szCs w:val="20"/>
                    </w:rPr>
                    <w:t>5年平均风速，m/s</w:t>
                  </w:r>
                </w:p>
              </w:tc>
              <w:tc>
                <w:tcPr>
                  <w:tcW w:w="3435" w:type="pct"/>
                  <w:gridSpan w:val="9"/>
                  <w:noWrap w:val="0"/>
                  <w:vAlign w:val="center"/>
                </w:tcPr>
                <w:p>
                  <w:pPr>
                    <w:spacing w:line="240" w:lineRule="auto"/>
                    <w:ind w:firstLine="0" w:firstLineChars="0"/>
                    <w:jc w:val="center"/>
                    <w:rPr>
                      <w:b/>
                      <w:bCs/>
                      <w:color w:val="000000"/>
                      <w:sz w:val="20"/>
                      <w:szCs w:val="20"/>
                    </w:rPr>
                  </w:pPr>
                  <w:r>
                    <w:rPr>
                      <w:b/>
                      <w:bCs/>
                      <w:color w:val="000000"/>
                      <w:sz w:val="20"/>
                      <w:szCs w:val="20"/>
                    </w:rPr>
                    <w:t>卫生防护距离L（m）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pPr>
                    <w:spacing w:line="240" w:lineRule="auto"/>
                    <w:ind w:firstLine="0" w:firstLineChars="0"/>
                    <w:jc w:val="center"/>
                    <w:rPr>
                      <w:b/>
                      <w:bCs/>
                      <w:color w:val="000000"/>
                      <w:sz w:val="20"/>
                      <w:szCs w:val="20"/>
                    </w:rPr>
                  </w:pPr>
                </w:p>
              </w:tc>
              <w:tc>
                <w:tcPr>
                  <w:tcW w:w="842" w:type="pct"/>
                  <w:vMerge w:val="continue"/>
                  <w:noWrap w:val="0"/>
                  <w:vAlign w:val="center"/>
                </w:tcPr>
                <w:p>
                  <w:pPr>
                    <w:spacing w:line="240" w:lineRule="auto"/>
                    <w:ind w:firstLine="0" w:firstLineChars="0"/>
                    <w:jc w:val="center"/>
                    <w:rPr>
                      <w:b/>
                      <w:bCs/>
                      <w:color w:val="000000"/>
                      <w:sz w:val="20"/>
                      <w:szCs w:val="20"/>
                    </w:rPr>
                  </w:pPr>
                </w:p>
              </w:tc>
              <w:tc>
                <w:tcPr>
                  <w:tcW w:w="1159" w:type="pct"/>
                  <w:gridSpan w:val="3"/>
                  <w:noWrap w:val="0"/>
                  <w:vAlign w:val="center"/>
                </w:tcPr>
                <w:p>
                  <w:pPr>
                    <w:spacing w:line="240" w:lineRule="auto"/>
                    <w:ind w:firstLine="0" w:firstLineChars="0"/>
                    <w:jc w:val="center"/>
                    <w:rPr>
                      <w:color w:val="000000"/>
                      <w:sz w:val="20"/>
                      <w:szCs w:val="20"/>
                    </w:rPr>
                  </w:pPr>
                  <w:r>
                    <w:rPr>
                      <w:color w:val="000000"/>
                      <w:sz w:val="20"/>
                      <w:szCs w:val="20"/>
                    </w:rPr>
                    <w:t>L≤1000</w:t>
                  </w:r>
                </w:p>
              </w:tc>
              <w:tc>
                <w:tcPr>
                  <w:tcW w:w="1145" w:type="pct"/>
                  <w:gridSpan w:val="3"/>
                  <w:noWrap w:val="0"/>
                  <w:vAlign w:val="center"/>
                </w:tcPr>
                <w:p>
                  <w:pPr>
                    <w:spacing w:line="240" w:lineRule="auto"/>
                    <w:ind w:firstLine="0" w:firstLineChars="0"/>
                    <w:jc w:val="center"/>
                    <w:rPr>
                      <w:color w:val="000000"/>
                      <w:sz w:val="20"/>
                      <w:szCs w:val="20"/>
                    </w:rPr>
                  </w:pPr>
                  <w:r>
                    <w:rPr>
                      <w:color w:val="000000"/>
                      <w:sz w:val="20"/>
                      <w:szCs w:val="20"/>
                    </w:rPr>
                    <w:t>1000＜L≤2000</w:t>
                  </w:r>
                </w:p>
              </w:tc>
              <w:tc>
                <w:tcPr>
                  <w:tcW w:w="1131" w:type="pct"/>
                  <w:gridSpan w:val="3"/>
                  <w:noWrap w:val="0"/>
                  <w:vAlign w:val="center"/>
                </w:tcPr>
                <w:p>
                  <w:pPr>
                    <w:spacing w:line="240" w:lineRule="auto"/>
                    <w:ind w:firstLine="0" w:firstLineChars="0"/>
                    <w:jc w:val="center"/>
                    <w:rPr>
                      <w:color w:val="000000"/>
                      <w:sz w:val="20"/>
                      <w:szCs w:val="20"/>
                    </w:rPr>
                  </w:pPr>
                  <w:r>
                    <w:rPr>
                      <w:color w:val="000000"/>
                      <w:sz w:val="20"/>
                      <w:szCs w:val="20"/>
                    </w:rPr>
                    <w:t>L＞2000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pPr>
                    <w:spacing w:line="240" w:lineRule="auto"/>
                    <w:ind w:firstLine="0" w:firstLineChars="0"/>
                    <w:jc w:val="center"/>
                    <w:rPr>
                      <w:b/>
                      <w:bCs/>
                      <w:color w:val="000000"/>
                      <w:sz w:val="20"/>
                      <w:szCs w:val="20"/>
                    </w:rPr>
                  </w:pPr>
                </w:p>
              </w:tc>
              <w:tc>
                <w:tcPr>
                  <w:tcW w:w="842" w:type="pct"/>
                  <w:vMerge w:val="continue"/>
                  <w:noWrap w:val="0"/>
                  <w:vAlign w:val="center"/>
                </w:tcPr>
                <w:p>
                  <w:pPr>
                    <w:spacing w:line="240" w:lineRule="auto"/>
                    <w:ind w:firstLine="0" w:firstLineChars="0"/>
                    <w:jc w:val="center"/>
                    <w:rPr>
                      <w:b/>
                      <w:bCs/>
                      <w:color w:val="000000"/>
                      <w:sz w:val="20"/>
                      <w:szCs w:val="20"/>
                    </w:rPr>
                  </w:pPr>
                </w:p>
              </w:tc>
              <w:tc>
                <w:tcPr>
                  <w:tcW w:w="3435" w:type="pct"/>
                  <w:gridSpan w:val="9"/>
                  <w:noWrap w:val="0"/>
                  <w:vAlign w:val="center"/>
                </w:tcPr>
                <w:p>
                  <w:pPr>
                    <w:spacing w:line="240" w:lineRule="auto"/>
                    <w:ind w:firstLine="0" w:firstLineChars="0"/>
                    <w:jc w:val="center"/>
                    <w:rPr>
                      <w:b/>
                      <w:bCs/>
                      <w:color w:val="000000"/>
                      <w:sz w:val="20"/>
                      <w:szCs w:val="20"/>
                    </w:rPr>
                  </w:pPr>
                  <w:r>
                    <w:rPr>
                      <w:b/>
                      <w:bCs/>
                      <w:color w:val="000000"/>
                      <w:sz w:val="20"/>
                      <w:szCs w:val="20"/>
                    </w:rPr>
                    <w:t>工业大气污染源构成类别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723" w:type="pct"/>
                  <w:vMerge w:val="continue"/>
                  <w:noWrap w:val="0"/>
                  <w:vAlign w:val="center"/>
                </w:tcPr>
                <w:p>
                  <w:pPr>
                    <w:spacing w:line="240" w:lineRule="auto"/>
                    <w:ind w:firstLine="0" w:firstLineChars="0"/>
                    <w:jc w:val="center"/>
                    <w:rPr>
                      <w:b/>
                      <w:bCs/>
                      <w:color w:val="000000"/>
                      <w:sz w:val="20"/>
                      <w:szCs w:val="20"/>
                    </w:rPr>
                  </w:pPr>
                </w:p>
              </w:tc>
              <w:tc>
                <w:tcPr>
                  <w:tcW w:w="842" w:type="pct"/>
                  <w:vMerge w:val="continue"/>
                  <w:noWrap w:val="0"/>
                  <w:vAlign w:val="center"/>
                </w:tcPr>
                <w:p>
                  <w:pPr>
                    <w:spacing w:line="240" w:lineRule="auto"/>
                    <w:ind w:firstLine="0" w:firstLineChars="0"/>
                    <w:jc w:val="center"/>
                    <w:rPr>
                      <w:b/>
                      <w:bCs/>
                      <w:color w:val="000000"/>
                      <w:sz w:val="20"/>
                      <w:szCs w:val="20"/>
                    </w:rPr>
                  </w:pP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Ⅰ</w:t>
                  </w:r>
                </w:p>
              </w:tc>
              <w:tc>
                <w:tcPr>
                  <w:tcW w:w="385" w:type="pct"/>
                  <w:noWrap w:val="0"/>
                  <w:vAlign w:val="center"/>
                </w:tcPr>
                <w:p>
                  <w:pPr>
                    <w:spacing w:line="240" w:lineRule="auto"/>
                    <w:ind w:firstLine="0" w:firstLineChars="0"/>
                    <w:jc w:val="center"/>
                    <w:rPr>
                      <w:color w:val="000000"/>
                      <w:sz w:val="20"/>
                      <w:szCs w:val="20"/>
                    </w:rPr>
                  </w:pPr>
                  <w:r>
                    <w:rPr>
                      <w:color w:val="000000"/>
                      <w:sz w:val="20"/>
                      <w:szCs w:val="20"/>
                    </w:rPr>
                    <w:t>Ⅱ</w:t>
                  </w:r>
                </w:p>
              </w:tc>
              <w:tc>
                <w:tcPr>
                  <w:tcW w:w="390" w:type="pct"/>
                  <w:noWrap w:val="0"/>
                  <w:vAlign w:val="center"/>
                </w:tcPr>
                <w:p>
                  <w:pPr>
                    <w:spacing w:line="240" w:lineRule="auto"/>
                    <w:ind w:firstLine="0" w:firstLineChars="0"/>
                    <w:jc w:val="center"/>
                    <w:rPr>
                      <w:color w:val="000000"/>
                      <w:sz w:val="20"/>
                      <w:szCs w:val="20"/>
                    </w:rPr>
                  </w:pPr>
                  <w:r>
                    <w:rPr>
                      <w:color w:val="000000"/>
                      <w:sz w:val="20"/>
                      <w:szCs w:val="20"/>
                    </w:rPr>
                    <w:t>Ⅲ</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Ⅰ</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Ⅱ</w:t>
                  </w: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Ⅲ</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Ⅰ</w:t>
                  </w:r>
                </w:p>
              </w:tc>
              <w:tc>
                <w:tcPr>
                  <w:tcW w:w="383" w:type="pct"/>
                  <w:noWrap w:val="0"/>
                  <w:vAlign w:val="center"/>
                </w:tcPr>
                <w:p>
                  <w:pPr>
                    <w:spacing w:line="240" w:lineRule="auto"/>
                    <w:ind w:firstLine="0" w:firstLineChars="0"/>
                    <w:jc w:val="center"/>
                    <w:rPr>
                      <w:color w:val="000000"/>
                      <w:sz w:val="20"/>
                      <w:szCs w:val="20"/>
                    </w:rPr>
                  </w:pPr>
                  <w:r>
                    <w:rPr>
                      <w:color w:val="000000"/>
                      <w:sz w:val="20"/>
                      <w:szCs w:val="20"/>
                    </w:rPr>
                    <w:t>Ⅱ</w:t>
                  </w:r>
                </w:p>
              </w:tc>
              <w:tc>
                <w:tcPr>
                  <w:tcW w:w="367" w:type="pct"/>
                  <w:noWrap w:val="0"/>
                  <w:vAlign w:val="center"/>
                </w:tcPr>
                <w:p>
                  <w:pPr>
                    <w:spacing w:line="240" w:lineRule="auto"/>
                    <w:ind w:firstLine="0" w:firstLineChars="0"/>
                    <w:jc w:val="center"/>
                    <w:rPr>
                      <w:color w:val="000000"/>
                      <w:sz w:val="20"/>
                      <w:szCs w:val="20"/>
                    </w:rPr>
                  </w:pPr>
                  <w:r>
                    <w:rPr>
                      <w:color w:val="000000"/>
                      <w:sz w:val="20"/>
                      <w:szCs w:val="20"/>
                    </w:rPr>
                    <w:t>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pPr>
                    <w:spacing w:line="240" w:lineRule="auto"/>
                    <w:ind w:firstLine="0" w:firstLineChars="0"/>
                    <w:jc w:val="center"/>
                    <w:rPr>
                      <w:color w:val="000000"/>
                      <w:sz w:val="20"/>
                      <w:szCs w:val="20"/>
                    </w:rPr>
                  </w:pPr>
                  <w:r>
                    <w:rPr>
                      <w:color w:val="000000"/>
                      <w:sz w:val="20"/>
                      <w:szCs w:val="20"/>
                    </w:rPr>
                    <w:t>A</w:t>
                  </w: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&lt;2</w:t>
                  </w: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400</w:t>
                  </w:r>
                </w:p>
              </w:tc>
              <w:tc>
                <w:tcPr>
                  <w:tcW w:w="385" w:type="pct"/>
                  <w:noWrap w:val="0"/>
                  <w:vAlign w:val="center"/>
                </w:tcPr>
                <w:p>
                  <w:pPr>
                    <w:spacing w:line="240" w:lineRule="auto"/>
                    <w:ind w:firstLine="0" w:firstLineChars="0"/>
                    <w:jc w:val="center"/>
                    <w:rPr>
                      <w:color w:val="000000"/>
                      <w:sz w:val="20"/>
                      <w:szCs w:val="20"/>
                    </w:rPr>
                  </w:pPr>
                  <w:r>
                    <w:rPr>
                      <w:color w:val="000000"/>
                      <w:sz w:val="20"/>
                      <w:szCs w:val="20"/>
                    </w:rPr>
                    <w:t>400</w:t>
                  </w:r>
                </w:p>
              </w:tc>
              <w:tc>
                <w:tcPr>
                  <w:tcW w:w="390" w:type="pct"/>
                  <w:noWrap w:val="0"/>
                  <w:vAlign w:val="center"/>
                </w:tcPr>
                <w:p>
                  <w:pPr>
                    <w:spacing w:line="240" w:lineRule="auto"/>
                    <w:ind w:firstLine="0" w:firstLineChars="0"/>
                    <w:jc w:val="center"/>
                    <w:rPr>
                      <w:color w:val="000000"/>
                      <w:sz w:val="20"/>
                      <w:szCs w:val="20"/>
                    </w:rPr>
                  </w:pPr>
                  <w:r>
                    <w:rPr>
                      <w:color w:val="000000"/>
                      <w:sz w:val="20"/>
                      <w:szCs w:val="20"/>
                    </w:rPr>
                    <w:t>400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400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400</w:t>
                  </w: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400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80</w:t>
                  </w:r>
                </w:p>
              </w:tc>
              <w:tc>
                <w:tcPr>
                  <w:tcW w:w="383" w:type="pct"/>
                  <w:noWrap w:val="0"/>
                  <w:vAlign w:val="center"/>
                </w:tcPr>
                <w:p>
                  <w:pPr>
                    <w:spacing w:line="240" w:lineRule="auto"/>
                    <w:ind w:firstLine="0" w:firstLineChars="0"/>
                    <w:jc w:val="center"/>
                    <w:rPr>
                      <w:color w:val="000000"/>
                      <w:sz w:val="20"/>
                      <w:szCs w:val="20"/>
                    </w:rPr>
                  </w:pPr>
                  <w:r>
                    <w:rPr>
                      <w:color w:val="000000"/>
                      <w:sz w:val="20"/>
                      <w:szCs w:val="20"/>
                    </w:rPr>
                    <w:t>80</w:t>
                  </w:r>
                </w:p>
              </w:tc>
              <w:tc>
                <w:tcPr>
                  <w:tcW w:w="367" w:type="pct"/>
                  <w:noWrap w:val="0"/>
                  <w:vAlign w:val="center"/>
                </w:tcPr>
                <w:p>
                  <w:pPr>
                    <w:spacing w:line="240" w:lineRule="auto"/>
                    <w:ind w:firstLine="0" w:firstLineChars="0"/>
                    <w:jc w:val="center"/>
                    <w:rPr>
                      <w:color w:val="000000"/>
                      <w:sz w:val="20"/>
                      <w:szCs w:val="20"/>
                    </w:rPr>
                  </w:pPr>
                  <w:r>
                    <w:rPr>
                      <w:color w:val="000000"/>
                      <w:sz w:val="20"/>
                      <w:szCs w:val="20"/>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pPr>
                    <w:spacing w:line="240" w:lineRule="auto"/>
                    <w:ind w:firstLine="0" w:firstLineChars="0"/>
                    <w:jc w:val="center"/>
                    <w:rPr>
                      <w:color w:val="000000"/>
                      <w:sz w:val="20"/>
                      <w:szCs w:val="20"/>
                    </w:rPr>
                  </w:pP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2-4</w:t>
                  </w: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700</w:t>
                  </w:r>
                </w:p>
              </w:tc>
              <w:tc>
                <w:tcPr>
                  <w:tcW w:w="385" w:type="pct"/>
                  <w:noWrap w:val="0"/>
                  <w:vAlign w:val="center"/>
                </w:tcPr>
                <w:p>
                  <w:pPr>
                    <w:spacing w:line="240" w:lineRule="auto"/>
                    <w:ind w:firstLine="0" w:firstLineChars="0"/>
                    <w:jc w:val="center"/>
                    <w:rPr>
                      <w:color w:val="000000"/>
                      <w:sz w:val="20"/>
                      <w:szCs w:val="20"/>
                    </w:rPr>
                  </w:pPr>
                  <w:r>
                    <w:rPr>
                      <w:b/>
                      <w:bCs/>
                      <w:color w:val="000000"/>
                      <w:sz w:val="20"/>
                      <w:szCs w:val="20"/>
                    </w:rPr>
                    <w:t>470</w:t>
                  </w:r>
                </w:p>
              </w:tc>
              <w:tc>
                <w:tcPr>
                  <w:tcW w:w="390" w:type="pct"/>
                  <w:noWrap w:val="0"/>
                  <w:vAlign w:val="center"/>
                </w:tcPr>
                <w:p>
                  <w:pPr>
                    <w:spacing w:line="240" w:lineRule="auto"/>
                    <w:ind w:firstLine="0" w:firstLineChars="0"/>
                    <w:jc w:val="center"/>
                    <w:rPr>
                      <w:color w:val="000000"/>
                      <w:sz w:val="20"/>
                      <w:szCs w:val="20"/>
                    </w:rPr>
                  </w:pPr>
                  <w:r>
                    <w:rPr>
                      <w:color w:val="000000"/>
                      <w:sz w:val="20"/>
                      <w:szCs w:val="20"/>
                    </w:rPr>
                    <w:t>350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700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470</w:t>
                  </w: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350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380</w:t>
                  </w:r>
                </w:p>
              </w:tc>
              <w:tc>
                <w:tcPr>
                  <w:tcW w:w="383" w:type="pct"/>
                  <w:noWrap w:val="0"/>
                  <w:vAlign w:val="center"/>
                </w:tcPr>
                <w:p>
                  <w:pPr>
                    <w:spacing w:line="240" w:lineRule="auto"/>
                    <w:ind w:firstLine="0" w:firstLineChars="0"/>
                    <w:jc w:val="center"/>
                    <w:rPr>
                      <w:color w:val="000000"/>
                      <w:sz w:val="20"/>
                      <w:szCs w:val="20"/>
                    </w:rPr>
                  </w:pPr>
                  <w:r>
                    <w:rPr>
                      <w:color w:val="000000"/>
                      <w:sz w:val="20"/>
                      <w:szCs w:val="20"/>
                    </w:rPr>
                    <w:t>250</w:t>
                  </w:r>
                </w:p>
              </w:tc>
              <w:tc>
                <w:tcPr>
                  <w:tcW w:w="367" w:type="pct"/>
                  <w:noWrap w:val="0"/>
                  <w:vAlign w:val="center"/>
                </w:tcPr>
                <w:p>
                  <w:pPr>
                    <w:spacing w:line="240" w:lineRule="auto"/>
                    <w:ind w:firstLine="0" w:firstLineChars="0"/>
                    <w:jc w:val="center"/>
                    <w:rPr>
                      <w:color w:val="000000"/>
                      <w:sz w:val="20"/>
                      <w:szCs w:val="20"/>
                    </w:rPr>
                  </w:pPr>
                  <w:r>
                    <w:rPr>
                      <w:color w:val="000000"/>
                      <w:sz w:val="20"/>
                      <w:szCs w:val="20"/>
                    </w:rPr>
                    <w:t>190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pPr>
                    <w:spacing w:line="240" w:lineRule="auto"/>
                    <w:ind w:firstLine="0" w:firstLineChars="0"/>
                    <w:jc w:val="center"/>
                    <w:rPr>
                      <w:color w:val="000000"/>
                      <w:sz w:val="20"/>
                      <w:szCs w:val="20"/>
                    </w:rPr>
                  </w:pP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&gt;4</w:t>
                  </w: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530</w:t>
                  </w:r>
                </w:p>
              </w:tc>
              <w:tc>
                <w:tcPr>
                  <w:tcW w:w="385" w:type="pct"/>
                  <w:noWrap w:val="0"/>
                  <w:vAlign w:val="center"/>
                </w:tcPr>
                <w:p>
                  <w:pPr>
                    <w:spacing w:line="240" w:lineRule="auto"/>
                    <w:ind w:firstLine="0" w:firstLineChars="0"/>
                    <w:jc w:val="center"/>
                    <w:rPr>
                      <w:color w:val="000000"/>
                      <w:sz w:val="20"/>
                      <w:szCs w:val="20"/>
                    </w:rPr>
                  </w:pPr>
                  <w:r>
                    <w:rPr>
                      <w:color w:val="000000"/>
                      <w:sz w:val="20"/>
                      <w:szCs w:val="20"/>
                    </w:rPr>
                    <w:t>350</w:t>
                  </w:r>
                </w:p>
              </w:tc>
              <w:tc>
                <w:tcPr>
                  <w:tcW w:w="390" w:type="pct"/>
                  <w:noWrap w:val="0"/>
                  <w:vAlign w:val="center"/>
                </w:tcPr>
                <w:p>
                  <w:pPr>
                    <w:spacing w:line="240" w:lineRule="auto"/>
                    <w:ind w:firstLine="0" w:firstLineChars="0"/>
                    <w:jc w:val="center"/>
                    <w:rPr>
                      <w:color w:val="000000"/>
                      <w:sz w:val="20"/>
                      <w:szCs w:val="20"/>
                    </w:rPr>
                  </w:pPr>
                  <w:r>
                    <w:rPr>
                      <w:color w:val="000000"/>
                      <w:sz w:val="20"/>
                      <w:szCs w:val="20"/>
                    </w:rPr>
                    <w:t>260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530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350</w:t>
                  </w:r>
                </w:p>
              </w:tc>
              <w:tc>
                <w:tcPr>
                  <w:tcW w:w="384" w:type="pct"/>
                  <w:noWrap w:val="0"/>
                  <w:vAlign w:val="center"/>
                </w:tcPr>
                <w:p>
                  <w:pPr>
                    <w:spacing w:line="240" w:lineRule="auto"/>
                    <w:ind w:firstLine="0" w:firstLineChars="0"/>
                    <w:jc w:val="center"/>
                    <w:rPr>
                      <w:color w:val="000000"/>
                      <w:sz w:val="20"/>
                      <w:szCs w:val="20"/>
                    </w:rPr>
                  </w:pPr>
                  <w:r>
                    <w:rPr>
                      <w:color w:val="000000"/>
                      <w:sz w:val="20"/>
                      <w:szCs w:val="20"/>
                    </w:rPr>
                    <w:t>260</w:t>
                  </w:r>
                </w:p>
              </w:tc>
              <w:tc>
                <w:tcPr>
                  <w:tcW w:w="381" w:type="pct"/>
                  <w:noWrap w:val="0"/>
                  <w:vAlign w:val="center"/>
                </w:tcPr>
                <w:p>
                  <w:pPr>
                    <w:spacing w:line="240" w:lineRule="auto"/>
                    <w:ind w:firstLine="0" w:firstLineChars="0"/>
                    <w:jc w:val="center"/>
                    <w:rPr>
                      <w:color w:val="000000"/>
                      <w:sz w:val="20"/>
                      <w:szCs w:val="20"/>
                    </w:rPr>
                  </w:pPr>
                  <w:r>
                    <w:rPr>
                      <w:color w:val="000000"/>
                      <w:sz w:val="20"/>
                      <w:szCs w:val="20"/>
                    </w:rPr>
                    <w:t>290</w:t>
                  </w:r>
                </w:p>
              </w:tc>
              <w:tc>
                <w:tcPr>
                  <w:tcW w:w="383" w:type="pct"/>
                  <w:noWrap w:val="0"/>
                  <w:vAlign w:val="center"/>
                </w:tcPr>
                <w:p>
                  <w:pPr>
                    <w:spacing w:line="240" w:lineRule="auto"/>
                    <w:ind w:firstLine="0" w:firstLineChars="0"/>
                    <w:jc w:val="center"/>
                    <w:rPr>
                      <w:color w:val="000000"/>
                      <w:sz w:val="20"/>
                      <w:szCs w:val="20"/>
                    </w:rPr>
                  </w:pPr>
                  <w:r>
                    <w:rPr>
                      <w:color w:val="000000"/>
                      <w:sz w:val="20"/>
                      <w:szCs w:val="20"/>
                    </w:rPr>
                    <w:t>190</w:t>
                  </w:r>
                </w:p>
              </w:tc>
              <w:tc>
                <w:tcPr>
                  <w:tcW w:w="367" w:type="pct"/>
                  <w:noWrap w:val="0"/>
                  <w:vAlign w:val="center"/>
                </w:tcPr>
                <w:p>
                  <w:pPr>
                    <w:spacing w:line="240" w:lineRule="auto"/>
                    <w:ind w:firstLine="0" w:firstLineChars="0"/>
                    <w:jc w:val="center"/>
                    <w:rPr>
                      <w:color w:val="000000"/>
                      <w:sz w:val="20"/>
                      <w:szCs w:val="20"/>
                    </w:rPr>
                  </w:pPr>
                  <w:r>
                    <w:rPr>
                      <w:color w:val="000000"/>
                      <w:sz w:val="20"/>
                      <w:szCs w:val="20"/>
                    </w:rPr>
                    <w:t>140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723" w:type="pct"/>
                  <w:vMerge w:val="restart"/>
                  <w:noWrap w:val="0"/>
                  <w:vAlign w:val="center"/>
                </w:tcPr>
                <w:p>
                  <w:pPr>
                    <w:spacing w:line="240" w:lineRule="auto"/>
                    <w:ind w:firstLine="0" w:firstLineChars="0"/>
                    <w:jc w:val="center"/>
                    <w:rPr>
                      <w:color w:val="000000"/>
                      <w:sz w:val="20"/>
                      <w:szCs w:val="20"/>
                    </w:rPr>
                  </w:pPr>
                  <w:r>
                    <w:rPr>
                      <w:color w:val="000000"/>
                      <w:sz w:val="20"/>
                      <w:szCs w:val="20"/>
                    </w:rPr>
                    <w:t>B</w:t>
                  </w: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&lt;2</w:t>
                  </w:r>
                </w:p>
              </w:tc>
              <w:tc>
                <w:tcPr>
                  <w:tcW w:w="1159" w:type="pct"/>
                  <w:gridSpan w:val="3"/>
                  <w:noWrap w:val="0"/>
                  <w:vAlign w:val="center"/>
                </w:tcPr>
                <w:p>
                  <w:pPr>
                    <w:spacing w:line="240" w:lineRule="auto"/>
                    <w:ind w:firstLine="0" w:firstLineChars="0"/>
                    <w:jc w:val="center"/>
                    <w:rPr>
                      <w:color w:val="000000"/>
                      <w:sz w:val="20"/>
                      <w:szCs w:val="20"/>
                    </w:rPr>
                  </w:pPr>
                  <w:r>
                    <w:rPr>
                      <w:color w:val="000000"/>
                      <w:sz w:val="20"/>
                      <w:szCs w:val="20"/>
                    </w:rPr>
                    <w:t>0.01</w:t>
                  </w:r>
                </w:p>
              </w:tc>
              <w:tc>
                <w:tcPr>
                  <w:tcW w:w="1145" w:type="pct"/>
                  <w:gridSpan w:val="3"/>
                  <w:noWrap w:val="0"/>
                  <w:vAlign w:val="center"/>
                </w:tcPr>
                <w:p>
                  <w:pPr>
                    <w:spacing w:line="240" w:lineRule="auto"/>
                    <w:ind w:firstLine="0" w:firstLineChars="0"/>
                    <w:jc w:val="center"/>
                    <w:rPr>
                      <w:color w:val="000000"/>
                      <w:sz w:val="20"/>
                      <w:szCs w:val="20"/>
                    </w:rPr>
                  </w:pPr>
                  <w:r>
                    <w:rPr>
                      <w:color w:val="000000"/>
                      <w:sz w:val="20"/>
                      <w:szCs w:val="20"/>
                    </w:rPr>
                    <w:t>0.015</w:t>
                  </w:r>
                </w:p>
              </w:tc>
              <w:tc>
                <w:tcPr>
                  <w:tcW w:w="1131" w:type="pct"/>
                  <w:gridSpan w:val="3"/>
                  <w:noWrap w:val="0"/>
                  <w:vAlign w:val="center"/>
                </w:tcPr>
                <w:p>
                  <w:pPr>
                    <w:spacing w:line="240" w:lineRule="auto"/>
                    <w:ind w:firstLine="0" w:firstLineChars="0"/>
                    <w:jc w:val="center"/>
                    <w:rPr>
                      <w:color w:val="000000"/>
                      <w:sz w:val="20"/>
                      <w:szCs w:val="20"/>
                    </w:rPr>
                  </w:pPr>
                  <w:r>
                    <w:rPr>
                      <w:color w:val="000000"/>
                      <w:sz w:val="20"/>
                      <w:szCs w:val="20"/>
                    </w:rPr>
                    <w:t>0.015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pPr>
                    <w:spacing w:line="240" w:lineRule="auto"/>
                    <w:ind w:firstLine="0" w:firstLineChars="0"/>
                    <w:jc w:val="center"/>
                    <w:rPr>
                      <w:color w:val="000000"/>
                      <w:sz w:val="20"/>
                      <w:szCs w:val="20"/>
                    </w:rPr>
                  </w:pP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&gt;2</w:t>
                  </w:r>
                </w:p>
              </w:tc>
              <w:tc>
                <w:tcPr>
                  <w:tcW w:w="1159" w:type="pct"/>
                  <w:gridSpan w:val="3"/>
                  <w:noWrap w:val="0"/>
                  <w:vAlign w:val="center"/>
                </w:tcPr>
                <w:p>
                  <w:pPr>
                    <w:spacing w:line="240" w:lineRule="auto"/>
                    <w:ind w:firstLine="0" w:firstLineChars="0"/>
                    <w:jc w:val="center"/>
                    <w:rPr>
                      <w:color w:val="000000"/>
                      <w:sz w:val="20"/>
                      <w:szCs w:val="20"/>
                    </w:rPr>
                  </w:pPr>
                  <w:r>
                    <w:rPr>
                      <w:b/>
                      <w:bCs/>
                      <w:color w:val="000000"/>
                      <w:sz w:val="20"/>
                      <w:szCs w:val="20"/>
                    </w:rPr>
                    <w:t>0.021</w:t>
                  </w:r>
                </w:p>
              </w:tc>
              <w:tc>
                <w:tcPr>
                  <w:tcW w:w="1145" w:type="pct"/>
                  <w:gridSpan w:val="3"/>
                  <w:noWrap w:val="0"/>
                  <w:vAlign w:val="center"/>
                </w:tcPr>
                <w:p>
                  <w:pPr>
                    <w:spacing w:line="240" w:lineRule="auto"/>
                    <w:ind w:firstLine="0" w:firstLineChars="0"/>
                    <w:jc w:val="center"/>
                    <w:rPr>
                      <w:color w:val="000000"/>
                      <w:sz w:val="20"/>
                      <w:szCs w:val="20"/>
                    </w:rPr>
                  </w:pPr>
                  <w:r>
                    <w:rPr>
                      <w:color w:val="000000"/>
                      <w:sz w:val="20"/>
                      <w:szCs w:val="20"/>
                    </w:rPr>
                    <w:t>0.036</w:t>
                  </w:r>
                </w:p>
              </w:tc>
              <w:tc>
                <w:tcPr>
                  <w:tcW w:w="1131" w:type="pct"/>
                  <w:gridSpan w:val="3"/>
                  <w:noWrap w:val="0"/>
                  <w:vAlign w:val="center"/>
                </w:tcPr>
                <w:p>
                  <w:pPr>
                    <w:spacing w:line="240" w:lineRule="auto"/>
                    <w:ind w:firstLine="0" w:firstLineChars="0"/>
                    <w:jc w:val="center"/>
                    <w:rPr>
                      <w:color w:val="000000"/>
                      <w:sz w:val="20"/>
                      <w:szCs w:val="20"/>
                    </w:rPr>
                  </w:pPr>
                  <w:r>
                    <w:rPr>
                      <w:color w:val="000000"/>
                      <w:sz w:val="20"/>
                      <w:szCs w:val="20"/>
                    </w:rPr>
                    <w:t>0.036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restart"/>
                  <w:noWrap w:val="0"/>
                  <w:vAlign w:val="center"/>
                </w:tcPr>
                <w:p>
                  <w:pPr>
                    <w:spacing w:line="240" w:lineRule="auto"/>
                    <w:ind w:firstLine="0" w:firstLineChars="0"/>
                    <w:jc w:val="center"/>
                    <w:rPr>
                      <w:color w:val="000000"/>
                      <w:sz w:val="20"/>
                      <w:szCs w:val="20"/>
                    </w:rPr>
                  </w:pPr>
                  <w:r>
                    <w:rPr>
                      <w:color w:val="000000"/>
                      <w:sz w:val="20"/>
                      <w:szCs w:val="20"/>
                    </w:rPr>
                    <w:t>C</w:t>
                  </w: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&lt;2</w:t>
                  </w:r>
                </w:p>
              </w:tc>
              <w:tc>
                <w:tcPr>
                  <w:tcW w:w="1159" w:type="pct"/>
                  <w:gridSpan w:val="3"/>
                  <w:noWrap w:val="0"/>
                  <w:vAlign w:val="center"/>
                </w:tcPr>
                <w:p>
                  <w:pPr>
                    <w:spacing w:line="240" w:lineRule="auto"/>
                    <w:ind w:firstLine="0" w:firstLineChars="0"/>
                    <w:jc w:val="center"/>
                    <w:rPr>
                      <w:color w:val="000000"/>
                      <w:sz w:val="20"/>
                      <w:szCs w:val="20"/>
                    </w:rPr>
                  </w:pPr>
                  <w:r>
                    <w:rPr>
                      <w:color w:val="000000"/>
                      <w:sz w:val="20"/>
                      <w:szCs w:val="20"/>
                    </w:rPr>
                    <w:t>1.85</w:t>
                  </w:r>
                </w:p>
              </w:tc>
              <w:tc>
                <w:tcPr>
                  <w:tcW w:w="1145" w:type="pct"/>
                  <w:gridSpan w:val="3"/>
                  <w:noWrap w:val="0"/>
                  <w:vAlign w:val="center"/>
                </w:tcPr>
                <w:p>
                  <w:pPr>
                    <w:spacing w:line="240" w:lineRule="auto"/>
                    <w:ind w:firstLine="0" w:firstLineChars="0"/>
                    <w:jc w:val="center"/>
                    <w:rPr>
                      <w:color w:val="000000"/>
                      <w:sz w:val="20"/>
                      <w:szCs w:val="20"/>
                    </w:rPr>
                  </w:pPr>
                  <w:r>
                    <w:rPr>
                      <w:color w:val="000000"/>
                      <w:sz w:val="20"/>
                      <w:szCs w:val="20"/>
                    </w:rPr>
                    <w:t>1.79</w:t>
                  </w:r>
                </w:p>
              </w:tc>
              <w:tc>
                <w:tcPr>
                  <w:tcW w:w="1131" w:type="pct"/>
                  <w:gridSpan w:val="3"/>
                  <w:noWrap w:val="0"/>
                  <w:vAlign w:val="center"/>
                </w:tcPr>
                <w:p>
                  <w:pPr>
                    <w:spacing w:line="240" w:lineRule="auto"/>
                    <w:ind w:firstLine="0" w:firstLineChars="0"/>
                    <w:jc w:val="center"/>
                    <w:rPr>
                      <w:color w:val="000000"/>
                      <w:sz w:val="20"/>
                      <w:szCs w:val="20"/>
                    </w:rPr>
                  </w:pPr>
                  <w:r>
                    <w:rPr>
                      <w:color w:val="000000"/>
                      <w:sz w:val="20"/>
                      <w:szCs w:val="20"/>
                    </w:rPr>
                    <w:t>1.79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pPr>
                    <w:spacing w:line="240" w:lineRule="auto"/>
                    <w:ind w:firstLine="0" w:firstLineChars="0"/>
                    <w:jc w:val="center"/>
                    <w:rPr>
                      <w:color w:val="000000"/>
                      <w:sz w:val="20"/>
                      <w:szCs w:val="20"/>
                    </w:rPr>
                  </w:pP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&gt;2</w:t>
                  </w:r>
                </w:p>
              </w:tc>
              <w:tc>
                <w:tcPr>
                  <w:tcW w:w="1159" w:type="pct"/>
                  <w:gridSpan w:val="3"/>
                  <w:noWrap w:val="0"/>
                  <w:vAlign w:val="center"/>
                </w:tcPr>
                <w:p>
                  <w:pPr>
                    <w:spacing w:line="240" w:lineRule="auto"/>
                    <w:ind w:firstLine="0" w:firstLineChars="0"/>
                    <w:jc w:val="center"/>
                    <w:rPr>
                      <w:color w:val="000000"/>
                      <w:sz w:val="20"/>
                      <w:szCs w:val="20"/>
                    </w:rPr>
                  </w:pPr>
                  <w:r>
                    <w:rPr>
                      <w:b/>
                      <w:bCs/>
                      <w:color w:val="000000"/>
                      <w:sz w:val="20"/>
                      <w:szCs w:val="20"/>
                    </w:rPr>
                    <w:t>1.85</w:t>
                  </w:r>
                </w:p>
              </w:tc>
              <w:tc>
                <w:tcPr>
                  <w:tcW w:w="1145" w:type="pct"/>
                  <w:gridSpan w:val="3"/>
                  <w:noWrap w:val="0"/>
                  <w:vAlign w:val="center"/>
                </w:tcPr>
                <w:p>
                  <w:pPr>
                    <w:spacing w:line="240" w:lineRule="auto"/>
                    <w:ind w:firstLine="0" w:firstLineChars="0"/>
                    <w:jc w:val="center"/>
                    <w:rPr>
                      <w:color w:val="000000"/>
                      <w:sz w:val="20"/>
                      <w:szCs w:val="20"/>
                    </w:rPr>
                  </w:pPr>
                  <w:r>
                    <w:rPr>
                      <w:color w:val="000000"/>
                      <w:sz w:val="20"/>
                      <w:szCs w:val="20"/>
                    </w:rPr>
                    <w:t>1.77</w:t>
                  </w:r>
                </w:p>
              </w:tc>
              <w:tc>
                <w:tcPr>
                  <w:tcW w:w="1131" w:type="pct"/>
                  <w:gridSpan w:val="3"/>
                  <w:noWrap w:val="0"/>
                  <w:vAlign w:val="center"/>
                </w:tcPr>
                <w:p>
                  <w:pPr>
                    <w:spacing w:line="240" w:lineRule="auto"/>
                    <w:ind w:firstLine="0" w:firstLineChars="0"/>
                    <w:jc w:val="center"/>
                    <w:rPr>
                      <w:color w:val="000000"/>
                      <w:sz w:val="20"/>
                      <w:szCs w:val="20"/>
                    </w:rPr>
                  </w:pPr>
                  <w:r>
                    <w:rPr>
                      <w:color w:val="000000"/>
                      <w:sz w:val="20"/>
                      <w:szCs w:val="20"/>
                    </w:rPr>
                    <w:t>1.77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cantSplit/>
                <w:jc w:val="center"/>
              </w:trPr>
              <w:tc>
                <w:tcPr>
                  <w:tcW w:w="723" w:type="pct"/>
                  <w:vMerge w:val="restart"/>
                  <w:noWrap w:val="0"/>
                  <w:vAlign w:val="center"/>
                </w:tcPr>
                <w:p>
                  <w:pPr>
                    <w:spacing w:line="240" w:lineRule="auto"/>
                    <w:ind w:firstLine="0" w:firstLineChars="0"/>
                    <w:jc w:val="center"/>
                    <w:rPr>
                      <w:color w:val="000000"/>
                      <w:sz w:val="20"/>
                      <w:szCs w:val="20"/>
                    </w:rPr>
                  </w:pPr>
                  <w:r>
                    <w:rPr>
                      <w:color w:val="000000"/>
                      <w:sz w:val="20"/>
                      <w:szCs w:val="20"/>
                    </w:rPr>
                    <w:t>D</w:t>
                  </w: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&lt;2</w:t>
                  </w:r>
                </w:p>
              </w:tc>
              <w:tc>
                <w:tcPr>
                  <w:tcW w:w="1159" w:type="pct"/>
                  <w:gridSpan w:val="3"/>
                  <w:noWrap w:val="0"/>
                  <w:vAlign w:val="center"/>
                </w:tcPr>
                <w:p>
                  <w:pPr>
                    <w:spacing w:line="240" w:lineRule="auto"/>
                    <w:ind w:firstLine="0" w:firstLineChars="0"/>
                    <w:jc w:val="center"/>
                    <w:rPr>
                      <w:color w:val="000000"/>
                      <w:sz w:val="20"/>
                      <w:szCs w:val="20"/>
                    </w:rPr>
                  </w:pPr>
                  <w:r>
                    <w:rPr>
                      <w:color w:val="000000"/>
                      <w:sz w:val="20"/>
                      <w:szCs w:val="20"/>
                    </w:rPr>
                    <w:t>0.78</w:t>
                  </w:r>
                </w:p>
              </w:tc>
              <w:tc>
                <w:tcPr>
                  <w:tcW w:w="1145" w:type="pct"/>
                  <w:gridSpan w:val="3"/>
                  <w:noWrap w:val="0"/>
                  <w:vAlign w:val="center"/>
                </w:tcPr>
                <w:p>
                  <w:pPr>
                    <w:spacing w:line="240" w:lineRule="auto"/>
                    <w:ind w:firstLine="0" w:firstLineChars="0"/>
                    <w:jc w:val="center"/>
                    <w:rPr>
                      <w:color w:val="000000"/>
                      <w:sz w:val="20"/>
                      <w:szCs w:val="20"/>
                    </w:rPr>
                  </w:pPr>
                  <w:r>
                    <w:rPr>
                      <w:color w:val="000000"/>
                      <w:sz w:val="20"/>
                      <w:szCs w:val="20"/>
                    </w:rPr>
                    <w:t>0.78</w:t>
                  </w:r>
                </w:p>
              </w:tc>
              <w:tc>
                <w:tcPr>
                  <w:tcW w:w="1131" w:type="pct"/>
                  <w:gridSpan w:val="3"/>
                  <w:noWrap w:val="0"/>
                  <w:vAlign w:val="center"/>
                </w:tcPr>
                <w:p>
                  <w:pPr>
                    <w:spacing w:line="240" w:lineRule="auto"/>
                    <w:ind w:firstLine="0" w:firstLineChars="0"/>
                    <w:jc w:val="center"/>
                    <w:rPr>
                      <w:color w:val="000000"/>
                      <w:sz w:val="20"/>
                      <w:szCs w:val="20"/>
                    </w:rPr>
                  </w:pPr>
                  <w:r>
                    <w:rPr>
                      <w:color w:val="000000"/>
                      <w:sz w:val="20"/>
                      <w:szCs w:val="20"/>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723" w:type="pct"/>
                  <w:vMerge w:val="continue"/>
                  <w:noWrap w:val="0"/>
                  <w:vAlign w:val="center"/>
                </w:tcPr>
                <w:p>
                  <w:pPr>
                    <w:spacing w:line="240" w:lineRule="auto"/>
                    <w:ind w:firstLine="0" w:firstLineChars="0"/>
                    <w:jc w:val="center"/>
                    <w:rPr>
                      <w:color w:val="000000"/>
                      <w:sz w:val="20"/>
                      <w:szCs w:val="20"/>
                    </w:rPr>
                  </w:pPr>
                </w:p>
              </w:tc>
              <w:tc>
                <w:tcPr>
                  <w:tcW w:w="842" w:type="pct"/>
                  <w:noWrap w:val="0"/>
                  <w:vAlign w:val="center"/>
                </w:tcPr>
                <w:p>
                  <w:pPr>
                    <w:spacing w:line="240" w:lineRule="auto"/>
                    <w:ind w:firstLine="0" w:firstLineChars="0"/>
                    <w:jc w:val="center"/>
                    <w:rPr>
                      <w:color w:val="000000"/>
                      <w:sz w:val="20"/>
                      <w:szCs w:val="20"/>
                    </w:rPr>
                  </w:pPr>
                  <w:r>
                    <w:rPr>
                      <w:color w:val="000000"/>
                      <w:sz w:val="20"/>
                      <w:szCs w:val="20"/>
                    </w:rPr>
                    <w:t>&gt;2</w:t>
                  </w:r>
                </w:p>
              </w:tc>
              <w:tc>
                <w:tcPr>
                  <w:tcW w:w="1159" w:type="pct"/>
                  <w:gridSpan w:val="3"/>
                  <w:noWrap w:val="0"/>
                  <w:vAlign w:val="center"/>
                </w:tcPr>
                <w:p>
                  <w:pPr>
                    <w:spacing w:line="240" w:lineRule="auto"/>
                    <w:ind w:firstLine="0" w:firstLineChars="0"/>
                    <w:jc w:val="center"/>
                    <w:rPr>
                      <w:color w:val="000000"/>
                      <w:sz w:val="20"/>
                      <w:szCs w:val="20"/>
                    </w:rPr>
                  </w:pPr>
                  <w:r>
                    <w:rPr>
                      <w:b/>
                      <w:bCs/>
                      <w:color w:val="000000"/>
                      <w:sz w:val="20"/>
                      <w:szCs w:val="20"/>
                    </w:rPr>
                    <w:t>0.84</w:t>
                  </w:r>
                </w:p>
              </w:tc>
              <w:tc>
                <w:tcPr>
                  <w:tcW w:w="1145" w:type="pct"/>
                  <w:gridSpan w:val="3"/>
                  <w:noWrap w:val="0"/>
                  <w:vAlign w:val="center"/>
                </w:tcPr>
                <w:p>
                  <w:pPr>
                    <w:spacing w:line="240" w:lineRule="auto"/>
                    <w:ind w:firstLine="0" w:firstLineChars="0"/>
                    <w:jc w:val="center"/>
                    <w:rPr>
                      <w:color w:val="000000"/>
                      <w:sz w:val="20"/>
                      <w:szCs w:val="20"/>
                    </w:rPr>
                  </w:pPr>
                  <w:r>
                    <w:rPr>
                      <w:color w:val="000000"/>
                      <w:sz w:val="20"/>
                      <w:szCs w:val="20"/>
                    </w:rPr>
                    <w:t>0.84</w:t>
                  </w:r>
                </w:p>
              </w:tc>
              <w:tc>
                <w:tcPr>
                  <w:tcW w:w="1131" w:type="pct"/>
                  <w:gridSpan w:val="3"/>
                  <w:noWrap w:val="0"/>
                  <w:vAlign w:val="center"/>
                </w:tcPr>
                <w:p>
                  <w:pPr>
                    <w:spacing w:line="240" w:lineRule="auto"/>
                    <w:ind w:firstLine="0" w:firstLineChars="0"/>
                    <w:jc w:val="center"/>
                    <w:rPr>
                      <w:color w:val="000000"/>
                      <w:sz w:val="20"/>
                      <w:szCs w:val="20"/>
                    </w:rPr>
                  </w:pPr>
                  <w:r>
                    <w:rPr>
                      <w:color w:val="000000"/>
                      <w:sz w:val="20"/>
                      <w:szCs w:val="20"/>
                    </w:rPr>
                    <w:t>0.76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11"/>
                  <w:noWrap w:val="0"/>
                  <w:vAlign w:val="center"/>
                </w:tcPr>
                <w:p>
                  <w:pPr>
                    <w:spacing w:line="240" w:lineRule="auto"/>
                    <w:ind w:firstLine="0" w:firstLineChars="0"/>
                    <w:rPr>
                      <w:color w:val="000000"/>
                      <w:sz w:val="20"/>
                      <w:szCs w:val="20"/>
                    </w:rPr>
                  </w:pPr>
                  <w:r>
                    <w:rPr>
                      <w:color w:val="000000"/>
                      <w:sz w:val="20"/>
                      <w:szCs w:val="20"/>
                    </w:rPr>
                    <w:t>注：</w:t>
                  </w:r>
                </w:p>
                <w:p>
                  <w:pPr>
                    <w:spacing w:line="240" w:lineRule="auto"/>
                    <w:ind w:firstLine="0" w:firstLineChars="0"/>
                    <w:rPr>
                      <w:color w:val="000000"/>
                      <w:sz w:val="20"/>
                      <w:szCs w:val="20"/>
                    </w:rPr>
                  </w:pPr>
                  <w:r>
                    <w:rPr>
                      <w:color w:val="000000"/>
                      <w:sz w:val="20"/>
                      <w:szCs w:val="20"/>
                    </w:rPr>
                    <w:t>I 类：与无组织排放源共存的排放同种有害气体的排气筒的排放量，大于或等于标准规定的允许排放量的 1/3 者。</w:t>
                  </w:r>
                </w:p>
                <w:p>
                  <w:pPr>
                    <w:spacing w:line="240" w:lineRule="auto"/>
                    <w:ind w:firstLine="0" w:firstLineChars="0"/>
                    <w:rPr>
                      <w:color w:val="000000"/>
                      <w:sz w:val="20"/>
                      <w:szCs w:val="20"/>
                    </w:rPr>
                  </w:pPr>
                  <w:r>
                    <w:rPr>
                      <w:color w:val="000000"/>
                      <w:sz w:val="20"/>
                      <w:szCs w:val="20"/>
                    </w:rPr>
                    <w:t>II 类：与无组织排放源共存的排放同种有害气体的排气筒的排放量，小于标准规定的允许排放量的1/3，或虽无排放同种大气污染物之排气简共存，但无组织排放的有害物质的容许浓度指标是按急性反应指标确定者。</w:t>
                  </w:r>
                </w:p>
                <w:p>
                  <w:pPr>
                    <w:spacing w:line="240" w:lineRule="auto"/>
                    <w:ind w:firstLine="0" w:firstLineChars="0"/>
                    <w:rPr>
                      <w:color w:val="000000"/>
                      <w:sz w:val="20"/>
                      <w:szCs w:val="20"/>
                    </w:rPr>
                  </w:pPr>
                  <w:r>
                    <w:rPr>
                      <w:color w:val="000000"/>
                      <w:sz w:val="20"/>
                      <w:szCs w:val="20"/>
                    </w:rPr>
                    <w:t>Ⅲ类：无排放同种有害物质的排气筒与无组织排放源共存，但无组织排放的有害物质的容许浓度是按慢性反应指标确定者。</w:t>
                  </w:r>
                </w:p>
              </w:tc>
            </w:tr>
          </w:tbl>
          <w:p>
            <w:pPr>
              <w:spacing w:line="360" w:lineRule="auto"/>
              <w:ind w:firstLine="420"/>
              <w:rPr>
                <w:color w:val="000000"/>
              </w:rPr>
            </w:pPr>
            <w:r>
              <w:rPr>
                <w:color w:val="000000"/>
              </w:rPr>
              <w:t>本项目有与无组织排放源共存的排放同种有害气体的排气筒的排放量，小于标准规定的允许排放量的1/3，属于II类。</w:t>
            </w:r>
          </w:p>
          <w:p>
            <w:pPr>
              <w:spacing w:line="360" w:lineRule="auto"/>
              <w:ind w:firstLine="420"/>
              <w:rPr>
                <w:color w:val="000000"/>
              </w:rPr>
            </w:pPr>
            <w:r>
              <w:rPr>
                <w:color w:val="000000"/>
              </w:rPr>
              <w:t>根据《大气有害物质无组织排放卫生防护距离推导技术导则》（GB/T39499-2020）中第4章，“当目标企业无组织排放存在多种有毒有害物质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w:t>
            </w:r>
          </w:p>
          <w:p>
            <w:pPr>
              <w:spacing w:line="360" w:lineRule="auto"/>
              <w:ind w:firstLine="420"/>
              <w:rPr>
                <w:color w:val="000000"/>
              </w:rPr>
            </w:pPr>
            <w:r>
              <w:rPr>
                <w:color w:val="000000"/>
              </w:rPr>
              <w:t>本项目无组织废气</w:t>
            </w:r>
            <w:r>
              <w:rPr>
                <w:rFonts w:hint="eastAsia"/>
                <w:color w:val="000000"/>
                <w:lang w:val="en-US" w:eastAsia="zh-CN"/>
              </w:rPr>
              <w:t>为</w:t>
            </w:r>
            <w:r>
              <w:rPr>
                <w:color w:val="000000"/>
              </w:rPr>
              <w:t>颗粒物</w:t>
            </w:r>
            <w:r>
              <w:rPr>
                <w:rFonts w:hint="eastAsia"/>
                <w:color w:val="000000"/>
                <w:lang w:val="en-US" w:eastAsia="zh-CN"/>
              </w:rPr>
              <w:t>和非甲烷总烃</w:t>
            </w:r>
            <w:r>
              <w:rPr>
                <w:color w:val="000000"/>
              </w:rPr>
              <w:t>。因此，本项目选择生产车间排放的颗粒物</w:t>
            </w:r>
            <w:r>
              <w:rPr>
                <w:rFonts w:hint="eastAsia"/>
                <w:color w:val="000000"/>
                <w:lang w:val="en-US" w:eastAsia="zh-CN"/>
              </w:rPr>
              <w:t>和非甲烷总烃</w:t>
            </w:r>
            <w:r>
              <w:rPr>
                <w:color w:val="000000"/>
              </w:rPr>
              <w:t>计算卫生防护距离初值。本项目卫生防护距离计算参数见下表。</w:t>
            </w:r>
          </w:p>
          <w:p>
            <w:pPr>
              <w:spacing w:line="360" w:lineRule="auto"/>
              <w:ind w:firstLine="422"/>
              <w:jc w:val="center"/>
              <w:rPr>
                <w:color w:val="000000"/>
              </w:rPr>
            </w:pPr>
            <w:r>
              <w:rPr>
                <w:b/>
                <w:color w:val="000000"/>
              </w:rPr>
              <w:t>表4-</w:t>
            </w:r>
            <w:r>
              <w:rPr>
                <w:rFonts w:hint="eastAsia"/>
                <w:b/>
                <w:color w:val="000000"/>
                <w:lang w:val="en-US" w:eastAsia="zh-CN"/>
              </w:rPr>
              <w:t>14</w:t>
            </w:r>
            <w:r>
              <w:rPr>
                <w:b/>
                <w:color w:val="000000"/>
              </w:rPr>
              <w:t xml:space="preserve"> </w:t>
            </w:r>
            <w:r>
              <w:rPr>
                <w:rFonts w:hint="eastAsia"/>
                <w:b/>
                <w:color w:val="000000"/>
                <w:lang w:val="en-US" w:eastAsia="zh-CN"/>
              </w:rPr>
              <w:t xml:space="preserve"> </w:t>
            </w:r>
            <w:r>
              <w:rPr>
                <w:b/>
                <w:color w:val="000000"/>
              </w:rPr>
              <w:t>卫生防护距离计算参数</w:t>
            </w:r>
          </w:p>
          <w:tbl>
            <w:tblPr>
              <w:tblStyle w:val="90"/>
              <w:tblW w:w="496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8"/>
              <w:gridCol w:w="953"/>
              <w:gridCol w:w="1796"/>
              <w:gridCol w:w="1625"/>
              <w:gridCol w:w="777"/>
              <w:gridCol w:w="1009"/>
              <w:gridCol w:w="12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8" w:type="pct"/>
                  <w:gridSpan w:val="2"/>
                  <w:vMerge w:val="restart"/>
                  <w:noWrap w:val="0"/>
                  <w:vAlign w:val="center"/>
                </w:tcPr>
                <w:p>
                  <w:pPr>
                    <w:spacing w:line="240" w:lineRule="auto"/>
                    <w:ind w:firstLine="0" w:firstLineChars="0"/>
                    <w:jc w:val="center"/>
                    <w:rPr>
                      <w:b/>
                      <w:bCs/>
                      <w:sz w:val="20"/>
                      <w:szCs w:val="20"/>
                    </w:rPr>
                  </w:pPr>
                  <w:r>
                    <w:rPr>
                      <w:b/>
                      <w:bCs/>
                      <w:sz w:val="20"/>
                      <w:szCs w:val="20"/>
                    </w:rPr>
                    <w:t>污染物</w:t>
                  </w:r>
                </w:p>
              </w:tc>
              <w:tc>
                <w:tcPr>
                  <w:tcW w:w="1075" w:type="pct"/>
                  <w:vMerge w:val="restart"/>
                  <w:noWrap w:val="0"/>
                  <w:vAlign w:val="center"/>
                </w:tcPr>
                <w:p>
                  <w:pPr>
                    <w:spacing w:line="240" w:lineRule="auto"/>
                    <w:ind w:firstLine="0" w:firstLineChars="0"/>
                    <w:jc w:val="center"/>
                    <w:rPr>
                      <w:b/>
                      <w:bCs/>
                      <w:sz w:val="20"/>
                      <w:szCs w:val="20"/>
                    </w:rPr>
                  </w:pPr>
                  <w:r>
                    <w:rPr>
                      <w:b/>
                      <w:bCs/>
                      <w:sz w:val="20"/>
                      <w:szCs w:val="20"/>
                    </w:rPr>
                    <w:t>产生速率(kg/h)</w:t>
                  </w:r>
                </w:p>
              </w:tc>
              <w:tc>
                <w:tcPr>
                  <w:tcW w:w="972" w:type="pct"/>
                  <w:vMerge w:val="restart"/>
                  <w:noWrap w:val="0"/>
                  <w:vAlign w:val="center"/>
                </w:tcPr>
                <w:p>
                  <w:pPr>
                    <w:spacing w:line="240" w:lineRule="auto"/>
                    <w:ind w:firstLine="0" w:firstLineChars="0"/>
                    <w:jc w:val="center"/>
                    <w:rPr>
                      <w:b/>
                      <w:bCs/>
                      <w:sz w:val="20"/>
                      <w:szCs w:val="20"/>
                    </w:rPr>
                  </w:pPr>
                  <w:r>
                    <w:rPr>
                      <w:b/>
                      <w:bCs/>
                      <w:sz w:val="20"/>
                      <w:szCs w:val="20"/>
                    </w:rPr>
                    <w:t>面源面积(m</w:t>
                  </w:r>
                  <w:r>
                    <w:rPr>
                      <w:b/>
                      <w:bCs/>
                      <w:sz w:val="20"/>
                      <w:szCs w:val="20"/>
                      <w:vertAlign w:val="superscript"/>
                    </w:rPr>
                    <w:t>2</w:t>
                  </w:r>
                  <w:r>
                    <w:rPr>
                      <w:b/>
                      <w:bCs/>
                      <w:sz w:val="20"/>
                      <w:szCs w:val="20"/>
                    </w:rPr>
                    <w:t>)</w:t>
                  </w:r>
                </w:p>
              </w:tc>
              <w:tc>
                <w:tcPr>
                  <w:tcW w:w="465" w:type="pct"/>
                  <w:vMerge w:val="restart"/>
                  <w:noWrap w:val="0"/>
                  <w:vAlign w:val="center"/>
                </w:tcPr>
                <w:p>
                  <w:pPr>
                    <w:spacing w:line="240" w:lineRule="auto"/>
                    <w:ind w:firstLine="0" w:firstLineChars="0"/>
                    <w:jc w:val="center"/>
                    <w:rPr>
                      <w:b/>
                      <w:bCs/>
                      <w:sz w:val="20"/>
                      <w:szCs w:val="20"/>
                    </w:rPr>
                  </w:pPr>
                  <w:r>
                    <w:rPr>
                      <w:b/>
                      <w:bCs/>
                      <w:sz w:val="20"/>
                      <w:szCs w:val="20"/>
                    </w:rPr>
                    <w:t>L(m)</w:t>
                  </w:r>
                </w:p>
              </w:tc>
              <w:tc>
                <w:tcPr>
                  <w:tcW w:w="1378" w:type="pct"/>
                  <w:gridSpan w:val="2"/>
                  <w:noWrap w:val="0"/>
                  <w:vAlign w:val="center"/>
                </w:tcPr>
                <w:p>
                  <w:pPr>
                    <w:spacing w:line="240" w:lineRule="auto"/>
                    <w:ind w:firstLine="0" w:firstLineChars="0"/>
                    <w:jc w:val="center"/>
                    <w:rPr>
                      <w:b/>
                      <w:bCs/>
                      <w:sz w:val="20"/>
                      <w:szCs w:val="20"/>
                    </w:rPr>
                  </w:pPr>
                  <w:r>
                    <w:rPr>
                      <w:b/>
                      <w:bCs/>
                      <w:sz w:val="20"/>
                      <w:szCs w:val="20"/>
                    </w:rPr>
                    <w:t>卫生防护距离(m)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08" w:type="pct"/>
                  <w:gridSpan w:val="2"/>
                  <w:vMerge w:val="continue"/>
                  <w:noWrap w:val="0"/>
                  <w:vAlign w:val="center"/>
                </w:tcPr>
                <w:p>
                  <w:pPr>
                    <w:spacing w:line="240" w:lineRule="auto"/>
                    <w:ind w:firstLine="0" w:firstLineChars="0"/>
                    <w:jc w:val="center"/>
                    <w:rPr>
                      <w:b/>
                      <w:bCs/>
                      <w:sz w:val="20"/>
                      <w:szCs w:val="20"/>
                    </w:rPr>
                  </w:pPr>
                </w:p>
              </w:tc>
              <w:tc>
                <w:tcPr>
                  <w:tcW w:w="1075" w:type="pct"/>
                  <w:vMerge w:val="continue"/>
                  <w:noWrap w:val="0"/>
                  <w:vAlign w:val="center"/>
                </w:tcPr>
                <w:p>
                  <w:pPr>
                    <w:spacing w:line="240" w:lineRule="auto"/>
                    <w:ind w:firstLine="0" w:firstLineChars="0"/>
                    <w:jc w:val="center"/>
                    <w:rPr>
                      <w:b/>
                      <w:bCs/>
                      <w:sz w:val="20"/>
                      <w:szCs w:val="20"/>
                    </w:rPr>
                  </w:pPr>
                </w:p>
              </w:tc>
              <w:tc>
                <w:tcPr>
                  <w:tcW w:w="972" w:type="pct"/>
                  <w:vMerge w:val="continue"/>
                  <w:noWrap w:val="0"/>
                  <w:vAlign w:val="center"/>
                </w:tcPr>
                <w:p>
                  <w:pPr>
                    <w:spacing w:line="240" w:lineRule="auto"/>
                    <w:ind w:firstLine="0" w:firstLineChars="0"/>
                    <w:jc w:val="center"/>
                    <w:rPr>
                      <w:b/>
                      <w:bCs/>
                      <w:sz w:val="20"/>
                      <w:szCs w:val="20"/>
                    </w:rPr>
                  </w:pPr>
                </w:p>
              </w:tc>
              <w:tc>
                <w:tcPr>
                  <w:tcW w:w="465" w:type="pct"/>
                  <w:vMerge w:val="continue"/>
                  <w:noWrap w:val="0"/>
                  <w:vAlign w:val="center"/>
                </w:tcPr>
                <w:p>
                  <w:pPr>
                    <w:spacing w:line="240" w:lineRule="auto"/>
                    <w:ind w:firstLine="0" w:firstLineChars="0"/>
                    <w:jc w:val="center"/>
                    <w:rPr>
                      <w:b/>
                      <w:bCs/>
                      <w:sz w:val="20"/>
                      <w:szCs w:val="20"/>
                    </w:rPr>
                  </w:pPr>
                </w:p>
              </w:tc>
              <w:tc>
                <w:tcPr>
                  <w:tcW w:w="604" w:type="pct"/>
                  <w:noWrap w:val="0"/>
                  <w:vAlign w:val="center"/>
                </w:tcPr>
                <w:p>
                  <w:pPr>
                    <w:spacing w:line="240" w:lineRule="auto"/>
                    <w:ind w:firstLine="0" w:firstLineChars="0"/>
                    <w:jc w:val="center"/>
                    <w:rPr>
                      <w:b/>
                      <w:bCs/>
                      <w:sz w:val="20"/>
                      <w:szCs w:val="20"/>
                    </w:rPr>
                  </w:pPr>
                  <w:r>
                    <w:rPr>
                      <w:b/>
                      <w:bCs/>
                      <w:sz w:val="20"/>
                      <w:szCs w:val="20"/>
                    </w:rPr>
                    <w:t>初值</w:t>
                  </w:r>
                </w:p>
              </w:tc>
              <w:tc>
                <w:tcPr>
                  <w:tcW w:w="774" w:type="pct"/>
                  <w:noWrap w:val="0"/>
                  <w:vAlign w:val="center"/>
                </w:tcPr>
                <w:p>
                  <w:pPr>
                    <w:spacing w:line="240" w:lineRule="auto"/>
                    <w:ind w:firstLine="0" w:firstLineChars="0"/>
                    <w:jc w:val="center"/>
                    <w:rPr>
                      <w:b/>
                      <w:bCs/>
                      <w:sz w:val="20"/>
                      <w:szCs w:val="20"/>
                    </w:rPr>
                  </w:pPr>
                  <w:r>
                    <w:rPr>
                      <w:b/>
                      <w:bCs/>
                      <w:sz w:val="20"/>
                      <w:szCs w:val="20"/>
                    </w:rPr>
                    <w:t>终值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restart"/>
                  <w:noWrap w:val="0"/>
                  <w:vAlign w:val="center"/>
                </w:tcPr>
                <w:p>
                  <w:pPr>
                    <w:spacing w:line="240" w:lineRule="auto"/>
                    <w:ind w:firstLine="0" w:firstLineChars="0"/>
                    <w:jc w:val="center"/>
                    <w:textAlignment w:val="center"/>
                    <w:rPr>
                      <w:sz w:val="20"/>
                      <w:szCs w:val="20"/>
                    </w:rPr>
                  </w:pPr>
                  <w:r>
                    <w:rPr>
                      <w:sz w:val="20"/>
                      <w:szCs w:val="20"/>
                    </w:rPr>
                    <w:t>生产车间</w:t>
                  </w:r>
                </w:p>
              </w:tc>
              <w:tc>
                <w:tcPr>
                  <w:tcW w:w="571" w:type="pct"/>
                  <w:noWrap w:val="0"/>
                  <w:vAlign w:val="center"/>
                </w:tcPr>
                <w:p>
                  <w:pPr>
                    <w:spacing w:line="240" w:lineRule="auto"/>
                    <w:ind w:firstLine="0" w:firstLineChars="0"/>
                    <w:jc w:val="center"/>
                    <w:textAlignment w:val="center"/>
                    <w:rPr>
                      <w:rFonts w:hint="eastAsia" w:eastAsia="宋体"/>
                      <w:sz w:val="20"/>
                      <w:szCs w:val="20"/>
                      <w:lang w:eastAsia="zh-CN"/>
                    </w:rPr>
                  </w:pPr>
                  <w:r>
                    <w:rPr>
                      <w:sz w:val="20"/>
                      <w:szCs w:val="20"/>
                    </w:rPr>
                    <w:t>颗粒物</w:t>
                  </w:r>
                  <w:r>
                    <w:rPr>
                      <w:rFonts w:hint="eastAsia"/>
                      <w:sz w:val="20"/>
                      <w:szCs w:val="20"/>
                      <w:lang w:eastAsia="zh-CN"/>
                    </w:rPr>
                    <w:t>（</w:t>
                  </w:r>
                  <w:r>
                    <w:rPr>
                      <w:rFonts w:hint="eastAsia"/>
                      <w:sz w:val="20"/>
                      <w:szCs w:val="20"/>
                      <w:lang w:val="en-US" w:eastAsia="zh-CN"/>
                    </w:rPr>
                    <w:t>拉毛区域</w:t>
                  </w:r>
                  <w:r>
                    <w:rPr>
                      <w:rFonts w:hint="eastAsia"/>
                      <w:sz w:val="20"/>
                      <w:szCs w:val="20"/>
                      <w:lang w:eastAsia="zh-CN"/>
                    </w:rPr>
                    <w:t>）</w:t>
                  </w:r>
                </w:p>
              </w:tc>
              <w:tc>
                <w:tcPr>
                  <w:tcW w:w="1075" w:type="pct"/>
                  <w:noWrap w:val="0"/>
                  <w:vAlign w:val="center"/>
                </w:tcPr>
                <w:p>
                  <w:pPr>
                    <w:spacing w:line="240" w:lineRule="auto"/>
                    <w:ind w:firstLine="0" w:firstLineChars="0"/>
                    <w:jc w:val="center"/>
                    <w:textAlignment w:val="center"/>
                    <w:rPr>
                      <w:rFonts w:hint="default" w:eastAsia="等线"/>
                      <w:sz w:val="20"/>
                      <w:szCs w:val="20"/>
                      <w:lang w:val="en-US" w:eastAsia="zh-CN" w:bidi="ar"/>
                    </w:rPr>
                  </w:pPr>
                  <w:r>
                    <w:rPr>
                      <w:rFonts w:eastAsia="等线"/>
                      <w:sz w:val="20"/>
                      <w:szCs w:val="20"/>
                    </w:rPr>
                    <w:t>0.0</w:t>
                  </w:r>
                  <w:r>
                    <w:rPr>
                      <w:rFonts w:hint="eastAsia" w:eastAsia="等线"/>
                      <w:sz w:val="20"/>
                      <w:szCs w:val="20"/>
                      <w:lang w:val="en-US" w:eastAsia="zh-CN"/>
                    </w:rPr>
                    <w:t>11</w:t>
                  </w:r>
                </w:p>
              </w:tc>
              <w:tc>
                <w:tcPr>
                  <w:tcW w:w="972" w:type="pct"/>
                  <w:noWrap w:val="0"/>
                  <w:vAlign w:val="center"/>
                </w:tcPr>
                <w:p>
                  <w:pPr>
                    <w:spacing w:line="240" w:lineRule="auto"/>
                    <w:ind w:firstLine="0" w:firstLineChars="0"/>
                    <w:jc w:val="center"/>
                    <w:textAlignment w:val="center"/>
                    <w:rPr>
                      <w:rFonts w:hint="default" w:eastAsia="宋体"/>
                      <w:sz w:val="20"/>
                      <w:szCs w:val="20"/>
                      <w:lang w:val="en-US" w:eastAsia="zh-CN"/>
                    </w:rPr>
                  </w:pPr>
                  <w:r>
                    <w:rPr>
                      <w:rFonts w:hint="eastAsia"/>
                      <w:sz w:val="20"/>
                      <w:szCs w:val="20"/>
                      <w:lang w:val="en-US" w:eastAsia="zh-CN"/>
                    </w:rPr>
                    <w:t>200</w:t>
                  </w:r>
                </w:p>
              </w:tc>
              <w:tc>
                <w:tcPr>
                  <w:tcW w:w="465" w:type="pct"/>
                  <w:noWrap w:val="0"/>
                  <w:vAlign w:val="center"/>
                </w:tcPr>
                <w:p>
                  <w:pPr>
                    <w:spacing w:line="240" w:lineRule="auto"/>
                    <w:ind w:firstLine="0" w:firstLineChars="0"/>
                    <w:jc w:val="center"/>
                    <w:rPr>
                      <w:rFonts w:hint="default" w:eastAsia="宋体"/>
                      <w:sz w:val="20"/>
                      <w:szCs w:val="20"/>
                      <w:lang w:val="en-US" w:eastAsia="zh-CN"/>
                    </w:rPr>
                  </w:pPr>
                  <w:r>
                    <w:rPr>
                      <w:rFonts w:hint="eastAsia"/>
                      <w:sz w:val="20"/>
                      <w:szCs w:val="20"/>
                      <w:lang w:val="en-US" w:eastAsia="zh-CN"/>
                    </w:rPr>
                    <w:t>0.024</w:t>
                  </w:r>
                </w:p>
              </w:tc>
              <w:tc>
                <w:tcPr>
                  <w:tcW w:w="604" w:type="pct"/>
                  <w:noWrap w:val="0"/>
                  <w:vAlign w:val="center"/>
                </w:tcPr>
                <w:p>
                  <w:pPr>
                    <w:spacing w:line="240" w:lineRule="auto"/>
                    <w:ind w:firstLine="0" w:firstLineChars="0"/>
                    <w:jc w:val="center"/>
                    <w:rPr>
                      <w:sz w:val="20"/>
                      <w:szCs w:val="20"/>
                    </w:rPr>
                  </w:pPr>
                  <w:r>
                    <w:rPr>
                      <w:sz w:val="20"/>
                      <w:szCs w:val="20"/>
                    </w:rPr>
                    <w:t>＜50</w:t>
                  </w:r>
                </w:p>
              </w:tc>
              <w:tc>
                <w:tcPr>
                  <w:tcW w:w="774" w:type="pct"/>
                  <w:noWrap w:val="0"/>
                  <w:vAlign w:val="center"/>
                </w:tcPr>
                <w:p>
                  <w:pPr>
                    <w:spacing w:line="240" w:lineRule="auto"/>
                    <w:ind w:firstLine="0" w:firstLineChars="0"/>
                    <w:jc w:val="center"/>
                    <w:rPr>
                      <w:sz w:val="20"/>
                      <w:szCs w:val="20"/>
                    </w:rPr>
                  </w:pPr>
                  <w:r>
                    <w:rPr>
                      <w:sz w:val="20"/>
                      <w:szCs w:val="20"/>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37" w:type="pct"/>
                  <w:vMerge w:val="continue"/>
                  <w:noWrap w:val="0"/>
                  <w:vAlign w:val="center"/>
                </w:tcPr>
                <w:p>
                  <w:pPr>
                    <w:spacing w:line="240" w:lineRule="auto"/>
                    <w:ind w:firstLine="0" w:firstLineChars="0"/>
                    <w:jc w:val="center"/>
                    <w:textAlignment w:val="center"/>
                    <w:rPr>
                      <w:sz w:val="20"/>
                      <w:szCs w:val="20"/>
                    </w:rPr>
                  </w:pPr>
                </w:p>
              </w:tc>
              <w:tc>
                <w:tcPr>
                  <w:tcW w:w="571" w:type="pct"/>
                  <w:noWrap w:val="0"/>
                  <w:vAlign w:val="center"/>
                </w:tcPr>
                <w:p>
                  <w:pPr>
                    <w:spacing w:line="240" w:lineRule="auto"/>
                    <w:ind w:firstLine="0" w:firstLineChars="0"/>
                    <w:jc w:val="center"/>
                    <w:textAlignment w:val="center"/>
                    <w:rPr>
                      <w:rFonts w:hint="eastAsia" w:eastAsia="宋体"/>
                      <w:sz w:val="20"/>
                      <w:szCs w:val="20"/>
                      <w:lang w:val="en-US" w:eastAsia="zh-CN"/>
                    </w:rPr>
                  </w:pPr>
                  <w:r>
                    <w:rPr>
                      <w:rFonts w:hint="eastAsia"/>
                      <w:sz w:val="20"/>
                      <w:szCs w:val="20"/>
                      <w:lang w:val="en-US" w:eastAsia="zh-CN"/>
                    </w:rPr>
                    <w:t>颗粒物（定型区域）</w:t>
                  </w:r>
                </w:p>
              </w:tc>
              <w:tc>
                <w:tcPr>
                  <w:tcW w:w="1075" w:type="pct"/>
                  <w:noWrap w:val="0"/>
                  <w:vAlign w:val="center"/>
                </w:tcPr>
                <w:p>
                  <w:pPr>
                    <w:spacing w:line="240" w:lineRule="auto"/>
                    <w:ind w:firstLine="0" w:firstLineChars="0"/>
                    <w:jc w:val="center"/>
                    <w:textAlignment w:val="center"/>
                    <w:rPr>
                      <w:rFonts w:hint="default" w:eastAsia="等线"/>
                      <w:sz w:val="20"/>
                      <w:szCs w:val="20"/>
                      <w:lang w:val="en-US" w:eastAsia="zh-CN"/>
                    </w:rPr>
                  </w:pPr>
                  <w:r>
                    <w:rPr>
                      <w:rFonts w:hint="eastAsia" w:eastAsia="等线"/>
                      <w:sz w:val="20"/>
                      <w:szCs w:val="20"/>
                      <w:lang w:val="en-US" w:eastAsia="zh-CN"/>
                    </w:rPr>
                    <w:t>0.0003</w:t>
                  </w:r>
                </w:p>
              </w:tc>
              <w:tc>
                <w:tcPr>
                  <w:tcW w:w="972" w:type="pct"/>
                  <w:noWrap w:val="0"/>
                  <w:vAlign w:val="center"/>
                </w:tcPr>
                <w:p>
                  <w:pPr>
                    <w:spacing w:line="240" w:lineRule="auto"/>
                    <w:ind w:firstLine="0" w:firstLineChars="0"/>
                    <w:jc w:val="center"/>
                    <w:textAlignment w:val="center"/>
                    <w:rPr>
                      <w:sz w:val="20"/>
                      <w:szCs w:val="20"/>
                    </w:rPr>
                  </w:pPr>
                  <w:r>
                    <w:rPr>
                      <w:sz w:val="20"/>
                      <w:szCs w:val="20"/>
                    </w:rPr>
                    <w:t>1200</w:t>
                  </w:r>
                </w:p>
              </w:tc>
              <w:tc>
                <w:tcPr>
                  <w:tcW w:w="465" w:type="pct"/>
                  <w:noWrap w:val="0"/>
                  <w:vAlign w:val="center"/>
                </w:tcPr>
                <w:p>
                  <w:pPr>
                    <w:spacing w:line="240" w:lineRule="auto"/>
                    <w:ind w:firstLine="0" w:firstLineChars="0"/>
                    <w:jc w:val="center"/>
                    <w:rPr>
                      <w:rFonts w:hint="default"/>
                      <w:sz w:val="20"/>
                      <w:szCs w:val="20"/>
                      <w:lang w:val="en-US" w:eastAsia="zh-CN"/>
                    </w:rPr>
                  </w:pPr>
                  <w:r>
                    <w:rPr>
                      <w:rFonts w:hint="eastAsia"/>
                      <w:sz w:val="20"/>
                      <w:szCs w:val="20"/>
                      <w:lang w:val="en-US" w:eastAsia="zh-CN"/>
                    </w:rPr>
                    <w:t>/</w:t>
                  </w:r>
                </w:p>
              </w:tc>
              <w:tc>
                <w:tcPr>
                  <w:tcW w:w="604" w:type="pct"/>
                  <w:noWrap w:val="0"/>
                  <w:vAlign w:val="center"/>
                </w:tcPr>
                <w:p>
                  <w:pPr>
                    <w:spacing w:line="240" w:lineRule="auto"/>
                    <w:ind w:firstLine="0" w:firstLineChars="0"/>
                    <w:jc w:val="center"/>
                    <w:rPr>
                      <w:rFonts w:hint="eastAsia" w:eastAsia="宋体"/>
                      <w:sz w:val="20"/>
                      <w:szCs w:val="20"/>
                      <w:lang w:val="en-US" w:eastAsia="zh-CN"/>
                    </w:rPr>
                  </w:pPr>
                  <w:r>
                    <w:rPr>
                      <w:rFonts w:hint="eastAsia"/>
                      <w:sz w:val="20"/>
                      <w:szCs w:val="20"/>
                      <w:lang w:val="en-US" w:eastAsia="zh-CN"/>
                    </w:rPr>
                    <w:t>/</w:t>
                  </w:r>
                </w:p>
              </w:tc>
              <w:tc>
                <w:tcPr>
                  <w:tcW w:w="774" w:type="pct"/>
                  <w:noWrap w:val="0"/>
                  <w:vAlign w:val="center"/>
                </w:tcPr>
                <w:p>
                  <w:pPr>
                    <w:spacing w:line="240" w:lineRule="auto"/>
                    <w:ind w:firstLine="0" w:firstLineChars="0"/>
                    <w:jc w:val="center"/>
                    <w:rPr>
                      <w:rFonts w:hint="eastAsia" w:eastAsia="宋体"/>
                      <w:sz w:val="20"/>
                      <w:szCs w:val="20"/>
                      <w:lang w:val="en-US" w:eastAsia="zh-CN"/>
                    </w:rPr>
                  </w:pPr>
                  <w:r>
                    <w:rPr>
                      <w:rFonts w:hint="eastAsia"/>
                      <w:sz w:val="20"/>
                      <w:szCs w:val="20"/>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37" w:type="pct"/>
                  <w:vMerge w:val="continue"/>
                  <w:noWrap w:val="0"/>
                  <w:vAlign w:val="center"/>
                </w:tcPr>
                <w:p>
                  <w:pPr>
                    <w:spacing w:line="240" w:lineRule="auto"/>
                    <w:ind w:firstLine="0" w:firstLineChars="0"/>
                    <w:jc w:val="center"/>
                    <w:textAlignment w:val="center"/>
                    <w:rPr>
                      <w:sz w:val="20"/>
                      <w:szCs w:val="20"/>
                    </w:rPr>
                  </w:pPr>
                </w:p>
              </w:tc>
              <w:tc>
                <w:tcPr>
                  <w:tcW w:w="571" w:type="pct"/>
                  <w:noWrap w:val="0"/>
                  <w:vAlign w:val="center"/>
                </w:tcPr>
                <w:p>
                  <w:pPr>
                    <w:spacing w:line="240" w:lineRule="auto"/>
                    <w:ind w:firstLine="0" w:firstLineChars="0"/>
                    <w:jc w:val="center"/>
                    <w:textAlignment w:val="center"/>
                    <w:rPr>
                      <w:rFonts w:hint="eastAsia" w:eastAsia="宋体"/>
                      <w:sz w:val="20"/>
                      <w:szCs w:val="20"/>
                      <w:lang w:val="en-US" w:eastAsia="zh-CN"/>
                    </w:rPr>
                  </w:pPr>
                  <w:r>
                    <w:rPr>
                      <w:rFonts w:hint="eastAsia"/>
                      <w:sz w:val="20"/>
                      <w:szCs w:val="20"/>
                      <w:lang w:val="en-US" w:eastAsia="zh-CN"/>
                    </w:rPr>
                    <w:t>非甲烷总烃</w:t>
                  </w:r>
                </w:p>
              </w:tc>
              <w:tc>
                <w:tcPr>
                  <w:tcW w:w="1075" w:type="pct"/>
                  <w:noWrap w:val="0"/>
                  <w:vAlign w:val="center"/>
                </w:tcPr>
                <w:p>
                  <w:pPr>
                    <w:spacing w:line="240" w:lineRule="auto"/>
                    <w:ind w:firstLine="0" w:firstLineChars="0"/>
                    <w:jc w:val="center"/>
                    <w:textAlignment w:val="center"/>
                    <w:rPr>
                      <w:rFonts w:hint="default" w:eastAsia="等线"/>
                      <w:sz w:val="20"/>
                      <w:szCs w:val="20"/>
                      <w:lang w:val="en-US" w:eastAsia="zh-CN"/>
                    </w:rPr>
                  </w:pPr>
                  <w:r>
                    <w:rPr>
                      <w:rFonts w:hint="eastAsia" w:eastAsia="等线"/>
                      <w:sz w:val="20"/>
                      <w:szCs w:val="20"/>
                      <w:lang w:val="en-US" w:eastAsia="zh-CN"/>
                    </w:rPr>
                    <w:t>0.011</w:t>
                  </w:r>
                </w:p>
              </w:tc>
              <w:tc>
                <w:tcPr>
                  <w:tcW w:w="972" w:type="pct"/>
                  <w:noWrap w:val="0"/>
                  <w:vAlign w:val="center"/>
                </w:tcPr>
                <w:p>
                  <w:pPr>
                    <w:spacing w:line="240" w:lineRule="auto"/>
                    <w:ind w:firstLine="0" w:firstLineChars="0"/>
                    <w:jc w:val="center"/>
                    <w:textAlignment w:val="center"/>
                    <w:rPr>
                      <w:rFonts w:hint="default" w:eastAsia="宋体"/>
                      <w:sz w:val="20"/>
                      <w:szCs w:val="20"/>
                      <w:lang w:val="en-US" w:eastAsia="zh-CN"/>
                    </w:rPr>
                  </w:pPr>
                  <w:r>
                    <w:rPr>
                      <w:rFonts w:hint="eastAsia"/>
                      <w:sz w:val="20"/>
                      <w:szCs w:val="20"/>
                      <w:lang w:val="en-US" w:eastAsia="zh-CN"/>
                    </w:rPr>
                    <w:t>1200</w:t>
                  </w:r>
                </w:p>
              </w:tc>
              <w:tc>
                <w:tcPr>
                  <w:tcW w:w="465" w:type="pct"/>
                  <w:noWrap w:val="0"/>
                  <w:vAlign w:val="center"/>
                </w:tcPr>
                <w:p>
                  <w:pPr>
                    <w:spacing w:line="240" w:lineRule="auto"/>
                    <w:ind w:firstLine="0" w:firstLineChars="0"/>
                    <w:jc w:val="center"/>
                    <w:rPr>
                      <w:rFonts w:hint="default" w:eastAsia="宋体"/>
                      <w:sz w:val="20"/>
                      <w:szCs w:val="20"/>
                      <w:lang w:val="en-US" w:eastAsia="zh-CN"/>
                    </w:rPr>
                  </w:pPr>
                  <w:r>
                    <w:rPr>
                      <w:rFonts w:hint="eastAsia"/>
                      <w:sz w:val="20"/>
                      <w:szCs w:val="20"/>
                      <w:lang w:val="en-US" w:eastAsia="zh-CN"/>
                    </w:rPr>
                    <w:t>0.148</w:t>
                  </w:r>
                </w:p>
              </w:tc>
              <w:tc>
                <w:tcPr>
                  <w:tcW w:w="604" w:type="pct"/>
                  <w:shd w:val="clear" w:color="auto" w:fill="auto"/>
                  <w:noWrap w:val="0"/>
                  <w:vAlign w:val="center"/>
                </w:tcPr>
                <w:p>
                  <w:pPr>
                    <w:spacing w:line="240" w:lineRule="auto"/>
                    <w:ind w:firstLine="0" w:firstLineChars="0"/>
                    <w:jc w:val="center"/>
                    <w:rPr>
                      <w:rFonts w:ascii="Times New Roman" w:hAnsi="Times New Roman" w:eastAsia="宋体" w:cs="Times New Roman"/>
                      <w:kern w:val="2"/>
                      <w:sz w:val="20"/>
                      <w:szCs w:val="20"/>
                      <w:lang w:val="en-US" w:eastAsia="zh-CN" w:bidi="ar-SA"/>
                    </w:rPr>
                  </w:pPr>
                  <w:r>
                    <w:rPr>
                      <w:sz w:val="20"/>
                      <w:szCs w:val="20"/>
                    </w:rPr>
                    <w:t>＜50</w:t>
                  </w:r>
                </w:p>
              </w:tc>
              <w:tc>
                <w:tcPr>
                  <w:tcW w:w="774" w:type="pct"/>
                  <w:shd w:val="clear" w:color="auto" w:fill="auto"/>
                  <w:noWrap w:val="0"/>
                  <w:vAlign w:val="center"/>
                </w:tcPr>
                <w:p>
                  <w:pPr>
                    <w:spacing w:line="240" w:lineRule="auto"/>
                    <w:ind w:firstLine="0" w:firstLineChars="0"/>
                    <w:jc w:val="center"/>
                    <w:rPr>
                      <w:rFonts w:ascii="Times New Roman" w:hAnsi="Times New Roman" w:eastAsia="宋体" w:cs="Times New Roman"/>
                      <w:kern w:val="2"/>
                      <w:sz w:val="20"/>
                      <w:szCs w:val="20"/>
                      <w:lang w:val="en-US" w:eastAsia="zh-CN" w:bidi="ar-SA"/>
                    </w:rPr>
                  </w:pPr>
                  <w:r>
                    <w:rPr>
                      <w:sz w:val="20"/>
                      <w:szCs w:val="20"/>
                    </w:rPr>
                    <w:t>50</w:t>
                  </w:r>
                </w:p>
              </w:tc>
            </w:tr>
          </w:tbl>
          <w:p>
            <w:pPr>
              <w:spacing w:line="360" w:lineRule="auto"/>
              <w:ind w:firstLine="420"/>
              <w:rPr>
                <w:color w:val="FF0000"/>
              </w:rPr>
            </w:pPr>
            <w:r>
              <w:rPr>
                <w:color w:val="FF0000"/>
              </w:rPr>
              <w:t>根据《大气有害物质无组织排放卫生防护距离推导技术导则》（GB/T 39499-2020）：当企业生产单元无组织排放存在多种特征大气有害物质时，如果分别推导出的卫生防护距离初值在同一级别，则该企业的卫生防护距离终值应提高一级</w:t>
            </w:r>
            <w:r>
              <w:rPr>
                <w:rFonts w:hint="eastAsia"/>
                <w:color w:val="FF0000"/>
                <w:lang w:eastAsia="zh-CN"/>
              </w:rPr>
              <w:t>，</w:t>
            </w:r>
            <w:r>
              <w:rPr>
                <w:color w:val="FF0000"/>
              </w:rPr>
              <w:t>因此</w:t>
            </w:r>
            <w:r>
              <w:rPr>
                <w:rFonts w:hint="eastAsia"/>
                <w:color w:val="FF0000"/>
                <w:lang w:val="en-US" w:eastAsia="zh-CN"/>
              </w:rPr>
              <w:t>本项目</w:t>
            </w:r>
            <w:r>
              <w:rPr>
                <w:color w:val="FF0000"/>
              </w:rPr>
              <w:t>需提高一级。</w:t>
            </w:r>
          </w:p>
          <w:p>
            <w:pPr>
              <w:spacing w:line="360" w:lineRule="auto"/>
              <w:ind w:firstLine="420"/>
              <w:rPr>
                <w:color w:val="FF0000"/>
              </w:rPr>
            </w:pPr>
            <w:r>
              <w:rPr>
                <w:color w:val="FF0000"/>
              </w:rPr>
              <w:t>根据卫生防护距离估算结果，本项目以生产车间边界为起点设置</w:t>
            </w:r>
            <w:r>
              <w:rPr>
                <w:rFonts w:hint="eastAsia"/>
                <w:color w:val="FF0000"/>
                <w:lang w:val="en-US" w:eastAsia="zh-CN"/>
              </w:rPr>
              <w:t>100</w:t>
            </w:r>
            <w:r>
              <w:rPr>
                <w:color w:val="FF0000"/>
              </w:rPr>
              <w:t>m卫生防护距离。</w:t>
            </w:r>
          </w:p>
          <w:p>
            <w:pPr>
              <w:tabs>
                <w:tab w:val="left" w:pos="2550"/>
              </w:tabs>
              <w:adjustRightInd w:val="0"/>
              <w:snapToGrid w:val="0"/>
              <w:spacing w:line="360" w:lineRule="auto"/>
              <w:ind w:firstLine="420"/>
              <w:rPr>
                <w:rFonts w:hint="eastAsia"/>
                <w:b/>
                <w:bCs/>
                <w:color w:val="FF0000"/>
                <w:kern w:val="0"/>
                <w:szCs w:val="21"/>
                <w:lang w:eastAsia="zh-CN"/>
              </w:rPr>
            </w:pPr>
            <w:r>
              <w:rPr>
                <w:color w:val="FF0000"/>
              </w:rPr>
              <w:t>根据现场踏勘及卫生防护距离包络线图可知，本项目生产车间卫生防护距离范围内无居民区、医院、学校等环境敏感点</w:t>
            </w:r>
            <w:r>
              <w:rPr>
                <w:rFonts w:hint="eastAsia"/>
                <w:color w:val="FF0000"/>
                <w:lang w:eastAsia="zh-CN"/>
              </w:rPr>
              <w:t>（</w:t>
            </w:r>
            <w:r>
              <w:rPr>
                <w:rFonts w:hint="eastAsia"/>
                <w:color w:val="FF0000"/>
                <w:lang w:val="en-US" w:eastAsia="zh-CN"/>
              </w:rPr>
              <w:t>车间距离最近的敏感点九华镇卫生院112m）</w:t>
            </w:r>
            <w:r>
              <w:rPr>
                <w:color w:val="FF0000"/>
              </w:rPr>
              <w:t>，本项目无组织废气排放对环境保护目标影响较小，今后也不得在卫生防护距离内建设居民区、医院、学校等敏感目标</w:t>
            </w:r>
            <w:r>
              <w:rPr>
                <w:bCs/>
                <w:color w:val="FF0000"/>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jc w:val="left"/>
              <w:textAlignment w:val="auto"/>
              <w:rPr>
                <w:b/>
                <w:bCs/>
                <w:color w:val="auto"/>
                <w:kern w:val="0"/>
                <w:szCs w:val="21"/>
              </w:rPr>
            </w:pPr>
            <w:r>
              <w:rPr>
                <w:rFonts w:hint="eastAsia"/>
                <w:b/>
                <w:bCs/>
                <w:color w:val="auto"/>
                <w:kern w:val="0"/>
                <w:szCs w:val="21"/>
                <w:lang w:eastAsia="zh-CN"/>
              </w:rPr>
              <w:t>（</w:t>
            </w:r>
            <w:r>
              <w:rPr>
                <w:rFonts w:hint="eastAsia"/>
                <w:b/>
                <w:bCs/>
                <w:color w:val="auto"/>
                <w:kern w:val="0"/>
                <w:szCs w:val="21"/>
                <w:lang w:val="en-US" w:eastAsia="zh-CN"/>
              </w:rPr>
              <w:t>7</w:t>
            </w:r>
            <w:r>
              <w:rPr>
                <w:rFonts w:hint="eastAsia"/>
                <w:b/>
                <w:bCs/>
                <w:color w:val="auto"/>
                <w:kern w:val="0"/>
                <w:szCs w:val="21"/>
                <w:lang w:eastAsia="zh-CN"/>
              </w:rPr>
              <w:t>）</w:t>
            </w:r>
            <w:r>
              <w:rPr>
                <w:b/>
                <w:bCs/>
                <w:color w:val="auto"/>
                <w:kern w:val="0"/>
                <w:szCs w:val="21"/>
              </w:rPr>
              <w:t>大气污染源监测要求</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①污染源监测计划</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对照</w:t>
            </w:r>
            <w:r>
              <w:rPr>
                <w:color w:val="auto"/>
                <w:kern w:val="0"/>
                <w:szCs w:val="21"/>
              </w:rPr>
              <w:t>《排污单位自行监测技术指南 总则》（HJ819-2017）、</w:t>
            </w:r>
            <w:r>
              <w:rPr>
                <w:color w:val="auto"/>
                <w:szCs w:val="21"/>
              </w:rPr>
              <w:t>《</w:t>
            </w:r>
            <w:r>
              <w:rPr>
                <w:rFonts w:hint="eastAsia"/>
                <w:color w:val="auto"/>
                <w:szCs w:val="21"/>
              </w:rPr>
              <w:t xml:space="preserve">排污单位自行监测技术指南 </w:t>
            </w:r>
            <w:r>
              <w:rPr>
                <w:rFonts w:hint="eastAsia"/>
                <w:color w:val="auto"/>
                <w:szCs w:val="21"/>
                <w:lang w:val="en-US" w:eastAsia="zh-CN"/>
              </w:rPr>
              <w:t>纺织印染</w:t>
            </w:r>
            <w:r>
              <w:rPr>
                <w:rFonts w:hint="eastAsia"/>
                <w:color w:val="auto"/>
                <w:szCs w:val="21"/>
              </w:rPr>
              <w:t>工业</w:t>
            </w:r>
            <w:r>
              <w:rPr>
                <w:color w:val="auto"/>
                <w:szCs w:val="21"/>
              </w:rPr>
              <w:t>》（HJ</w:t>
            </w:r>
            <w:r>
              <w:rPr>
                <w:rFonts w:hint="eastAsia"/>
                <w:color w:val="auto"/>
                <w:szCs w:val="21"/>
                <w:lang w:val="en-US" w:eastAsia="zh-CN"/>
              </w:rPr>
              <w:t>879</w:t>
            </w:r>
            <w:r>
              <w:rPr>
                <w:rFonts w:hint="eastAsia"/>
                <w:color w:val="auto"/>
                <w:szCs w:val="21"/>
              </w:rPr>
              <w:t>-20</w:t>
            </w:r>
            <w:r>
              <w:rPr>
                <w:rFonts w:hint="eastAsia"/>
                <w:color w:val="auto"/>
                <w:szCs w:val="21"/>
                <w:lang w:val="en-US" w:eastAsia="zh-CN"/>
              </w:rPr>
              <w:t>17</w:t>
            </w:r>
            <w:r>
              <w:rPr>
                <w:color w:val="auto"/>
                <w:szCs w:val="21"/>
              </w:rPr>
              <w:t>）</w:t>
            </w:r>
            <w:r>
              <w:rPr>
                <w:rFonts w:hint="eastAsia"/>
                <w:color w:val="auto"/>
                <w:szCs w:val="21"/>
                <w:lang w:val="en-US" w:eastAsia="zh-CN"/>
              </w:rPr>
              <w:t>和</w:t>
            </w:r>
            <w:r>
              <w:rPr>
                <w:color w:val="auto"/>
                <w:szCs w:val="21"/>
              </w:rPr>
              <w:t>《</w:t>
            </w:r>
            <w:r>
              <w:rPr>
                <w:rFonts w:hint="eastAsia"/>
                <w:color w:val="auto"/>
                <w:szCs w:val="21"/>
              </w:rPr>
              <w:t>排污单位自行监测技术指南</w:t>
            </w:r>
            <w:r>
              <w:rPr>
                <w:rFonts w:hint="eastAsia"/>
                <w:color w:val="auto"/>
                <w:szCs w:val="21"/>
                <w:lang w:val="en-US" w:eastAsia="zh-CN"/>
              </w:rPr>
              <w:t>火力发电及锅炉</w:t>
            </w:r>
            <w:r>
              <w:rPr>
                <w:color w:val="auto"/>
                <w:szCs w:val="21"/>
              </w:rPr>
              <w:t>》（HJ</w:t>
            </w:r>
            <w:r>
              <w:rPr>
                <w:rFonts w:hint="eastAsia"/>
                <w:color w:val="auto"/>
                <w:szCs w:val="21"/>
                <w:lang w:val="en-US" w:eastAsia="zh-CN"/>
              </w:rPr>
              <w:t>8720</w:t>
            </w:r>
            <w:r>
              <w:rPr>
                <w:rFonts w:hint="eastAsia"/>
                <w:color w:val="auto"/>
                <w:szCs w:val="21"/>
              </w:rPr>
              <w:t>-20</w:t>
            </w:r>
            <w:r>
              <w:rPr>
                <w:rFonts w:hint="eastAsia"/>
                <w:color w:val="auto"/>
                <w:szCs w:val="21"/>
                <w:lang w:val="en-US" w:eastAsia="zh-CN"/>
              </w:rPr>
              <w:t>17</w:t>
            </w:r>
            <w:r>
              <w:rPr>
                <w:color w:val="auto"/>
                <w:szCs w:val="21"/>
              </w:rPr>
              <w:t>）</w:t>
            </w:r>
            <w:r>
              <w:rPr>
                <w:rFonts w:hint="eastAsia" w:ascii="Times New Roman" w:hAnsi="Times New Roman" w:eastAsia="宋体" w:cs="Times New Roman"/>
                <w:color w:val="auto"/>
                <w:kern w:val="0"/>
                <w:szCs w:val="21"/>
              </w:rPr>
              <w:t>相关要求，本项目废</w:t>
            </w:r>
            <w:r>
              <w:rPr>
                <w:rFonts w:hint="eastAsia" w:ascii="Times New Roman" w:hAnsi="Times New Roman" w:eastAsia="宋体" w:cs="Times New Roman"/>
                <w:color w:val="auto"/>
                <w:kern w:val="0"/>
                <w:szCs w:val="21"/>
                <w:lang w:val="en-US" w:eastAsia="zh-CN"/>
              </w:rPr>
              <w:t>气</w:t>
            </w:r>
            <w:r>
              <w:rPr>
                <w:rFonts w:hint="eastAsia" w:ascii="Times New Roman" w:hAnsi="Times New Roman" w:eastAsia="宋体" w:cs="Times New Roman"/>
                <w:color w:val="auto"/>
                <w:kern w:val="0"/>
                <w:szCs w:val="21"/>
              </w:rPr>
              <w:t>监测项目及监测频次见下表4-</w:t>
            </w:r>
            <w:r>
              <w:rPr>
                <w:rFonts w:hint="eastAsia" w:ascii="Times New Roman" w:hAnsi="Times New Roman" w:eastAsia="宋体" w:cs="Times New Roman"/>
                <w:color w:val="auto"/>
                <w:kern w:val="0"/>
                <w:szCs w:val="21"/>
                <w:lang w:val="en-US" w:eastAsia="zh-CN"/>
              </w:rPr>
              <w:t>1</w:t>
            </w:r>
            <w:r>
              <w:rPr>
                <w:rFonts w:hint="eastAsia" w:cs="Times New Roman"/>
                <w:color w:val="auto"/>
                <w:kern w:val="0"/>
                <w:szCs w:val="21"/>
                <w:lang w:val="en-US" w:eastAsia="zh-CN"/>
              </w:rPr>
              <w:t>5</w:t>
            </w:r>
            <w:r>
              <w:rPr>
                <w:rFonts w:hint="eastAsia" w:ascii="Times New Roman" w:hAnsi="Times New Roman" w:eastAsia="宋体" w:cs="Times New Roman"/>
                <w:color w:val="auto"/>
                <w:kern w:val="0"/>
                <w:szCs w:val="21"/>
              </w:rPr>
              <w:t>。</w:t>
            </w:r>
          </w:p>
          <w:p>
            <w:pPr>
              <w:keepNext w:val="0"/>
              <w:keepLines w:val="0"/>
              <w:pageBreakBefore w:val="0"/>
              <w:widowControl w:val="0"/>
              <w:kinsoku/>
              <w:wordWrap/>
              <w:overflowPunct/>
              <w:topLinePunct w:val="0"/>
              <w:autoSpaceDE w:val="0"/>
              <w:autoSpaceDN w:val="0"/>
              <w:bidi w:val="0"/>
              <w:adjustRightInd w:val="0"/>
              <w:snapToGrid w:val="0"/>
              <w:spacing w:line="360" w:lineRule="auto"/>
              <w:jc w:val="center"/>
              <w:textAlignment w:val="auto"/>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表4-1</w:t>
            </w:r>
            <w:r>
              <w:rPr>
                <w:rFonts w:hint="eastAsia" w:cs="Times New Roman"/>
                <w:b/>
                <w:color w:val="auto"/>
                <w:kern w:val="0"/>
                <w:szCs w:val="21"/>
                <w:lang w:val="en-US" w:eastAsia="zh-CN"/>
              </w:rPr>
              <w:t>5</w:t>
            </w:r>
            <w:r>
              <w:rPr>
                <w:rFonts w:hint="eastAsia" w:ascii="Times New Roman" w:hAnsi="Times New Roman" w:eastAsia="宋体" w:cs="Times New Roman"/>
                <w:b/>
                <w:color w:val="auto"/>
                <w:kern w:val="0"/>
                <w:szCs w:val="21"/>
                <w:lang w:val="en-US" w:eastAsia="zh-CN"/>
              </w:rPr>
              <w:t xml:space="preserve">  污染源监测计划表</w:t>
            </w:r>
          </w:p>
          <w:tbl>
            <w:tblPr>
              <w:tblStyle w:val="90"/>
              <w:tblW w:w="4996"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28"/>
              <w:gridCol w:w="1962"/>
              <w:gridCol w:w="801"/>
              <w:gridCol w:w="3472"/>
              <w:gridCol w:w="114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00" w:hRule="atLeast"/>
              </w:trPr>
              <w:tc>
                <w:tcPr>
                  <w:tcW w:w="611" w:type="pct"/>
                  <w:noWrap w:val="0"/>
                  <w:vAlign w:val="center"/>
                </w:tcPr>
                <w:p>
                  <w:pPr>
                    <w:pStyle w:val="180"/>
                    <w:spacing w:line="320" w:lineRule="exact"/>
                    <w:rPr>
                      <w:b/>
                      <w:bCs/>
                      <w:sz w:val="20"/>
                      <w:szCs w:val="20"/>
                      <w:highlight w:val="none"/>
                    </w:rPr>
                  </w:pPr>
                  <w:r>
                    <w:rPr>
                      <w:b/>
                      <w:bCs/>
                      <w:sz w:val="20"/>
                      <w:szCs w:val="20"/>
                      <w:highlight w:val="none"/>
                    </w:rPr>
                    <w:t>类别</w:t>
                  </w:r>
                </w:p>
              </w:tc>
              <w:tc>
                <w:tcPr>
                  <w:tcW w:w="1166" w:type="pct"/>
                  <w:noWrap w:val="0"/>
                  <w:vAlign w:val="center"/>
                </w:tcPr>
                <w:p>
                  <w:pPr>
                    <w:pStyle w:val="180"/>
                    <w:spacing w:line="320" w:lineRule="exact"/>
                    <w:rPr>
                      <w:b/>
                      <w:bCs/>
                      <w:sz w:val="20"/>
                      <w:szCs w:val="20"/>
                      <w:highlight w:val="none"/>
                    </w:rPr>
                  </w:pPr>
                  <w:r>
                    <w:rPr>
                      <w:b/>
                      <w:bCs/>
                      <w:sz w:val="20"/>
                      <w:szCs w:val="20"/>
                      <w:highlight w:val="none"/>
                    </w:rPr>
                    <w:t>监测位置</w:t>
                  </w:r>
                </w:p>
              </w:tc>
              <w:tc>
                <w:tcPr>
                  <w:tcW w:w="476" w:type="pct"/>
                  <w:noWrap w:val="0"/>
                  <w:vAlign w:val="center"/>
                </w:tcPr>
                <w:p>
                  <w:pPr>
                    <w:pStyle w:val="180"/>
                    <w:spacing w:line="320" w:lineRule="exact"/>
                    <w:rPr>
                      <w:b/>
                      <w:bCs/>
                      <w:sz w:val="20"/>
                      <w:szCs w:val="20"/>
                      <w:highlight w:val="none"/>
                    </w:rPr>
                  </w:pPr>
                  <w:r>
                    <w:rPr>
                      <w:b/>
                      <w:bCs/>
                      <w:sz w:val="20"/>
                      <w:szCs w:val="20"/>
                      <w:highlight w:val="none"/>
                    </w:rPr>
                    <w:t>监测点数</w:t>
                  </w:r>
                </w:p>
              </w:tc>
              <w:tc>
                <w:tcPr>
                  <w:tcW w:w="2065" w:type="pct"/>
                  <w:noWrap w:val="0"/>
                  <w:vAlign w:val="center"/>
                </w:tcPr>
                <w:p>
                  <w:pPr>
                    <w:pStyle w:val="180"/>
                    <w:spacing w:line="320" w:lineRule="exact"/>
                    <w:rPr>
                      <w:b/>
                      <w:bCs/>
                      <w:sz w:val="20"/>
                      <w:szCs w:val="20"/>
                      <w:highlight w:val="none"/>
                    </w:rPr>
                  </w:pPr>
                  <w:r>
                    <w:rPr>
                      <w:b/>
                      <w:bCs/>
                      <w:sz w:val="20"/>
                      <w:szCs w:val="20"/>
                      <w:highlight w:val="none"/>
                    </w:rPr>
                    <w:t>监测项目</w:t>
                  </w:r>
                </w:p>
              </w:tc>
              <w:tc>
                <w:tcPr>
                  <w:tcW w:w="679" w:type="pct"/>
                  <w:noWrap w:val="0"/>
                  <w:vAlign w:val="center"/>
                </w:tcPr>
                <w:p>
                  <w:pPr>
                    <w:pStyle w:val="180"/>
                    <w:spacing w:line="320" w:lineRule="exact"/>
                    <w:rPr>
                      <w:b/>
                      <w:bCs/>
                      <w:sz w:val="20"/>
                      <w:szCs w:val="20"/>
                      <w:highlight w:val="none"/>
                    </w:rPr>
                  </w:pPr>
                  <w:r>
                    <w:rPr>
                      <w:b/>
                      <w:bCs/>
                      <w:sz w:val="20"/>
                      <w:szCs w:val="20"/>
                      <w:highlight w:val="none"/>
                    </w:rPr>
                    <w:t>监测频率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7" w:hRule="atLeast"/>
              </w:trPr>
              <w:tc>
                <w:tcPr>
                  <w:tcW w:w="611" w:type="pct"/>
                  <w:vMerge w:val="restart"/>
                  <w:noWrap w:val="0"/>
                  <w:vAlign w:val="center"/>
                </w:tcPr>
                <w:p>
                  <w:pPr>
                    <w:pStyle w:val="180"/>
                    <w:spacing w:line="320" w:lineRule="exact"/>
                    <w:rPr>
                      <w:rFonts w:hint="eastAsia" w:eastAsia="宋体"/>
                      <w:sz w:val="20"/>
                      <w:szCs w:val="20"/>
                      <w:highlight w:val="none"/>
                      <w:lang w:val="en-US" w:eastAsia="zh-CN"/>
                    </w:rPr>
                  </w:pPr>
                  <w:r>
                    <w:rPr>
                      <w:sz w:val="20"/>
                      <w:szCs w:val="20"/>
                      <w:highlight w:val="none"/>
                    </w:rPr>
                    <w:t>有组织</w:t>
                  </w:r>
                  <w:r>
                    <w:rPr>
                      <w:rFonts w:hint="eastAsia"/>
                      <w:sz w:val="20"/>
                      <w:szCs w:val="20"/>
                      <w:highlight w:val="none"/>
                      <w:lang w:val="en-US" w:eastAsia="zh-CN"/>
                    </w:rPr>
                    <w:t>废气</w:t>
                  </w:r>
                </w:p>
              </w:tc>
              <w:tc>
                <w:tcPr>
                  <w:tcW w:w="1166" w:type="pct"/>
                  <w:vMerge w:val="restart"/>
                  <w:noWrap w:val="0"/>
                  <w:vAlign w:val="center"/>
                </w:tcPr>
                <w:p>
                  <w:pPr>
                    <w:spacing w:line="320" w:lineRule="exact"/>
                    <w:jc w:val="center"/>
                    <w:rPr>
                      <w:rFonts w:hint="eastAsia" w:eastAsia="宋体"/>
                      <w:kern w:val="2"/>
                      <w:sz w:val="20"/>
                      <w:szCs w:val="20"/>
                      <w:highlight w:val="none"/>
                      <w:lang w:val="en-US" w:eastAsia="zh-CN" w:bidi="ar-SA"/>
                    </w:rPr>
                  </w:pPr>
                  <w:r>
                    <w:rPr>
                      <w:rFonts w:hint="eastAsia"/>
                      <w:sz w:val="20"/>
                      <w:szCs w:val="20"/>
                      <w:highlight w:val="none"/>
                      <w:lang w:val="en-US" w:eastAsia="zh-CN"/>
                    </w:rPr>
                    <w:t>DA001</w:t>
                  </w:r>
                  <w:r>
                    <w:rPr>
                      <w:sz w:val="20"/>
                      <w:szCs w:val="20"/>
                      <w:highlight w:val="none"/>
                    </w:rPr>
                    <w:t>排气筒</w:t>
                  </w:r>
                  <w:r>
                    <w:rPr>
                      <w:rFonts w:hint="eastAsia"/>
                      <w:sz w:val="20"/>
                      <w:szCs w:val="20"/>
                      <w:highlight w:val="none"/>
                      <w:lang w:val="en-US" w:eastAsia="zh-CN"/>
                    </w:rPr>
                    <w:t>出口</w:t>
                  </w:r>
                </w:p>
              </w:tc>
              <w:tc>
                <w:tcPr>
                  <w:tcW w:w="476" w:type="pct"/>
                  <w:vMerge w:val="restart"/>
                  <w:noWrap w:val="0"/>
                  <w:vAlign w:val="center"/>
                </w:tcPr>
                <w:p>
                  <w:pPr>
                    <w:pStyle w:val="180"/>
                    <w:spacing w:line="320" w:lineRule="exact"/>
                    <w:rPr>
                      <w:rFonts w:hint="default"/>
                      <w:kern w:val="0"/>
                      <w:sz w:val="20"/>
                      <w:szCs w:val="20"/>
                      <w:highlight w:val="none"/>
                      <w:lang w:val="en-US" w:eastAsia="zh-CN" w:bidi="ar-SA"/>
                    </w:rPr>
                  </w:pPr>
                  <w:r>
                    <w:rPr>
                      <w:rFonts w:hint="eastAsia"/>
                      <w:sz w:val="20"/>
                      <w:szCs w:val="20"/>
                      <w:highlight w:val="none"/>
                      <w:lang w:val="en-US" w:eastAsia="zh-CN"/>
                    </w:rPr>
                    <w:t>1</w:t>
                  </w:r>
                </w:p>
              </w:tc>
              <w:tc>
                <w:tcPr>
                  <w:tcW w:w="2065" w:type="pct"/>
                  <w:noWrap w:val="0"/>
                  <w:vAlign w:val="center"/>
                </w:tcPr>
                <w:p>
                  <w:pPr>
                    <w:pStyle w:val="180"/>
                    <w:spacing w:line="320" w:lineRule="exact"/>
                    <w:rPr>
                      <w:rFonts w:hint="eastAsia"/>
                      <w:kern w:val="0"/>
                      <w:sz w:val="20"/>
                      <w:szCs w:val="20"/>
                      <w:highlight w:val="none"/>
                      <w:lang w:val="en-US" w:eastAsia="zh-CN" w:bidi="ar-SA"/>
                    </w:rPr>
                  </w:pPr>
                  <w:r>
                    <w:rPr>
                      <w:rFonts w:hint="eastAsia"/>
                      <w:kern w:val="0"/>
                      <w:sz w:val="20"/>
                      <w:szCs w:val="20"/>
                      <w:highlight w:val="none"/>
                      <w:lang w:val="en-US" w:eastAsia="zh-CN"/>
                    </w:rPr>
                    <w:t>颗粒物</w:t>
                  </w:r>
                </w:p>
              </w:tc>
              <w:tc>
                <w:tcPr>
                  <w:tcW w:w="679" w:type="pct"/>
                  <w:noWrap w:val="0"/>
                  <w:vAlign w:val="center"/>
                </w:tcPr>
                <w:p>
                  <w:pPr>
                    <w:spacing w:line="320" w:lineRule="exact"/>
                    <w:jc w:val="center"/>
                    <w:rPr>
                      <w:bCs/>
                      <w:sz w:val="20"/>
                      <w:szCs w:val="20"/>
                      <w:highlight w:val="none"/>
                    </w:rPr>
                  </w:pPr>
                  <w:r>
                    <w:rPr>
                      <w:bCs/>
                      <w:sz w:val="20"/>
                      <w:szCs w:val="20"/>
                      <w:highlight w:val="none"/>
                    </w:rPr>
                    <w:t>1次/</w:t>
                  </w:r>
                  <w:r>
                    <w:rPr>
                      <w:rFonts w:hint="eastAsia"/>
                      <w:bCs/>
                      <w:sz w:val="20"/>
                      <w:szCs w:val="20"/>
                      <w:highlight w:val="none"/>
                    </w:rPr>
                    <w:t>半</w:t>
                  </w:r>
                  <w:r>
                    <w:rPr>
                      <w:bCs/>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7" w:hRule="atLeast"/>
              </w:trPr>
              <w:tc>
                <w:tcPr>
                  <w:tcW w:w="611" w:type="pct"/>
                  <w:vMerge w:val="continue"/>
                  <w:noWrap w:val="0"/>
                  <w:vAlign w:val="center"/>
                </w:tcPr>
                <w:p>
                  <w:pPr>
                    <w:spacing w:line="320" w:lineRule="exact"/>
                    <w:jc w:val="center"/>
                  </w:pPr>
                </w:p>
              </w:tc>
              <w:tc>
                <w:tcPr>
                  <w:tcW w:w="1166" w:type="pct"/>
                  <w:vMerge w:val="continue"/>
                  <w:noWrap w:val="0"/>
                  <w:vAlign w:val="center"/>
                </w:tcPr>
                <w:p>
                  <w:pPr>
                    <w:spacing w:line="320" w:lineRule="exact"/>
                    <w:jc w:val="center"/>
                  </w:pPr>
                </w:p>
              </w:tc>
              <w:tc>
                <w:tcPr>
                  <w:tcW w:w="476" w:type="pct"/>
                  <w:vMerge w:val="continue"/>
                  <w:noWrap w:val="0"/>
                  <w:vAlign w:val="center"/>
                </w:tcPr>
                <w:p>
                  <w:pPr>
                    <w:spacing w:line="320" w:lineRule="exact"/>
                    <w:jc w:val="center"/>
                  </w:pPr>
                </w:p>
              </w:tc>
              <w:tc>
                <w:tcPr>
                  <w:tcW w:w="2065" w:type="pct"/>
                  <w:noWrap w:val="0"/>
                  <w:vAlign w:val="center"/>
                </w:tcPr>
                <w:p>
                  <w:pPr>
                    <w:spacing w:line="320" w:lineRule="exact"/>
                    <w:jc w:val="center"/>
                    <w:rPr>
                      <w:rFonts w:hint="eastAsia"/>
                      <w:kern w:val="0"/>
                      <w:sz w:val="20"/>
                      <w:szCs w:val="20"/>
                      <w:highlight w:val="none"/>
                      <w:lang w:val="en-US" w:eastAsia="zh-CN"/>
                    </w:rPr>
                  </w:pPr>
                  <w:r>
                    <w:rPr>
                      <w:rFonts w:hint="eastAsia"/>
                      <w:kern w:val="0"/>
                      <w:sz w:val="20"/>
                      <w:szCs w:val="20"/>
                      <w:highlight w:val="none"/>
                      <w:lang w:val="en-US" w:eastAsia="zh-CN"/>
                    </w:rPr>
                    <w:t>非甲烷总烃</w:t>
                  </w:r>
                </w:p>
              </w:tc>
              <w:tc>
                <w:tcPr>
                  <w:tcW w:w="679" w:type="pct"/>
                  <w:noWrap w:val="0"/>
                  <w:vAlign w:val="center"/>
                </w:tcPr>
                <w:p>
                  <w:pPr>
                    <w:spacing w:line="320" w:lineRule="exact"/>
                    <w:jc w:val="center"/>
                    <w:rPr>
                      <w:rFonts w:hint="default"/>
                      <w:kern w:val="0"/>
                      <w:sz w:val="20"/>
                      <w:szCs w:val="20"/>
                      <w:highlight w:val="none"/>
                      <w:lang w:val="en-US" w:eastAsia="zh-CN"/>
                    </w:rPr>
                  </w:pPr>
                  <w:r>
                    <w:rPr>
                      <w:rFonts w:hint="eastAsia"/>
                      <w:kern w:val="0"/>
                      <w:sz w:val="20"/>
                      <w:szCs w:val="20"/>
                      <w:highlight w:val="none"/>
                      <w:lang w:val="en-US" w:eastAsia="zh-CN"/>
                    </w:rPr>
                    <w:t>1次/季度</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 w:hRule="atLeast"/>
              </w:trPr>
              <w:tc>
                <w:tcPr>
                  <w:tcW w:w="611" w:type="pct"/>
                  <w:vMerge w:val="continue"/>
                  <w:noWrap w:val="0"/>
                  <w:vAlign w:val="center"/>
                </w:tcPr>
                <w:p>
                  <w:pPr>
                    <w:pStyle w:val="180"/>
                    <w:spacing w:line="320" w:lineRule="exact"/>
                    <w:rPr>
                      <w:sz w:val="20"/>
                      <w:szCs w:val="20"/>
                      <w:highlight w:val="none"/>
                    </w:rPr>
                  </w:pPr>
                </w:p>
              </w:tc>
              <w:tc>
                <w:tcPr>
                  <w:tcW w:w="1166" w:type="pct"/>
                  <w:shd w:val="clear" w:color="auto" w:fill="auto"/>
                  <w:noWrap w:val="0"/>
                  <w:vAlign w:val="center"/>
                </w:tcPr>
                <w:p>
                  <w:pPr>
                    <w:spacing w:line="320" w:lineRule="exact"/>
                    <w:jc w:val="center"/>
                    <w:rPr>
                      <w:rFonts w:hint="eastAsia" w:ascii="Times New Roman" w:hAnsi="Times New Roman" w:eastAsia="宋体" w:cs="Times New Roman"/>
                      <w:kern w:val="2"/>
                      <w:sz w:val="20"/>
                      <w:szCs w:val="20"/>
                      <w:highlight w:val="none"/>
                      <w:lang w:val="en-US" w:eastAsia="zh-CN" w:bidi="ar-SA"/>
                    </w:rPr>
                  </w:pPr>
                  <w:r>
                    <w:rPr>
                      <w:rFonts w:hint="eastAsia"/>
                      <w:sz w:val="20"/>
                      <w:szCs w:val="20"/>
                      <w:highlight w:val="none"/>
                      <w:lang w:val="en-US" w:eastAsia="zh-CN"/>
                    </w:rPr>
                    <w:t>DA002排气筒出口</w:t>
                  </w:r>
                </w:p>
              </w:tc>
              <w:tc>
                <w:tcPr>
                  <w:tcW w:w="476" w:type="pct"/>
                  <w:shd w:val="clear" w:color="auto" w:fill="auto"/>
                  <w:noWrap w:val="0"/>
                  <w:vAlign w:val="center"/>
                </w:tcPr>
                <w:p>
                  <w:pPr>
                    <w:pStyle w:val="180"/>
                    <w:spacing w:line="320" w:lineRule="exact"/>
                    <w:rPr>
                      <w:rFonts w:hint="eastAsia" w:ascii="Times New Roman" w:hAnsi="Times New Roman" w:eastAsia="宋体" w:cs="Times New Roman"/>
                      <w:kern w:val="0"/>
                      <w:sz w:val="20"/>
                      <w:szCs w:val="20"/>
                      <w:highlight w:val="none"/>
                      <w:lang w:val="en-US" w:eastAsia="zh-CN" w:bidi="ar-SA"/>
                    </w:rPr>
                  </w:pPr>
                  <w:r>
                    <w:rPr>
                      <w:rFonts w:hint="eastAsia"/>
                      <w:sz w:val="20"/>
                      <w:szCs w:val="20"/>
                      <w:highlight w:val="none"/>
                      <w:lang w:val="en-US" w:eastAsia="zh-CN"/>
                    </w:rPr>
                    <w:t>1</w:t>
                  </w:r>
                </w:p>
              </w:tc>
              <w:tc>
                <w:tcPr>
                  <w:tcW w:w="2065" w:type="pct"/>
                  <w:shd w:val="clear" w:color="auto" w:fill="auto"/>
                  <w:noWrap w:val="0"/>
                  <w:vAlign w:val="center"/>
                </w:tcPr>
                <w:p>
                  <w:pPr>
                    <w:pStyle w:val="180"/>
                    <w:spacing w:line="320" w:lineRule="exact"/>
                    <w:rPr>
                      <w:rFonts w:hint="eastAsia" w:ascii="Times New Roman" w:hAnsi="Times New Roman" w:eastAsia="宋体" w:cs="Times New Roman"/>
                      <w:kern w:val="0"/>
                      <w:sz w:val="20"/>
                      <w:szCs w:val="20"/>
                      <w:highlight w:val="none"/>
                      <w:lang w:val="en-US" w:eastAsia="zh-CN" w:bidi="ar-SA"/>
                    </w:rPr>
                  </w:pPr>
                  <w:r>
                    <w:rPr>
                      <w:rFonts w:hint="eastAsia"/>
                      <w:kern w:val="0"/>
                      <w:sz w:val="20"/>
                      <w:szCs w:val="20"/>
                      <w:highlight w:val="none"/>
                      <w:lang w:val="en-US" w:eastAsia="zh-CN"/>
                    </w:rPr>
                    <w:t>颗粒物、SO</w:t>
                  </w:r>
                  <w:r>
                    <w:rPr>
                      <w:rFonts w:hint="eastAsia"/>
                      <w:kern w:val="0"/>
                      <w:sz w:val="20"/>
                      <w:szCs w:val="20"/>
                      <w:highlight w:val="none"/>
                      <w:vertAlign w:val="subscript"/>
                      <w:lang w:val="en-US" w:eastAsia="zh-CN"/>
                    </w:rPr>
                    <w:t>2</w:t>
                  </w:r>
                  <w:r>
                    <w:rPr>
                      <w:rFonts w:hint="eastAsia"/>
                      <w:kern w:val="0"/>
                      <w:sz w:val="20"/>
                      <w:szCs w:val="20"/>
                      <w:highlight w:val="none"/>
                      <w:lang w:val="en-US" w:eastAsia="zh-CN"/>
                    </w:rPr>
                    <w:t>、NO</w:t>
                  </w:r>
                  <w:r>
                    <w:rPr>
                      <w:rFonts w:hint="eastAsia"/>
                      <w:kern w:val="0"/>
                      <w:sz w:val="20"/>
                      <w:szCs w:val="20"/>
                      <w:highlight w:val="none"/>
                      <w:vertAlign w:val="subscript"/>
                      <w:lang w:val="en-US" w:eastAsia="zh-CN"/>
                    </w:rPr>
                    <w:t>x</w:t>
                  </w:r>
                  <w:r>
                    <w:rPr>
                      <w:rFonts w:hint="eastAsia"/>
                      <w:kern w:val="0"/>
                      <w:sz w:val="20"/>
                      <w:szCs w:val="20"/>
                      <w:highlight w:val="none"/>
                      <w:lang w:val="en-US" w:eastAsia="zh-CN"/>
                    </w:rPr>
                    <w:t>、汞及其化合物</w:t>
                  </w:r>
                </w:p>
              </w:tc>
              <w:tc>
                <w:tcPr>
                  <w:tcW w:w="679" w:type="pct"/>
                  <w:shd w:val="clear" w:color="auto" w:fill="auto"/>
                  <w:noWrap w:val="0"/>
                  <w:vAlign w:val="center"/>
                </w:tcPr>
                <w:p>
                  <w:pPr>
                    <w:spacing w:line="320" w:lineRule="exact"/>
                    <w:jc w:val="center"/>
                    <w:rPr>
                      <w:rFonts w:hint="eastAsia" w:ascii="Times New Roman" w:hAnsi="Times New Roman" w:eastAsia="宋体" w:cs="Times New Roman"/>
                      <w:bCs/>
                      <w:kern w:val="2"/>
                      <w:sz w:val="20"/>
                      <w:szCs w:val="20"/>
                      <w:highlight w:val="none"/>
                      <w:lang w:val="en-US" w:eastAsia="zh-CN" w:bidi="ar-SA"/>
                    </w:rPr>
                  </w:pPr>
                  <w:r>
                    <w:rPr>
                      <w:bCs/>
                      <w:sz w:val="20"/>
                      <w:szCs w:val="20"/>
                      <w:highlight w:val="none"/>
                    </w:rPr>
                    <w:t>1次/</w:t>
                  </w:r>
                  <w:r>
                    <w:rPr>
                      <w:rFonts w:hint="eastAsia"/>
                      <w:bCs/>
                      <w:sz w:val="20"/>
                      <w:szCs w:val="20"/>
                      <w:highlight w:val="none"/>
                      <w:lang w:val="en-US" w:eastAsia="zh-CN"/>
                    </w:rPr>
                    <w:t>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3" w:hRule="atLeast"/>
              </w:trPr>
              <w:tc>
                <w:tcPr>
                  <w:tcW w:w="611" w:type="pct"/>
                  <w:vMerge w:val="continue"/>
                  <w:noWrap w:val="0"/>
                  <w:vAlign w:val="center"/>
                </w:tcPr>
                <w:p>
                  <w:pPr>
                    <w:pStyle w:val="180"/>
                    <w:spacing w:line="320" w:lineRule="exact"/>
                    <w:rPr>
                      <w:sz w:val="20"/>
                      <w:szCs w:val="20"/>
                      <w:highlight w:val="none"/>
                    </w:rPr>
                  </w:pPr>
                </w:p>
              </w:tc>
              <w:tc>
                <w:tcPr>
                  <w:tcW w:w="1166" w:type="pct"/>
                  <w:noWrap w:val="0"/>
                  <w:vAlign w:val="center"/>
                </w:tcPr>
                <w:p>
                  <w:pPr>
                    <w:spacing w:line="320" w:lineRule="exact"/>
                    <w:jc w:val="center"/>
                    <w:rPr>
                      <w:rFonts w:hint="default"/>
                      <w:sz w:val="20"/>
                      <w:szCs w:val="20"/>
                      <w:highlight w:val="none"/>
                      <w:lang w:val="en-US" w:eastAsia="zh-CN"/>
                    </w:rPr>
                  </w:pPr>
                  <w:r>
                    <w:rPr>
                      <w:rFonts w:hint="eastAsia"/>
                      <w:sz w:val="20"/>
                      <w:szCs w:val="20"/>
                      <w:highlight w:val="none"/>
                      <w:lang w:val="en-US" w:eastAsia="zh-CN"/>
                    </w:rPr>
                    <w:t>DA003排气筒出口</w:t>
                  </w:r>
                </w:p>
              </w:tc>
              <w:tc>
                <w:tcPr>
                  <w:tcW w:w="476" w:type="pct"/>
                  <w:noWrap w:val="0"/>
                  <w:vAlign w:val="center"/>
                </w:tcPr>
                <w:p>
                  <w:pPr>
                    <w:pStyle w:val="180"/>
                    <w:spacing w:line="320" w:lineRule="exact"/>
                    <w:rPr>
                      <w:rFonts w:hint="default"/>
                      <w:sz w:val="20"/>
                      <w:szCs w:val="20"/>
                      <w:highlight w:val="none"/>
                      <w:lang w:val="en-US" w:eastAsia="zh-CN"/>
                    </w:rPr>
                  </w:pPr>
                  <w:r>
                    <w:rPr>
                      <w:rFonts w:hint="eastAsia"/>
                      <w:sz w:val="20"/>
                      <w:szCs w:val="20"/>
                      <w:highlight w:val="none"/>
                      <w:lang w:val="en-US" w:eastAsia="zh-CN"/>
                    </w:rPr>
                    <w:t>1</w:t>
                  </w:r>
                </w:p>
              </w:tc>
              <w:tc>
                <w:tcPr>
                  <w:tcW w:w="2065" w:type="pct"/>
                  <w:noWrap w:val="0"/>
                  <w:vAlign w:val="center"/>
                </w:tcPr>
                <w:p>
                  <w:pPr>
                    <w:pStyle w:val="180"/>
                    <w:spacing w:line="320" w:lineRule="exact"/>
                    <w:rPr>
                      <w:rFonts w:hint="default"/>
                      <w:kern w:val="0"/>
                      <w:sz w:val="20"/>
                      <w:szCs w:val="20"/>
                      <w:highlight w:val="none"/>
                      <w:lang w:val="en-US" w:eastAsia="zh-CN"/>
                    </w:rPr>
                  </w:pPr>
                  <w:r>
                    <w:rPr>
                      <w:rFonts w:hint="eastAsia"/>
                      <w:kern w:val="0"/>
                      <w:sz w:val="20"/>
                      <w:szCs w:val="20"/>
                      <w:highlight w:val="none"/>
                      <w:lang w:val="en-US" w:eastAsia="zh-CN"/>
                    </w:rPr>
                    <w:t>颗粒物、SO</w:t>
                  </w:r>
                  <w:r>
                    <w:rPr>
                      <w:rFonts w:hint="eastAsia"/>
                      <w:kern w:val="0"/>
                      <w:sz w:val="20"/>
                      <w:szCs w:val="20"/>
                      <w:highlight w:val="none"/>
                      <w:vertAlign w:val="subscript"/>
                      <w:lang w:val="en-US" w:eastAsia="zh-CN"/>
                    </w:rPr>
                    <w:t>2</w:t>
                  </w:r>
                  <w:r>
                    <w:rPr>
                      <w:rFonts w:hint="eastAsia"/>
                      <w:kern w:val="0"/>
                      <w:sz w:val="20"/>
                      <w:szCs w:val="20"/>
                      <w:highlight w:val="none"/>
                      <w:lang w:val="en-US" w:eastAsia="zh-CN"/>
                    </w:rPr>
                    <w:t>、NO</w:t>
                  </w:r>
                  <w:r>
                    <w:rPr>
                      <w:rFonts w:hint="eastAsia"/>
                      <w:kern w:val="0"/>
                      <w:sz w:val="20"/>
                      <w:szCs w:val="20"/>
                      <w:highlight w:val="none"/>
                      <w:vertAlign w:val="subscript"/>
                      <w:lang w:val="en-US" w:eastAsia="zh-CN"/>
                    </w:rPr>
                    <w:t>x</w:t>
                  </w:r>
                  <w:r>
                    <w:rPr>
                      <w:rFonts w:hint="eastAsia"/>
                      <w:kern w:val="0"/>
                      <w:sz w:val="20"/>
                      <w:szCs w:val="20"/>
                      <w:highlight w:val="none"/>
                      <w:lang w:val="en-US" w:eastAsia="zh-CN"/>
                    </w:rPr>
                    <w:t>、汞及其化合物</w:t>
                  </w:r>
                </w:p>
              </w:tc>
              <w:tc>
                <w:tcPr>
                  <w:tcW w:w="679" w:type="pct"/>
                  <w:noWrap w:val="0"/>
                  <w:vAlign w:val="center"/>
                </w:tcPr>
                <w:p>
                  <w:pPr>
                    <w:spacing w:line="320" w:lineRule="exact"/>
                    <w:jc w:val="center"/>
                    <w:rPr>
                      <w:rFonts w:hint="eastAsia" w:eastAsia="宋体"/>
                      <w:bCs/>
                      <w:sz w:val="20"/>
                      <w:szCs w:val="20"/>
                      <w:highlight w:val="none"/>
                      <w:lang w:eastAsia="zh-CN"/>
                    </w:rPr>
                  </w:pPr>
                  <w:r>
                    <w:rPr>
                      <w:bCs/>
                      <w:sz w:val="20"/>
                      <w:szCs w:val="20"/>
                      <w:highlight w:val="none"/>
                    </w:rPr>
                    <w:t>1次/</w:t>
                  </w:r>
                  <w:r>
                    <w:rPr>
                      <w:rFonts w:hint="eastAsia"/>
                      <w:bCs/>
                      <w:sz w:val="20"/>
                      <w:szCs w:val="20"/>
                      <w:highlight w:val="none"/>
                      <w:lang w:val="en-US" w:eastAsia="zh-CN"/>
                    </w:rPr>
                    <w:t>月</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0" w:hRule="atLeast"/>
              </w:trPr>
              <w:tc>
                <w:tcPr>
                  <w:tcW w:w="611" w:type="pct"/>
                  <w:vMerge w:val="restart"/>
                  <w:noWrap w:val="0"/>
                  <w:vAlign w:val="center"/>
                </w:tcPr>
                <w:p>
                  <w:pPr>
                    <w:pStyle w:val="180"/>
                    <w:spacing w:line="320" w:lineRule="exact"/>
                    <w:rPr>
                      <w:sz w:val="20"/>
                      <w:szCs w:val="20"/>
                      <w:highlight w:val="none"/>
                    </w:rPr>
                  </w:pPr>
                  <w:r>
                    <w:rPr>
                      <w:sz w:val="20"/>
                      <w:szCs w:val="20"/>
                      <w:highlight w:val="none"/>
                    </w:rPr>
                    <w:t>无组织废气</w:t>
                  </w:r>
                </w:p>
              </w:tc>
              <w:tc>
                <w:tcPr>
                  <w:tcW w:w="1166" w:type="pct"/>
                  <w:noWrap w:val="0"/>
                  <w:vAlign w:val="center"/>
                </w:tcPr>
                <w:p>
                  <w:pPr>
                    <w:pStyle w:val="180"/>
                    <w:spacing w:line="320" w:lineRule="exact"/>
                    <w:rPr>
                      <w:sz w:val="20"/>
                      <w:szCs w:val="20"/>
                      <w:highlight w:val="none"/>
                    </w:rPr>
                  </w:pPr>
                  <w:r>
                    <w:rPr>
                      <w:sz w:val="20"/>
                      <w:szCs w:val="20"/>
                      <w:highlight w:val="none"/>
                    </w:rPr>
                    <w:t>厂界</w:t>
                  </w:r>
                </w:p>
              </w:tc>
              <w:tc>
                <w:tcPr>
                  <w:tcW w:w="476" w:type="pct"/>
                  <w:noWrap w:val="0"/>
                  <w:vAlign w:val="center"/>
                </w:tcPr>
                <w:p>
                  <w:pPr>
                    <w:pStyle w:val="180"/>
                    <w:spacing w:line="320" w:lineRule="exact"/>
                    <w:rPr>
                      <w:sz w:val="20"/>
                      <w:szCs w:val="20"/>
                      <w:highlight w:val="none"/>
                    </w:rPr>
                  </w:pPr>
                  <w:r>
                    <w:rPr>
                      <w:sz w:val="20"/>
                      <w:szCs w:val="20"/>
                      <w:highlight w:val="none"/>
                    </w:rPr>
                    <w:t>4</w:t>
                  </w:r>
                </w:p>
              </w:tc>
              <w:tc>
                <w:tcPr>
                  <w:tcW w:w="2065" w:type="pct"/>
                  <w:noWrap w:val="0"/>
                  <w:vAlign w:val="center"/>
                </w:tcPr>
                <w:p>
                  <w:pPr>
                    <w:spacing w:line="320" w:lineRule="exact"/>
                    <w:jc w:val="center"/>
                    <w:rPr>
                      <w:bCs/>
                      <w:sz w:val="20"/>
                      <w:szCs w:val="20"/>
                      <w:highlight w:val="none"/>
                    </w:rPr>
                  </w:pPr>
                  <w:r>
                    <w:rPr>
                      <w:rFonts w:hint="eastAsia"/>
                      <w:kern w:val="0"/>
                      <w:sz w:val="20"/>
                      <w:szCs w:val="20"/>
                      <w:highlight w:val="none"/>
                      <w:lang w:val="en-US" w:eastAsia="zh-CN"/>
                    </w:rPr>
                    <w:t>颗粒物、</w:t>
                  </w:r>
                  <w:r>
                    <w:rPr>
                      <w:rFonts w:hint="eastAsia"/>
                      <w:kern w:val="0"/>
                      <w:sz w:val="20"/>
                      <w:szCs w:val="20"/>
                      <w:highlight w:val="none"/>
                    </w:rPr>
                    <w:t>非甲烷总烃</w:t>
                  </w:r>
                  <w:r>
                    <w:rPr>
                      <w:rFonts w:hint="eastAsia"/>
                      <w:kern w:val="0"/>
                      <w:sz w:val="20"/>
                      <w:szCs w:val="20"/>
                      <w:highlight w:val="none"/>
                      <w:lang w:eastAsia="zh-CN"/>
                    </w:rPr>
                    <w:t>、</w:t>
                  </w:r>
                  <w:r>
                    <w:rPr>
                      <w:rFonts w:hint="eastAsia"/>
                      <w:kern w:val="0"/>
                      <w:sz w:val="20"/>
                      <w:szCs w:val="20"/>
                      <w:highlight w:val="none"/>
                      <w:lang w:val="en-US" w:eastAsia="zh-CN"/>
                    </w:rPr>
                    <w:t>氨气、臭气浓度</w:t>
                  </w:r>
                </w:p>
              </w:tc>
              <w:tc>
                <w:tcPr>
                  <w:tcW w:w="679" w:type="pct"/>
                  <w:noWrap w:val="0"/>
                  <w:vAlign w:val="center"/>
                </w:tcPr>
                <w:p>
                  <w:pPr>
                    <w:spacing w:line="320" w:lineRule="exact"/>
                    <w:jc w:val="center"/>
                    <w:rPr>
                      <w:bCs/>
                      <w:sz w:val="20"/>
                      <w:szCs w:val="20"/>
                      <w:highlight w:val="none"/>
                    </w:rPr>
                  </w:pPr>
                  <w:r>
                    <w:rPr>
                      <w:bCs/>
                      <w:sz w:val="20"/>
                      <w:szCs w:val="20"/>
                      <w:highlight w:val="none"/>
                    </w:rPr>
                    <w:t>1次/</w:t>
                  </w:r>
                  <w:r>
                    <w:rPr>
                      <w:rFonts w:hint="eastAsia"/>
                      <w:bCs/>
                      <w:sz w:val="20"/>
                      <w:szCs w:val="20"/>
                      <w:highlight w:val="none"/>
                    </w:rPr>
                    <w:t>半</w:t>
                  </w:r>
                  <w:r>
                    <w:rPr>
                      <w:bCs/>
                      <w:sz w:val="20"/>
                      <w:szCs w:val="20"/>
                      <w:highlight w:val="none"/>
                    </w:rPr>
                    <w:t>年</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70" w:hRule="atLeast"/>
              </w:trPr>
              <w:tc>
                <w:tcPr>
                  <w:tcW w:w="611" w:type="pct"/>
                  <w:vMerge w:val="continue"/>
                  <w:noWrap w:val="0"/>
                  <w:vAlign w:val="center"/>
                </w:tcPr>
                <w:p>
                  <w:pPr>
                    <w:pStyle w:val="180"/>
                    <w:spacing w:line="320" w:lineRule="exact"/>
                    <w:rPr>
                      <w:sz w:val="20"/>
                      <w:szCs w:val="20"/>
                      <w:highlight w:val="none"/>
                    </w:rPr>
                  </w:pPr>
                </w:p>
              </w:tc>
              <w:tc>
                <w:tcPr>
                  <w:tcW w:w="1166" w:type="pct"/>
                  <w:noWrap w:val="0"/>
                  <w:vAlign w:val="center"/>
                </w:tcPr>
                <w:p>
                  <w:pPr>
                    <w:pStyle w:val="180"/>
                    <w:spacing w:line="320" w:lineRule="exact"/>
                    <w:rPr>
                      <w:sz w:val="20"/>
                      <w:szCs w:val="20"/>
                      <w:highlight w:val="none"/>
                    </w:rPr>
                  </w:pPr>
                  <w:r>
                    <w:rPr>
                      <w:sz w:val="20"/>
                      <w:szCs w:val="20"/>
                      <w:highlight w:val="none"/>
                    </w:rPr>
                    <w:t>车间外1m</w:t>
                  </w:r>
                  <w:r>
                    <w:rPr>
                      <w:rFonts w:hint="eastAsia"/>
                      <w:sz w:val="20"/>
                      <w:szCs w:val="20"/>
                      <w:highlight w:val="none"/>
                    </w:rPr>
                    <w:t>（厂内）</w:t>
                  </w:r>
                </w:p>
              </w:tc>
              <w:tc>
                <w:tcPr>
                  <w:tcW w:w="476" w:type="pct"/>
                  <w:noWrap w:val="0"/>
                  <w:vAlign w:val="center"/>
                </w:tcPr>
                <w:p>
                  <w:pPr>
                    <w:pStyle w:val="180"/>
                    <w:spacing w:line="320" w:lineRule="exact"/>
                    <w:rPr>
                      <w:sz w:val="20"/>
                      <w:szCs w:val="20"/>
                      <w:highlight w:val="none"/>
                    </w:rPr>
                  </w:pPr>
                  <w:r>
                    <w:rPr>
                      <w:rFonts w:hint="eastAsia"/>
                      <w:sz w:val="20"/>
                      <w:szCs w:val="20"/>
                      <w:highlight w:val="none"/>
                    </w:rPr>
                    <w:t>4</w:t>
                  </w:r>
                </w:p>
              </w:tc>
              <w:tc>
                <w:tcPr>
                  <w:tcW w:w="2065" w:type="pct"/>
                  <w:noWrap w:val="0"/>
                  <w:vAlign w:val="center"/>
                </w:tcPr>
                <w:p>
                  <w:pPr>
                    <w:pStyle w:val="180"/>
                    <w:spacing w:line="320" w:lineRule="exact"/>
                    <w:rPr>
                      <w:bCs/>
                      <w:sz w:val="20"/>
                      <w:szCs w:val="20"/>
                      <w:highlight w:val="none"/>
                    </w:rPr>
                  </w:pPr>
                  <w:r>
                    <w:rPr>
                      <w:rFonts w:hint="eastAsia"/>
                      <w:kern w:val="0"/>
                      <w:sz w:val="20"/>
                      <w:szCs w:val="20"/>
                      <w:highlight w:val="none"/>
                    </w:rPr>
                    <w:t>非甲烷总烃</w:t>
                  </w:r>
                </w:p>
              </w:tc>
              <w:tc>
                <w:tcPr>
                  <w:tcW w:w="679" w:type="pct"/>
                  <w:noWrap w:val="0"/>
                  <w:vAlign w:val="center"/>
                </w:tcPr>
                <w:p>
                  <w:pPr>
                    <w:spacing w:line="320" w:lineRule="exact"/>
                    <w:jc w:val="center"/>
                    <w:rPr>
                      <w:bCs/>
                      <w:sz w:val="20"/>
                      <w:szCs w:val="20"/>
                      <w:highlight w:val="none"/>
                    </w:rPr>
                  </w:pPr>
                  <w:r>
                    <w:rPr>
                      <w:bCs/>
                      <w:sz w:val="20"/>
                      <w:szCs w:val="20"/>
                      <w:highlight w:val="none"/>
                    </w:rPr>
                    <w:t>1次/</w:t>
                  </w:r>
                  <w:r>
                    <w:rPr>
                      <w:rFonts w:hint="eastAsia"/>
                      <w:bCs/>
                      <w:sz w:val="20"/>
                      <w:szCs w:val="20"/>
                      <w:highlight w:val="none"/>
                    </w:rPr>
                    <w:t>半</w:t>
                  </w:r>
                  <w:r>
                    <w:rPr>
                      <w:bCs/>
                      <w:sz w:val="20"/>
                      <w:szCs w:val="20"/>
                      <w:highlight w:val="none"/>
                    </w:rPr>
                    <w:t>年</w:t>
                  </w:r>
                </w:p>
              </w:tc>
            </w:tr>
          </w:tbl>
          <w:p>
            <w:pPr>
              <w:keepNext w:val="0"/>
              <w:keepLines w:val="0"/>
              <w:widowControl/>
              <w:suppressLineNumbers w:val="0"/>
              <w:jc w:val="left"/>
              <w:rPr>
                <w:rFonts w:hint="eastAsia" w:ascii="Times New Roman" w:hAnsi="Times New Roman" w:eastAsia="宋体" w:cs="Times New Roman"/>
                <w:color w:val="auto"/>
                <w:kern w:val="0"/>
                <w:szCs w:val="21"/>
                <w:lang w:val="en-US" w:eastAsia="zh-CN"/>
              </w:rPr>
            </w:pPr>
            <w:r>
              <w:rPr>
                <w:rFonts w:hint="eastAsia" w:cs="Times New Roman"/>
                <w:b/>
                <w:bCs/>
                <w:color w:val="auto"/>
                <w:kern w:val="0"/>
                <w:sz w:val="18"/>
                <w:szCs w:val="18"/>
                <w:lang w:val="en-US" w:eastAsia="zh-CN"/>
              </w:rPr>
              <w:t>注：</w:t>
            </w:r>
            <w:r>
              <w:rPr>
                <w:rFonts w:hint="eastAsia"/>
                <w:b/>
                <w:bCs/>
                <w:color w:val="auto"/>
                <w:sz w:val="18"/>
                <w:szCs w:val="18"/>
              </w:rPr>
              <w:t>《大气污染物综合排放标准》（DB32/4041-2021）</w:t>
            </w:r>
            <w:r>
              <w:rPr>
                <w:rFonts w:hint="eastAsia"/>
                <w:b/>
                <w:bCs/>
                <w:color w:val="auto"/>
                <w:sz w:val="18"/>
                <w:szCs w:val="18"/>
                <w:lang w:val="en-US" w:eastAsia="zh-CN"/>
              </w:rPr>
              <w:t>中提到</w:t>
            </w:r>
            <w:r>
              <w:rPr>
                <w:rFonts w:hint="eastAsia" w:ascii="宋体" w:hAnsi="宋体" w:eastAsia="宋体" w:cs="宋体"/>
                <w:b/>
                <w:bCs/>
                <w:color w:val="auto"/>
                <w:kern w:val="0"/>
                <w:sz w:val="18"/>
                <w:szCs w:val="18"/>
                <w:lang w:val="en-US" w:eastAsia="zh-CN" w:bidi="ar"/>
              </w:rPr>
              <w:t>当执行不同排放控制要求的废气合并排气筒排放时，应在废气混合前进行监测，并执行相应的排放控制要求；本项目同一排气筒不同股废气执行同一标准，可在排气筒出口监测。</w:t>
            </w:r>
          </w:p>
          <w:p>
            <w:pPr>
              <w:autoSpaceDE w:val="0"/>
              <w:autoSpaceDN w:val="0"/>
              <w:adjustRightInd w:val="0"/>
              <w:snapToGrid w:val="0"/>
              <w:spacing w:line="380" w:lineRule="exact"/>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fldChar w:fldCharType="begin"/>
            </w:r>
            <w:r>
              <w:rPr>
                <w:rFonts w:hint="eastAsia" w:ascii="Times New Roman" w:hAnsi="Times New Roman" w:eastAsia="宋体" w:cs="Times New Roman"/>
                <w:color w:val="auto"/>
                <w:kern w:val="0"/>
                <w:szCs w:val="21"/>
              </w:rPr>
              <w:instrText xml:space="preserve"> = 2 \* GB3 </w:instrText>
            </w:r>
            <w:r>
              <w:rPr>
                <w:rFonts w:hint="eastAsia" w:ascii="Times New Roman" w:hAnsi="Times New Roman" w:eastAsia="宋体" w:cs="Times New Roman"/>
                <w:color w:val="auto"/>
                <w:kern w:val="0"/>
                <w:szCs w:val="21"/>
              </w:rPr>
              <w:fldChar w:fldCharType="separate"/>
            </w:r>
            <w:r>
              <w:rPr>
                <w:rFonts w:hint="eastAsia" w:ascii="Times New Roman" w:hAnsi="Times New Roman" w:eastAsia="宋体" w:cs="Times New Roman"/>
                <w:color w:val="auto"/>
                <w:kern w:val="0"/>
                <w:szCs w:val="21"/>
              </w:rPr>
              <w:t>②</w:t>
            </w:r>
            <w:r>
              <w:rPr>
                <w:rFonts w:hint="eastAsia" w:ascii="Times New Roman" w:hAnsi="Times New Roman" w:eastAsia="宋体" w:cs="Times New Roman"/>
                <w:color w:val="auto"/>
                <w:kern w:val="0"/>
                <w:szCs w:val="21"/>
              </w:rPr>
              <w:fldChar w:fldCharType="end"/>
            </w:r>
            <w:r>
              <w:rPr>
                <w:rFonts w:hint="eastAsia" w:ascii="Times New Roman" w:hAnsi="Times New Roman" w:eastAsia="宋体" w:cs="Times New Roman"/>
                <w:color w:val="auto"/>
                <w:kern w:val="0"/>
                <w:szCs w:val="21"/>
              </w:rPr>
              <w:t>“三同时”验收监测计划</w:t>
            </w:r>
          </w:p>
          <w:p>
            <w:pPr>
              <w:autoSpaceDE w:val="0"/>
              <w:autoSpaceDN w:val="0"/>
              <w:adjustRightInd w:val="0"/>
              <w:snapToGrid w:val="0"/>
              <w:spacing w:line="380" w:lineRule="exact"/>
              <w:ind w:firstLine="420" w:firstLineChars="200"/>
              <w:rPr>
                <w:rFonts w:hint="eastAsia"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根据《建设项目竣工环境保护验收技术指南 污染影响类》，本项目废气监测点、监测项目及监测频次见下表。</w:t>
            </w:r>
          </w:p>
          <w:p>
            <w:pPr>
              <w:autoSpaceDE w:val="0"/>
              <w:autoSpaceDN w:val="0"/>
              <w:adjustRightInd w:val="0"/>
              <w:snapToGrid w:val="0"/>
              <w:spacing w:line="400" w:lineRule="exact"/>
              <w:jc w:val="center"/>
              <w:rPr>
                <w:rFonts w:hint="eastAsia" w:ascii="Times New Roman" w:hAnsi="Times New Roman" w:eastAsia="宋体" w:cs="Times New Roman"/>
                <w:b/>
                <w:color w:val="auto"/>
                <w:kern w:val="0"/>
                <w:szCs w:val="21"/>
                <w:lang w:val="en-US" w:eastAsia="zh-CN"/>
              </w:rPr>
            </w:pPr>
            <w:r>
              <w:rPr>
                <w:rFonts w:hint="eastAsia" w:ascii="Times New Roman" w:hAnsi="Times New Roman" w:eastAsia="宋体" w:cs="Times New Roman"/>
                <w:b/>
                <w:color w:val="auto"/>
                <w:kern w:val="0"/>
                <w:szCs w:val="21"/>
                <w:lang w:val="en-US" w:eastAsia="zh-CN"/>
              </w:rPr>
              <w:t>表4-1</w:t>
            </w:r>
            <w:r>
              <w:rPr>
                <w:rFonts w:hint="eastAsia" w:cs="Times New Roman"/>
                <w:b/>
                <w:color w:val="auto"/>
                <w:kern w:val="0"/>
                <w:szCs w:val="21"/>
                <w:lang w:val="en-US" w:eastAsia="zh-CN"/>
              </w:rPr>
              <w:t>6</w:t>
            </w:r>
            <w:r>
              <w:rPr>
                <w:rFonts w:hint="eastAsia" w:ascii="Times New Roman" w:hAnsi="Times New Roman" w:eastAsia="宋体" w:cs="Times New Roman"/>
                <w:b/>
                <w:color w:val="auto"/>
                <w:kern w:val="0"/>
                <w:szCs w:val="21"/>
                <w:lang w:val="en-US" w:eastAsia="zh-CN"/>
              </w:rPr>
              <w:t xml:space="preserve">  验收监测计划表</w:t>
            </w:r>
          </w:p>
          <w:tbl>
            <w:tblPr>
              <w:tblStyle w:val="90"/>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18"/>
              <w:gridCol w:w="2331"/>
              <w:gridCol w:w="1976"/>
              <w:gridCol w:w="1851"/>
              <w:gridCol w:w="172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694" w:type="pct"/>
                  <w:gridSpan w:val="2"/>
                  <w:noWrap w:val="0"/>
                  <w:vAlign w:val="center"/>
                </w:tcPr>
                <w:p>
                  <w:pPr>
                    <w:pStyle w:val="180"/>
                    <w:spacing w:line="320" w:lineRule="exact"/>
                    <w:rPr>
                      <w:b/>
                      <w:bCs/>
                      <w:sz w:val="20"/>
                      <w:szCs w:val="20"/>
                      <w:highlight w:val="none"/>
                    </w:rPr>
                  </w:pPr>
                  <w:r>
                    <w:rPr>
                      <w:b/>
                      <w:bCs/>
                      <w:sz w:val="20"/>
                      <w:szCs w:val="20"/>
                      <w:highlight w:val="none"/>
                    </w:rPr>
                    <w:t>监测点位（编号）</w:t>
                  </w:r>
                </w:p>
              </w:tc>
              <w:tc>
                <w:tcPr>
                  <w:tcW w:w="1175" w:type="pct"/>
                  <w:noWrap w:val="0"/>
                  <w:vAlign w:val="center"/>
                </w:tcPr>
                <w:p>
                  <w:pPr>
                    <w:pStyle w:val="180"/>
                    <w:spacing w:line="320" w:lineRule="exact"/>
                    <w:rPr>
                      <w:b/>
                      <w:bCs/>
                      <w:sz w:val="20"/>
                      <w:szCs w:val="20"/>
                      <w:highlight w:val="none"/>
                    </w:rPr>
                  </w:pPr>
                  <w:r>
                    <w:rPr>
                      <w:b/>
                      <w:bCs/>
                      <w:sz w:val="20"/>
                      <w:szCs w:val="20"/>
                      <w:highlight w:val="none"/>
                    </w:rPr>
                    <w:t>监测因子</w:t>
                  </w:r>
                </w:p>
              </w:tc>
              <w:tc>
                <w:tcPr>
                  <w:tcW w:w="1101" w:type="pct"/>
                  <w:noWrap w:val="0"/>
                  <w:vAlign w:val="center"/>
                </w:tcPr>
                <w:p>
                  <w:pPr>
                    <w:pStyle w:val="180"/>
                    <w:spacing w:line="320" w:lineRule="exact"/>
                    <w:rPr>
                      <w:b/>
                      <w:bCs/>
                      <w:sz w:val="20"/>
                      <w:szCs w:val="20"/>
                      <w:highlight w:val="none"/>
                    </w:rPr>
                  </w:pPr>
                  <w:r>
                    <w:rPr>
                      <w:b/>
                      <w:bCs/>
                      <w:sz w:val="20"/>
                      <w:szCs w:val="20"/>
                      <w:highlight w:val="none"/>
                    </w:rPr>
                    <w:t>监测项目</w:t>
                  </w:r>
                </w:p>
              </w:tc>
              <w:tc>
                <w:tcPr>
                  <w:tcW w:w="1028" w:type="pct"/>
                  <w:noWrap w:val="0"/>
                  <w:vAlign w:val="center"/>
                </w:tcPr>
                <w:p>
                  <w:pPr>
                    <w:pStyle w:val="180"/>
                    <w:spacing w:line="320" w:lineRule="exact"/>
                    <w:rPr>
                      <w:b/>
                      <w:bCs/>
                      <w:sz w:val="20"/>
                      <w:szCs w:val="20"/>
                      <w:highlight w:val="none"/>
                    </w:rPr>
                  </w:pPr>
                  <w:r>
                    <w:rPr>
                      <w:b/>
                      <w:bCs/>
                      <w:sz w:val="20"/>
                      <w:szCs w:val="20"/>
                      <w:highlight w:val="none"/>
                    </w:rPr>
                    <w:t>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8" w:type="pct"/>
                  <w:vMerge w:val="restart"/>
                  <w:noWrap w:val="0"/>
                  <w:vAlign w:val="center"/>
                </w:tcPr>
                <w:p>
                  <w:pPr>
                    <w:pStyle w:val="180"/>
                    <w:spacing w:line="320" w:lineRule="exact"/>
                    <w:rPr>
                      <w:sz w:val="20"/>
                      <w:szCs w:val="20"/>
                      <w:highlight w:val="none"/>
                    </w:rPr>
                  </w:pPr>
                  <w:r>
                    <w:rPr>
                      <w:rFonts w:hint="eastAsia"/>
                      <w:sz w:val="20"/>
                      <w:szCs w:val="20"/>
                      <w:highlight w:val="none"/>
                    </w:rPr>
                    <w:t>有组织</w:t>
                  </w:r>
                </w:p>
              </w:tc>
              <w:tc>
                <w:tcPr>
                  <w:tcW w:w="1386" w:type="pct"/>
                  <w:noWrap w:val="0"/>
                  <w:vAlign w:val="center"/>
                </w:tcPr>
                <w:p>
                  <w:pPr>
                    <w:spacing w:line="320" w:lineRule="exact"/>
                    <w:jc w:val="center"/>
                    <w:rPr>
                      <w:rFonts w:hint="eastAsia" w:eastAsia="宋体"/>
                      <w:kern w:val="2"/>
                      <w:sz w:val="20"/>
                      <w:szCs w:val="20"/>
                      <w:highlight w:val="none"/>
                      <w:lang w:val="en-US" w:eastAsia="zh-CN" w:bidi="ar-SA"/>
                    </w:rPr>
                  </w:pPr>
                  <w:r>
                    <w:rPr>
                      <w:rFonts w:hint="eastAsia"/>
                      <w:sz w:val="20"/>
                      <w:szCs w:val="20"/>
                      <w:highlight w:val="none"/>
                      <w:lang w:val="en-US" w:eastAsia="zh-CN"/>
                    </w:rPr>
                    <w:t>DA001</w:t>
                  </w:r>
                  <w:r>
                    <w:rPr>
                      <w:sz w:val="20"/>
                      <w:szCs w:val="20"/>
                      <w:highlight w:val="none"/>
                    </w:rPr>
                    <w:t>排气筒</w:t>
                  </w:r>
                  <w:r>
                    <w:rPr>
                      <w:rFonts w:hint="eastAsia"/>
                      <w:sz w:val="20"/>
                      <w:szCs w:val="20"/>
                      <w:highlight w:val="none"/>
                      <w:lang w:eastAsia="zh-CN"/>
                    </w:rPr>
                    <w:t>（</w:t>
                  </w:r>
                  <w:r>
                    <w:rPr>
                      <w:rFonts w:hint="eastAsia"/>
                      <w:sz w:val="20"/>
                      <w:szCs w:val="20"/>
                      <w:highlight w:val="none"/>
                      <w:lang w:val="en-US" w:eastAsia="zh-CN"/>
                    </w:rPr>
                    <w:t>进、出口</w:t>
                  </w:r>
                  <w:r>
                    <w:rPr>
                      <w:rFonts w:hint="eastAsia"/>
                      <w:sz w:val="20"/>
                      <w:szCs w:val="20"/>
                      <w:highlight w:val="none"/>
                      <w:lang w:eastAsia="zh-CN"/>
                    </w:rPr>
                    <w:t>）</w:t>
                  </w:r>
                </w:p>
              </w:tc>
              <w:tc>
                <w:tcPr>
                  <w:tcW w:w="1175" w:type="pct"/>
                  <w:noWrap w:val="0"/>
                  <w:vAlign w:val="center"/>
                </w:tcPr>
                <w:p>
                  <w:pPr>
                    <w:pStyle w:val="180"/>
                    <w:spacing w:line="320" w:lineRule="exact"/>
                    <w:rPr>
                      <w:rFonts w:hint="eastAsia"/>
                      <w:kern w:val="0"/>
                      <w:sz w:val="20"/>
                      <w:szCs w:val="20"/>
                      <w:highlight w:val="none"/>
                      <w:lang w:val="en-US" w:eastAsia="zh-CN" w:bidi="ar-SA"/>
                    </w:rPr>
                  </w:pPr>
                  <w:r>
                    <w:rPr>
                      <w:rFonts w:hint="eastAsia"/>
                      <w:kern w:val="0"/>
                      <w:sz w:val="20"/>
                      <w:szCs w:val="20"/>
                      <w:highlight w:val="none"/>
                      <w:lang w:val="en-US" w:eastAsia="zh-CN"/>
                    </w:rPr>
                    <w:t>颗粒物、非甲烷总烃</w:t>
                  </w:r>
                </w:p>
              </w:tc>
              <w:tc>
                <w:tcPr>
                  <w:tcW w:w="1101" w:type="pct"/>
                  <w:vMerge w:val="restart"/>
                  <w:noWrap w:val="0"/>
                  <w:vAlign w:val="center"/>
                </w:tcPr>
                <w:p>
                  <w:pPr>
                    <w:pStyle w:val="180"/>
                    <w:spacing w:line="320" w:lineRule="exact"/>
                    <w:rPr>
                      <w:sz w:val="20"/>
                      <w:szCs w:val="20"/>
                      <w:highlight w:val="none"/>
                    </w:rPr>
                  </w:pPr>
                  <w:r>
                    <w:rPr>
                      <w:rFonts w:hint="eastAsia"/>
                      <w:sz w:val="20"/>
                      <w:szCs w:val="20"/>
                      <w:highlight w:val="none"/>
                    </w:rPr>
                    <w:t>产生速率，产生浓度、排放速率、排放浓度、</w:t>
                  </w:r>
                  <w:r>
                    <w:rPr>
                      <w:rFonts w:hint="eastAsia"/>
                      <w:bCs/>
                      <w:sz w:val="20"/>
                      <w:szCs w:val="20"/>
                      <w:highlight w:val="none"/>
                    </w:rPr>
                    <w:t>处理效率</w:t>
                  </w:r>
                </w:p>
              </w:tc>
              <w:tc>
                <w:tcPr>
                  <w:tcW w:w="1028" w:type="pct"/>
                  <w:vMerge w:val="restart"/>
                  <w:noWrap w:val="0"/>
                  <w:vAlign w:val="center"/>
                </w:tcPr>
                <w:p>
                  <w:pPr>
                    <w:pStyle w:val="180"/>
                    <w:spacing w:line="320" w:lineRule="exact"/>
                    <w:rPr>
                      <w:sz w:val="20"/>
                      <w:szCs w:val="20"/>
                      <w:highlight w:val="none"/>
                    </w:rPr>
                  </w:pPr>
                  <w:r>
                    <w:rPr>
                      <w:rFonts w:hint="eastAsia"/>
                      <w:sz w:val="20"/>
                      <w:szCs w:val="20"/>
                      <w:highlight w:val="none"/>
                    </w:rPr>
                    <w:t>连续监测</w:t>
                  </w:r>
                  <w:r>
                    <w:rPr>
                      <w:sz w:val="20"/>
                      <w:szCs w:val="20"/>
                      <w:highlight w:val="none"/>
                    </w:rPr>
                    <w:t>2</w:t>
                  </w:r>
                  <w:r>
                    <w:rPr>
                      <w:rFonts w:hint="eastAsia"/>
                      <w:sz w:val="20"/>
                      <w:szCs w:val="20"/>
                      <w:highlight w:val="none"/>
                    </w:rPr>
                    <w:t>天，每天</w:t>
                  </w:r>
                  <w:r>
                    <w:rPr>
                      <w:sz w:val="20"/>
                      <w:szCs w:val="20"/>
                      <w:highlight w:val="none"/>
                    </w:rPr>
                    <w:t>3</w:t>
                  </w:r>
                  <w:r>
                    <w:rPr>
                      <w:rFonts w:hint="eastAsia"/>
                      <w:sz w:val="20"/>
                      <w:szCs w:val="20"/>
                      <w:highlight w:val="none"/>
                    </w:rPr>
                    <w:t>个平行样（以项目竣工验收监测方案为准）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8" w:type="pct"/>
                  <w:vMerge w:val="continue"/>
                  <w:noWrap w:val="0"/>
                  <w:vAlign w:val="center"/>
                </w:tcPr>
                <w:p>
                  <w:pPr>
                    <w:pStyle w:val="180"/>
                    <w:spacing w:line="320" w:lineRule="exact"/>
                    <w:rPr>
                      <w:sz w:val="20"/>
                      <w:szCs w:val="20"/>
                    </w:rPr>
                  </w:pPr>
                </w:p>
              </w:tc>
              <w:tc>
                <w:tcPr>
                  <w:tcW w:w="1386" w:type="pct"/>
                  <w:shd w:val="clear" w:color="auto" w:fill="auto"/>
                  <w:noWrap w:val="0"/>
                  <w:vAlign w:val="center"/>
                </w:tcPr>
                <w:p>
                  <w:pPr>
                    <w:spacing w:line="320" w:lineRule="exact"/>
                    <w:jc w:val="center"/>
                    <w:rPr>
                      <w:rFonts w:hint="eastAsia" w:ascii="Times New Roman" w:hAnsi="Times New Roman" w:eastAsia="宋体" w:cs="Times New Roman"/>
                      <w:kern w:val="2"/>
                      <w:sz w:val="20"/>
                      <w:szCs w:val="20"/>
                      <w:highlight w:val="none"/>
                      <w:lang w:val="en-US" w:eastAsia="zh-CN" w:bidi="ar-SA"/>
                    </w:rPr>
                  </w:pPr>
                  <w:r>
                    <w:rPr>
                      <w:rFonts w:hint="eastAsia"/>
                      <w:sz w:val="20"/>
                      <w:szCs w:val="20"/>
                      <w:highlight w:val="none"/>
                      <w:lang w:val="en-US" w:eastAsia="zh-CN"/>
                    </w:rPr>
                    <w:t>DA002排气筒</w:t>
                  </w:r>
                  <w:r>
                    <w:rPr>
                      <w:rFonts w:hint="eastAsia"/>
                      <w:sz w:val="20"/>
                      <w:szCs w:val="20"/>
                      <w:highlight w:val="none"/>
                      <w:lang w:eastAsia="zh-CN"/>
                    </w:rPr>
                    <w:t>（</w:t>
                  </w:r>
                  <w:r>
                    <w:rPr>
                      <w:rFonts w:hint="eastAsia"/>
                      <w:sz w:val="20"/>
                      <w:szCs w:val="20"/>
                      <w:highlight w:val="none"/>
                      <w:lang w:val="en-US" w:eastAsia="zh-CN"/>
                    </w:rPr>
                    <w:t>进、出口</w:t>
                  </w:r>
                  <w:r>
                    <w:rPr>
                      <w:rFonts w:hint="eastAsia"/>
                      <w:sz w:val="20"/>
                      <w:szCs w:val="20"/>
                      <w:highlight w:val="none"/>
                      <w:lang w:eastAsia="zh-CN"/>
                    </w:rPr>
                    <w:t>）</w:t>
                  </w:r>
                </w:p>
              </w:tc>
              <w:tc>
                <w:tcPr>
                  <w:tcW w:w="1175" w:type="pct"/>
                  <w:shd w:val="clear" w:color="auto" w:fill="auto"/>
                  <w:noWrap w:val="0"/>
                  <w:vAlign w:val="center"/>
                </w:tcPr>
                <w:p>
                  <w:pPr>
                    <w:pStyle w:val="180"/>
                    <w:spacing w:line="320" w:lineRule="exact"/>
                    <w:rPr>
                      <w:rFonts w:hint="eastAsia" w:ascii="Times New Roman" w:hAnsi="Times New Roman" w:eastAsia="宋体" w:cs="Times New Roman"/>
                      <w:kern w:val="0"/>
                      <w:sz w:val="20"/>
                      <w:szCs w:val="20"/>
                      <w:highlight w:val="none"/>
                      <w:lang w:val="en-US" w:eastAsia="zh-CN" w:bidi="ar-SA"/>
                    </w:rPr>
                  </w:pPr>
                  <w:r>
                    <w:rPr>
                      <w:rFonts w:hint="eastAsia"/>
                      <w:kern w:val="0"/>
                      <w:sz w:val="20"/>
                      <w:szCs w:val="20"/>
                      <w:highlight w:val="none"/>
                      <w:lang w:val="en-US" w:eastAsia="zh-CN"/>
                    </w:rPr>
                    <w:t>颗粒物、SO</w:t>
                  </w:r>
                  <w:r>
                    <w:rPr>
                      <w:rFonts w:hint="eastAsia"/>
                      <w:kern w:val="0"/>
                      <w:sz w:val="20"/>
                      <w:szCs w:val="20"/>
                      <w:highlight w:val="none"/>
                      <w:vertAlign w:val="subscript"/>
                      <w:lang w:val="en-US" w:eastAsia="zh-CN"/>
                    </w:rPr>
                    <w:t>2</w:t>
                  </w:r>
                  <w:r>
                    <w:rPr>
                      <w:rFonts w:hint="eastAsia"/>
                      <w:kern w:val="0"/>
                      <w:sz w:val="20"/>
                      <w:szCs w:val="20"/>
                      <w:highlight w:val="none"/>
                      <w:lang w:val="en-US" w:eastAsia="zh-CN"/>
                    </w:rPr>
                    <w:t>、NO</w:t>
                  </w:r>
                  <w:r>
                    <w:rPr>
                      <w:rFonts w:hint="eastAsia"/>
                      <w:kern w:val="0"/>
                      <w:sz w:val="20"/>
                      <w:szCs w:val="20"/>
                      <w:highlight w:val="none"/>
                      <w:vertAlign w:val="subscript"/>
                      <w:lang w:val="en-US" w:eastAsia="zh-CN"/>
                    </w:rPr>
                    <w:t>x</w:t>
                  </w:r>
                  <w:r>
                    <w:rPr>
                      <w:rFonts w:hint="eastAsia"/>
                      <w:kern w:val="0"/>
                      <w:sz w:val="20"/>
                      <w:szCs w:val="20"/>
                      <w:highlight w:val="none"/>
                      <w:lang w:val="en-US" w:eastAsia="zh-CN"/>
                    </w:rPr>
                    <w:t>、汞及其化合物</w:t>
                  </w:r>
                </w:p>
              </w:tc>
              <w:tc>
                <w:tcPr>
                  <w:tcW w:w="1101" w:type="pct"/>
                  <w:vMerge w:val="continue"/>
                  <w:noWrap w:val="0"/>
                  <w:vAlign w:val="center"/>
                </w:tcPr>
                <w:p>
                  <w:pPr>
                    <w:pStyle w:val="180"/>
                    <w:spacing w:line="320" w:lineRule="exact"/>
                    <w:rPr>
                      <w:rFonts w:hint="eastAsia"/>
                      <w:sz w:val="20"/>
                      <w:szCs w:val="20"/>
                      <w:highlight w:val="none"/>
                      <w:lang w:val="en-US" w:eastAsia="zh-CN"/>
                    </w:rPr>
                  </w:pPr>
                </w:p>
              </w:tc>
              <w:tc>
                <w:tcPr>
                  <w:tcW w:w="1028" w:type="pct"/>
                  <w:vMerge w:val="continue"/>
                  <w:noWrap w:val="0"/>
                  <w:vAlign w:val="center"/>
                </w:tcPr>
                <w:p>
                  <w:pPr>
                    <w:pStyle w:val="180"/>
                    <w:spacing w:line="320" w:lineRule="exact"/>
                    <w:rPr>
                      <w:rFonts w:hint="eastAsia"/>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308" w:type="pct"/>
                  <w:vMerge w:val="continue"/>
                  <w:noWrap w:val="0"/>
                  <w:vAlign w:val="center"/>
                </w:tcPr>
                <w:p>
                  <w:pPr>
                    <w:pStyle w:val="180"/>
                    <w:spacing w:line="320" w:lineRule="exact"/>
                    <w:rPr>
                      <w:sz w:val="20"/>
                      <w:szCs w:val="20"/>
                    </w:rPr>
                  </w:pPr>
                </w:p>
              </w:tc>
              <w:tc>
                <w:tcPr>
                  <w:tcW w:w="1386" w:type="pct"/>
                  <w:noWrap w:val="0"/>
                  <w:vAlign w:val="center"/>
                </w:tcPr>
                <w:p>
                  <w:pPr>
                    <w:spacing w:line="320" w:lineRule="exact"/>
                    <w:jc w:val="center"/>
                    <w:rPr>
                      <w:rFonts w:hint="default"/>
                      <w:sz w:val="20"/>
                      <w:szCs w:val="20"/>
                      <w:highlight w:val="none"/>
                      <w:lang w:val="en-US" w:eastAsia="zh-CN"/>
                    </w:rPr>
                  </w:pPr>
                  <w:r>
                    <w:rPr>
                      <w:rFonts w:hint="eastAsia"/>
                      <w:sz w:val="20"/>
                      <w:szCs w:val="20"/>
                      <w:highlight w:val="none"/>
                      <w:lang w:val="en-US" w:eastAsia="zh-CN"/>
                    </w:rPr>
                    <w:t>DA003排气筒</w:t>
                  </w:r>
                  <w:r>
                    <w:rPr>
                      <w:rFonts w:hint="eastAsia"/>
                      <w:sz w:val="20"/>
                      <w:szCs w:val="20"/>
                      <w:highlight w:val="none"/>
                      <w:lang w:eastAsia="zh-CN"/>
                    </w:rPr>
                    <w:t>（</w:t>
                  </w:r>
                  <w:r>
                    <w:rPr>
                      <w:rFonts w:hint="eastAsia"/>
                      <w:sz w:val="20"/>
                      <w:szCs w:val="20"/>
                      <w:highlight w:val="none"/>
                      <w:lang w:val="en-US" w:eastAsia="zh-CN"/>
                    </w:rPr>
                    <w:t>进、出口</w:t>
                  </w:r>
                  <w:r>
                    <w:rPr>
                      <w:rFonts w:hint="eastAsia"/>
                      <w:sz w:val="20"/>
                      <w:szCs w:val="20"/>
                      <w:highlight w:val="none"/>
                      <w:lang w:eastAsia="zh-CN"/>
                    </w:rPr>
                    <w:t>）</w:t>
                  </w:r>
                </w:p>
              </w:tc>
              <w:tc>
                <w:tcPr>
                  <w:tcW w:w="1175" w:type="pct"/>
                  <w:noWrap w:val="0"/>
                  <w:vAlign w:val="center"/>
                </w:tcPr>
                <w:p>
                  <w:pPr>
                    <w:pStyle w:val="180"/>
                    <w:spacing w:line="320" w:lineRule="exact"/>
                    <w:rPr>
                      <w:rFonts w:hint="default"/>
                      <w:sz w:val="20"/>
                      <w:szCs w:val="20"/>
                      <w:highlight w:val="none"/>
                      <w:lang w:val="en-US" w:eastAsia="zh-CN"/>
                    </w:rPr>
                  </w:pPr>
                  <w:r>
                    <w:rPr>
                      <w:rFonts w:hint="eastAsia"/>
                      <w:kern w:val="0"/>
                      <w:sz w:val="20"/>
                      <w:szCs w:val="20"/>
                      <w:highlight w:val="none"/>
                      <w:lang w:val="en-US" w:eastAsia="zh-CN"/>
                    </w:rPr>
                    <w:t>颗粒物、SO</w:t>
                  </w:r>
                  <w:r>
                    <w:rPr>
                      <w:rFonts w:hint="eastAsia"/>
                      <w:kern w:val="0"/>
                      <w:sz w:val="20"/>
                      <w:szCs w:val="20"/>
                      <w:highlight w:val="none"/>
                      <w:vertAlign w:val="subscript"/>
                      <w:lang w:val="en-US" w:eastAsia="zh-CN"/>
                    </w:rPr>
                    <w:t>2</w:t>
                  </w:r>
                  <w:r>
                    <w:rPr>
                      <w:rFonts w:hint="eastAsia"/>
                      <w:kern w:val="0"/>
                      <w:sz w:val="20"/>
                      <w:szCs w:val="20"/>
                      <w:highlight w:val="none"/>
                      <w:lang w:val="en-US" w:eastAsia="zh-CN"/>
                    </w:rPr>
                    <w:t>、NO</w:t>
                  </w:r>
                  <w:r>
                    <w:rPr>
                      <w:rFonts w:hint="eastAsia"/>
                      <w:kern w:val="0"/>
                      <w:sz w:val="20"/>
                      <w:szCs w:val="20"/>
                      <w:highlight w:val="none"/>
                      <w:vertAlign w:val="subscript"/>
                      <w:lang w:val="en-US" w:eastAsia="zh-CN"/>
                    </w:rPr>
                    <w:t>x</w:t>
                  </w:r>
                  <w:r>
                    <w:rPr>
                      <w:rFonts w:hint="eastAsia"/>
                      <w:kern w:val="0"/>
                      <w:sz w:val="20"/>
                      <w:szCs w:val="20"/>
                      <w:highlight w:val="none"/>
                      <w:lang w:val="en-US" w:eastAsia="zh-CN"/>
                    </w:rPr>
                    <w:t>、汞及其化合物</w:t>
                  </w:r>
                </w:p>
              </w:tc>
              <w:tc>
                <w:tcPr>
                  <w:tcW w:w="1101" w:type="pct"/>
                  <w:vMerge w:val="continue"/>
                  <w:noWrap w:val="0"/>
                  <w:vAlign w:val="center"/>
                </w:tcPr>
                <w:p>
                  <w:pPr>
                    <w:pStyle w:val="180"/>
                    <w:spacing w:line="320" w:lineRule="exact"/>
                    <w:rPr>
                      <w:rFonts w:hint="eastAsia"/>
                      <w:sz w:val="20"/>
                      <w:szCs w:val="20"/>
                      <w:highlight w:val="none"/>
                      <w:lang w:val="en-US" w:eastAsia="zh-CN"/>
                    </w:rPr>
                  </w:pPr>
                </w:p>
              </w:tc>
              <w:tc>
                <w:tcPr>
                  <w:tcW w:w="1028" w:type="pct"/>
                  <w:vMerge w:val="continue"/>
                  <w:noWrap w:val="0"/>
                  <w:vAlign w:val="center"/>
                </w:tcPr>
                <w:p>
                  <w:pPr>
                    <w:pStyle w:val="180"/>
                    <w:spacing w:line="320" w:lineRule="exact"/>
                    <w:rPr>
                      <w:rFonts w:hint="eastAsia"/>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98" w:hRule="exact"/>
              </w:trPr>
              <w:tc>
                <w:tcPr>
                  <w:tcW w:w="308" w:type="pct"/>
                  <w:vMerge w:val="restart"/>
                  <w:noWrap w:val="0"/>
                  <w:vAlign w:val="center"/>
                </w:tcPr>
                <w:p>
                  <w:pPr>
                    <w:pStyle w:val="180"/>
                    <w:spacing w:line="320" w:lineRule="exact"/>
                    <w:rPr>
                      <w:sz w:val="20"/>
                      <w:szCs w:val="20"/>
                      <w:highlight w:val="none"/>
                    </w:rPr>
                  </w:pPr>
                  <w:r>
                    <w:rPr>
                      <w:rFonts w:hint="eastAsia"/>
                      <w:sz w:val="20"/>
                      <w:szCs w:val="20"/>
                      <w:highlight w:val="none"/>
                    </w:rPr>
                    <w:t>无组织</w:t>
                  </w:r>
                </w:p>
              </w:tc>
              <w:tc>
                <w:tcPr>
                  <w:tcW w:w="1386" w:type="pct"/>
                  <w:noWrap w:val="0"/>
                  <w:vAlign w:val="center"/>
                </w:tcPr>
                <w:p>
                  <w:pPr>
                    <w:pStyle w:val="180"/>
                    <w:spacing w:line="320" w:lineRule="exact"/>
                    <w:rPr>
                      <w:sz w:val="20"/>
                      <w:szCs w:val="20"/>
                      <w:highlight w:val="none"/>
                    </w:rPr>
                  </w:pPr>
                  <w:r>
                    <w:rPr>
                      <w:sz w:val="20"/>
                      <w:szCs w:val="20"/>
                      <w:highlight w:val="none"/>
                    </w:rPr>
                    <w:t>厂界</w:t>
                  </w:r>
                  <w:r>
                    <w:rPr>
                      <w:rFonts w:hint="eastAsia"/>
                      <w:sz w:val="20"/>
                      <w:szCs w:val="20"/>
                      <w:highlight w:val="none"/>
                    </w:rPr>
                    <w:t>上</w:t>
                  </w:r>
                  <w:r>
                    <w:rPr>
                      <w:sz w:val="20"/>
                      <w:szCs w:val="20"/>
                      <w:highlight w:val="none"/>
                    </w:rPr>
                    <w:t>风向</w:t>
                  </w:r>
                  <w:r>
                    <w:rPr>
                      <w:rFonts w:hint="eastAsia"/>
                      <w:sz w:val="20"/>
                      <w:szCs w:val="20"/>
                      <w:highlight w:val="none"/>
                    </w:rPr>
                    <w:t>1个</w:t>
                  </w:r>
                  <w:r>
                    <w:rPr>
                      <w:sz w:val="20"/>
                      <w:szCs w:val="20"/>
                      <w:highlight w:val="none"/>
                    </w:rPr>
                    <w:t>监控点</w:t>
                  </w:r>
                  <w:r>
                    <w:rPr>
                      <w:rFonts w:hint="eastAsia"/>
                      <w:sz w:val="20"/>
                      <w:szCs w:val="20"/>
                      <w:highlight w:val="none"/>
                    </w:rPr>
                    <w:t>，</w:t>
                  </w:r>
                  <w:r>
                    <w:rPr>
                      <w:sz w:val="20"/>
                      <w:szCs w:val="20"/>
                      <w:highlight w:val="none"/>
                    </w:rPr>
                    <w:t>下风向</w:t>
                  </w:r>
                  <w:r>
                    <w:rPr>
                      <w:rFonts w:hint="eastAsia"/>
                      <w:sz w:val="20"/>
                      <w:szCs w:val="20"/>
                      <w:highlight w:val="none"/>
                    </w:rPr>
                    <w:t>3个</w:t>
                  </w:r>
                  <w:r>
                    <w:rPr>
                      <w:sz w:val="20"/>
                      <w:szCs w:val="20"/>
                      <w:highlight w:val="none"/>
                    </w:rPr>
                    <w:t>监控点</w:t>
                  </w:r>
                </w:p>
              </w:tc>
              <w:tc>
                <w:tcPr>
                  <w:tcW w:w="1175" w:type="pct"/>
                  <w:noWrap w:val="0"/>
                  <w:vAlign w:val="center"/>
                </w:tcPr>
                <w:p>
                  <w:pPr>
                    <w:spacing w:line="320" w:lineRule="exact"/>
                    <w:jc w:val="center"/>
                    <w:rPr>
                      <w:rFonts w:hint="eastAsia" w:eastAsia="宋体"/>
                      <w:sz w:val="20"/>
                      <w:szCs w:val="20"/>
                      <w:highlight w:val="none"/>
                      <w:lang w:eastAsia="zh-CN"/>
                    </w:rPr>
                  </w:pPr>
                  <w:r>
                    <w:rPr>
                      <w:rFonts w:hint="eastAsia"/>
                      <w:kern w:val="0"/>
                      <w:sz w:val="20"/>
                      <w:szCs w:val="20"/>
                      <w:highlight w:val="none"/>
                      <w:lang w:val="en-US" w:eastAsia="zh-CN"/>
                    </w:rPr>
                    <w:t>颗粒物、</w:t>
                  </w:r>
                  <w:r>
                    <w:rPr>
                      <w:rFonts w:hint="eastAsia"/>
                      <w:kern w:val="0"/>
                      <w:sz w:val="20"/>
                      <w:szCs w:val="20"/>
                      <w:highlight w:val="none"/>
                    </w:rPr>
                    <w:t>非甲烷总烃</w:t>
                  </w:r>
                  <w:r>
                    <w:rPr>
                      <w:rFonts w:hint="eastAsia"/>
                      <w:kern w:val="0"/>
                      <w:sz w:val="20"/>
                      <w:szCs w:val="20"/>
                      <w:highlight w:val="none"/>
                      <w:lang w:eastAsia="zh-CN"/>
                    </w:rPr>
                    <w:t>、</w:t>
                  </w:r>
                  <w:r>
                    <w:rPr>
                      <w:rFonts w:hint="eastAsia"/>
                      <w:kern w:val="0"/>
                      <w:sz w:val="20"/>
                      <w:szCs w:val="20"/>
                      <w:highlight w:val="none"/>
                      <w:lang w:val="en-US" w:eastAsia="zh-CN"/>
                    </w:rPr>
                    <w:t>氨气、臭气浓度</w:t>
                  </w:r>
                </w:p>
              </w:tc>
              <w:tc>
                <w:tcPr>
                  <w:tcW w:w="1101" w:type="pct"/>
                  <w:noWrap w:val="0"/>
                  <w:vAlign w:val="center"/>
                </w:tcPr>
                <w:p>
                  <w:pPr>
                    <w:pStyle w:val="180"/>
                    <w:spacing w:line="320" w:lineRule="exact"/>
                    <w:rPr>
                      <w:sz w:val="20"/>
                      <w:szCs w:val="20"/>
                      <w:highlight w:val="none"/>
                    </w:rPr>
                  </w:pPr>
                  <w:r>
                    <w:rPr>
                      <w:sz w:val="20"/>
                      <w:szCs w:val="20"/>
                      <w:highlight w:val="none"/>
                    </w:rPr>
                    <w:t>厂界监控点</w:t>
                  </w:r>
                </w:p>
              </w:tc>
              <w:tc>
                <w:tcPr>
                  <w:tcW w:w="1028" w:type="pct"/>
                  <w:vMerge w:val="continue"/>
                  <w:noWrap w:val="0"/>
                  <w:vAlign w:val="center"/>
                </w:tcPr>
                <w:p>
                  <w:pPr>
                    <w:adjustRightInd w:val="0"/>
                    <w:snapToGrid w:val="0"/>
                    <w:jc w:val="center"/>
                    <w:rPr>
                      <w:sz w:val="20"/>
                      <w:szCs w:val="20"/>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308" w:type="pct"/>
                  <w:vMerge w:val="continue"/>
                  <w:noWrap w:val="0"/>
                  <w:vAlign w:val="center"/>
                </w:tcPr>
                <w:p>
                  <w:pPr>
                    <w:pStyle w:val="180"/>
                    <w:spacing w:line="320" w:lineRule="exact"/>
                    <w:rPr>
                      <w:sz w:val="20"/>
                      <w:szCs w:val="20"/>
                      <w:highlight w:val="none"/>
                    </w:rPr>
                  </w:pPr>
                </w:p>
              </w:tc>
              <w:tc>
                <w:tcPr>
                  <w:tcW w:w="1386" w:type="pct"/>
                  <w:noWrap w:val="0"/>
                  <w:vAlign w:val="center"/>
                </w:tcPr>
                <w:p>
                  <w:pPr>
                    <w:pStyle w:val="180"/>
                    <w:spacing w:line="320" w:lineRule="exact"/>
                    <w:rPr>
                      <w:sz w:val="20"/>
                      <w:szCs w:val="20"/>
                      <w:highlight w:val="none"/>
                    </w:rPr>
                  </w:pPr>
                  <w:r>
                    <w:rPr>
                      <w:sz w:val="20"/>
                      <w:szCs w:val="20"/>
                      <w:highlight w:val="none"/>
                    </w:rPr>
                    <w:t>厂房外1m</w:t>
                  </w:r>
                  <w:r>
                    <w:rPr>
                      <w:rFonts w:hint="eastAsia"/>
                      <w:sz w:val="20"/>
                      <w:szCs w:val="20"/>
                      <w:highlight w:val="none"/>
                    </w:rPr>
                    <w:t>（厂内）</w:t>
                  </w:r>
                </w:p>
              </w:tc>
              <w:tc>
                <w:tcPr>
                  <w:tcW w:w="1175" w:type="pct"/>
                  <w:noWrap w:val="0"/>
                  <w:vAlign w:val="center"/>
                </w:tcPr>
                <w:p>
                  <w:pPr>
                    <w:pStyle w:val="180"/>
                    <w:spacing w:line="320" w:lineRule="exact"/>
                    <w:rPr>
                      <w:sz w:val="20"/>
                      <w:szCs w:val="20"/>
                      <w:highlight w:val="none"/>
                    </w:rPr>
                  </w:pPr>
                  <w:r>
                    <w:rPr>
                      <w:rFonts w:hint="eastAsia"/>
                      <w:kern w:val="0"/>
                      <w:sz w:val="20"/>
                      <w:szCs w:val="20"/>
                      <w:highlight w:val="none"/>
                    </w:rPr>
                    <w:t>非甲烷总烃</w:t>
                  </w:r>
                </w:p>
              </w:tc>
              <w:tc>
                <w:tcPr>
                  <w:tcW w:w="1101" w:type="pct"/>
                  <w:noWrap w:val="0"/>
                  <w:vAlign w:val="center"/>
                </w:tcPr>
                <w:p>
                  <w:pPr>
                    <w:pStyle w:val="180"/>
                    <w:spacing w:line="320" w:lineRule="exact"/>
                    <w:rPr>
                      <w:sz w:val="20"/>
                      <w:szCs w:val="20"/>
                      <w:highlight w:val="none"/>
                    </w:rPr>
                  </w:pPr>
                  <w:r>
                    <w:rPr>
                      <w:sz w:val="20"/>
                      <w:szCs w:val="20"/>
                      <w:highlight w:val="none"/>
                    </w:rPr>
                    <w:t>监控点</w:t>
                  </w:r>
                </w:p>
              </w:tc>
              <w:tc>
                <w:tcPr>
                  <w:tcW w:w="1028" w:type="pct"/>
                  <w:vMerge w:val="continue"/>
                  <w:noWrap w:val="0"/>
                  <w:vAlign w:val="center"/>
                </w:tcPr>
                <w:p>
                  <w:pPr>
                    <w:autoSpaceDE w:val="0"/>
                    <w:autoSpaceDN w:val="0"/>
                    <w:adjustRightInd w:val="0"/>
                    <w:jc w:val="left"/>
                    <w:rPr>
                      <w:sz w:val="20"/>
                      <w:szCs w:val="20"/>
                      <w:highlight w:val="none"/>
                    </w:rPr>
                  </w:pPr>
                </w:p>
              </w:tc>
            </w:tr>
          </w:tbl>
          <w:p>
            <w:pPr>
              <w:autoSpaceDE w:val="0"/>
              <w:autoSpaceDN w:val="0"/>
              <w:adjustRightInd w:val="0"/>
              <w:snapToGrid w:val="0"/>
              <w:spacing w:line="380" w:lineRule="exact"/>
              <w:ind w:firstLine="420" w:firstLineChars="200"/>
              <w:rPr>
                <w:rFonts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③应急监测</w:t>
            </w:r>
          </w:p>
          <w:p>
            <w:pPr>
              <w:autoSpaceDE w:val="0"/>
              <w:autoSpaceDN w:val="0"/>
              <w:adjustRightInd w:val="0"/>
              <w:snapToGrid w:val="0"/>
              <w:spacing w:line="380" w:lineRule="exact"/>
              <w:ind w:firstLine="420" w:firstLineChars="200"/>
              <w:rPr>
                <w:rFonts w:hint="eastAsia" w:ascii="Times New Roman" w:hAnsi="Times New Roman" w:eastAsia="宋体" w:cs="Times New Roman"/>
                <w:color w:val="auto"/>
                <w:kern w:val="0"/>
                <w:szCs w:val="21"/>
                <w:lang w:eastAsia="zh-CN"/>
              </w:rPr>
            </w:pPr>
            <w:r>
              <w:rPr>
                <w:rFonts w:ascii="Times New Roman" w:hAnsi="Times New Roman" w:eastAsia="宋体" w:cs="Times New Roman"/>
                <w:color w:val="auto"/>
                <w:kern w:val="0"/>
                <w:szCs w:val="21"/>
              </w:rPr>
              <w:t>监测因子：</w:t>
            </w:r>
            <w:r>
              <w:rPr>
                <w:rFonts w:hint="eastAsia" w:ascii="Times New Roman" w:hAnsi="Times New Roman" w:eastAsia="宋体" w:cs="Times New Roman"/>
                <w:color w:val="auto"/>
                <w:kern w:val="0"/>
                <w:szCs w:val="21"/>
              </w:rPr>
              <w:t>颗粒物</w:t>
            </w:r>
            <w:r>
              <w:rPr>
                <w:rFonts w:hint="eastAsia" w:ascii="Times New Roman" w:hAnsi="Times New Roman" w:eastAsia="宋体" w:cs="Times New Roman"/>
                <w:color w:val="auto"/>
                <w:kern w:val="0"/>
                <w:szCs w:val="21"/>
                <w:lang w:eastAsia="zh-CN"/>
              </w:rPr>
              <w:t>、</w:t>
            </w:r>
            <w:r>
              <w:rPr>
                <w:rFonts w:hint="eastAsia" w:ascii="Times New Roman" w:hAnsi="Times New Roman" w:eastAsia="宋体" w:cs="Times New Roman"/>
                <w:color w:val="auto"/>
                <w:kern w:val="0"/>
                <w:szCs w:val="21"/>
                <w:lang w:val="en-US" w:eastAsia="zh-CN"/>
              </w:rPr>
              <w:t>非甲烷总烃</w:t>
            </w:r>
            <w:r>
              <w:rPr>
                <w:rFonts w:hint="eastAsia" w:ascii="Times New Roman" w:hAnsi="Times New Roman" w:eastAsia="宋体" w:cs="Times New Roman"/>
                <w:color w:val="auto"/>
                <w:kern w:val="0"/>
                <w:sz w:val="21"/>
                <w:szCs w:val="21"/>
                <w:lang w:val="en-US" w:eastAsia="zh-CN"/>
              </w:rPr>
              <w:t>、</w:t>
            </w:r>
            <w:r>
              <w:rPr>
                <w:rFonts w:hint="eastAsia"/>
                <w:kern w:val="0"/>
                <w:sz w:val="21"/>
                <w:szCs w:val="21"/>
                <w:highlight w:val="none"/>
                <w:lang w:val="en-US" w:eastAsia="zh-CN"/>
              </w:rPr>
              <w:t>SO</w:t>
            </w:r>
            <w:r>
              <w:rPr>
                <w:rFonts w:hint="eastAsia"/>
                <w:kern w:val="0"/>
                <w:sz w:val="21"/>
                <w:szCs w:val="21"/>
                <w:highlight w:val="none"/>
                <w:vertAlign w:val="subscript"/>
                <w:lang w:val="en-US" w:eastAsia="zh-CN"/>
              </w:rPr>
              <w:t>2</w:t>
            </w:r>
            <w:r>
              <w:rPr>
                <w:rFonts w:hint="eastAsia"/>
                <w:kern w:val="0"/>
                <w:sz w:val="21"/>
                <w:szCs w:val="21"/>
                <w:highlight w:val="none"/>
                <w:lang w:val="en-US" w:eastAsia="zh-CN"/>
              </w:rPr>
              <w:t>、NO</w:t>
            </w:r>
            <w:r>
              <w:rPr>
                <w:rFonts w:hint="eastAsia"/>
                <w:kern w:val="0"/>
                <w:sz w:val="21"/>
                <w:szCs w:val="21"/>
                <w:highlight w:val="none"/>
                <w:vertAlign w:val="subscript"/>
                <w:lang w:val="en-US" w:eastAsia="zh-CN"/>
              </w:rPr>
              <w:t>x</w:t>
            </w:r>
            <w:r>
              <w:rPr>
                <w:rFonts w:hint="eastAsia"/>
                <w:kern w:val="0"/>
                <w:sz w:val="21"/>
                <w:szCs w:val="21"/>
                <w:highlight w:val="none"/>
                <w:lang w:val="en-US" w:eastAsia="zh-CN"/>
              </w:rPr>
              <w:t>、汞及其化合物</w:t>
            </w:r>
            <w:r>
              <w:rPr>
                <w:rFonts w:hint="eastAsia" w:ascii="Times New Roman" w:hAnsi="Times New Roman" w:eastAsia="宋体" w:cs="Times New Roman"/>
                <w:color w:val="auto"/>
                <w:kern w:val="0"/>
                <w:sz w:val="21"/>
                <w:szCs w:val="21"/>
                <w:lang w:eastAsia="zh-CN"/>
              </w:rPr>
              <w:t>。</w:t>
            </w:r>
          </w:p>
          <w:p>
            <w:pPr>
              <w:autoSpaceDE w:val="0"/>
              <w:autoSpaceDN w:val="0"/>
              <w:adjustRightInd w:val="0"/>
              <w:snapToGrid w:val="0"/>
              <w:spacing w:line="380" w:lineRule="exact"/>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监测时间和频次：按照事故持续时间决定监测时间，根据事故严重性决定监测频次。</w:t>
            </w:r>
          </w:p>
          <w:p>
            <w:pPr>
              <w:autoSpaceDE w:val="0"/>
              <w:autoSpaceDN w:val="0"/>
              <w:adjustRightInd w:val="0"/>
              <w:snapToGrid w:val="0"/>
              <w:spacing w:line="380" w:lineRule="exact"/>
              <w:ind w:firstLine="420" w:firstLineChars="200"/>
              <w:rPr>
                <w:rFonts w:ascii="Times New Roman" w:hAnsi="Times New Roman" w:eastAsia="宋体" w:cs="Times New Roman"/>
                <w:color w:val="auto"/>
                <w:kern w:val="0"/>
                <w:szCs w:val="21"/>
              </w:rPr>
            </w:pPr>
            <w:r>
              <w:rPr>
                <w:rFonts w:ascii="Times New Roman" w:hAnsi="Times New Roman" w:eastAsia="宋体" w:cs="Times New Roman"/>
                <w:color w:val="auto"/>
                <w:kern w:val="0"/>
                <w:szCs w:val="21"/>
              </w:rPr>
              <w:t>一般情况下每小时取样一次。随事故控制减弱，适当减少监测频次。</w:t>
            </w:r>
          </w:p>
          <w:p>
            <w:pPr>
              <w:autoSpaceDE w:val="0"/>
              <w:autoSpaceDN w:val="0"/>
              <w:adjustRightInd w:val="0"/>
              <w:snapToGrid w:val="0"/>
              <w:spacing w:line="380" w:lineRule="exact"/>
              <w:ind w:firstLine="420" w:firstLineChars="200"/>
              <w:rPr>
                <w:b/>
                <w:bCs/>
                <w:color w:val="auto"/>
                <w:kern w:val="0"/>
                <w:szCs w:val="21"/>
              </w:rPr>
            </w:pPr>
            <w:r>
              <w:rPr>
                <w:rFonts w:ascii="Times New Roman" w:hAnsi="Times New Roman" w:eastAsia="宋体" w:cs="Times New Roman"/>
                <w:color w:val="auto"/>
                <w:kern w:val="0"/>
                <w:szCs w:val="21"/>
              </w:rPr>
              <w:t>监测布点：事故地点上风向、下风向布点</w:t>
            </w:r>
            <w:r>
              <w:rPr>
                <w:rFonts w:hint="eastAsia" w:ascii="Times New Roman" w:hAnsi="Times New Roman" w:eastAsia="宋体" w:cs="Times New Roman"/>
                <w:color w:val="auto"/>
                <w:kern w:val="0"/>
                <w:szCs w:val="21"/>
                <w:lang w:eastAsia="zh-CN"/>
              </w:rPr>
              <w:t>。</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w:t>
            </w:r>
            <w:r>
              <w:rPr>
                <w:rFonts w:hint="eastAsia"/>
                <w:b/>
                <w:bCs/>
                <w:color w:val="auto"/>
                <w:kern w:val="0"/>
                <w:szCs w:val="21"/>
                <w:lang w:val="en-US" w:eastAsia="zh-CN"/>
              </w:rPr>
              <w:t>6</w:t>
            </w:r>
            <w:r>
              <w:rPr>
                <w:b/>
                <w:bCs/>
                <w:color w:val="auto"/>
                <w:kern w:val="0"/>
                <w:szCs w:val="21"/>
              </w:rPr>
              <w:t>）大气环境影响评价结论</w:t>
            </w:r>
          </w:p>
          <w:p>
            <w:pPr>
              <w:pStyle w:val="3718"/>
              <w:spacing w:line="380" w:lineRule="exact"/>
              <w:ind w:left="0" w:right="0" w:firstLine="420" w:firstLineChars="20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rPr>
              <w:t>本项目位于江苏省</w:t>
            </w:r>
            <w:r>
              <w:rPr>
                <w:rFonts w:hint="eastAsia" w:ascii="Times New Roman" w:hAnsi="Times New Roman" w:eastAsia="宋体" w:cs="Times New Roman"/>
                <w:color w:val="auto"/>
                <w:kern w:val="2"/>
                <w:sz w:val="21"/>
                <w:szCs w:val="21"/>
                <w:lang w:val="en-US" w:eastAsia="zh-CN"/>
              </w:rPr>
              <w:t>南通市如皋市九华镇马桥村18组，</w:t>
            </w:r>
            <w:r>
              <w:rPr>
                <w:rFonts w:hint="eastAsia" w:ascii="Times New Roman" w:hAnsi="Times New Roman" w:eastAsia="宋体" w:cs="Times New Roman"/>
                <w:color w:val="auto"/>
                <w:kern w:val="2"/>
                <w:sz w:val="21"/>
                <w:szCs w:val="21"/>
              </w:rPr>
              <w:t>项目所在区域属于环境空气质量</w:t>
            </w:r>
            <w:r>
              <w:rPr>
                <w:rFonts w:hint="eastAsia" w:ascii="Times New Roman" w:hAnsi="Times New Roman" w:eastAsia="宋体" w:cs="Times New Roman"/>
                <w:color w:val="auto"/>
                <w:kern w:val="2"/>
                <w:sz w:val="21"/>
                <w:szCs w:val="21"/>
                <w:lang w:val="en-US" w:eastAsia="zh-CN"/>
              </w:rPr>
              <w:t>不</w:t>
            </w:r>
            <w:r>
              <w:rPr>
                <w:rFonts w:hint="eastAsia" w:ascii="Times New Roman" w:hAnsi="Times New Roman" w:eastAsia="宋体" w:cs="Times New Roman"/>
                <w:color w:val="auto"/>
                <w:kern w:val="2"/>
                <w:sz w:val="21"/>
                <w:szCs w:val="21"/>
              </w:rPr>
              <w:t>达标区</w:t>
            </w:r>
            <w:r>
              <w:rPr>
                <w:rFonts w:hint="eastAsia" w:ascii="Times New Roman" w:hAnsi="Times New Roman" w:eastAsia="宋体" w:cs="Times New Roman"/>
                <w:color w:val="auto"/>
                <w:kern w:val="2"/>
                <w:sz w:val="21"/>
                <w:szCs w:val="21"/>
                <w:lang w:eastAsia="zh-CN"/>
              </w:rPr>
              <w:t>。</w:t>
            </w:r>
          </w:p>
          <w:p>
            <w:pPr>
              <w:pStyle w:val="3718"/>
              <w:spacing w:line="380" w:lineRule="exact"/>
              <w:ind w:left="0" w:right="0" w:firstLine="420" w:firstLineChars="200"/>
              <w:jc w:val="both"/>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项目</w:t>
            </w:r>
            <w:r>
              <w:rPr>
                <w:rFonts w:hint="eastAsia" w:ascii="Times New Roman" w:hAnsi="Times New Roman" w:eastAsia="宋体" w:cs="Times New Roman"/>
                <w:color w:val="auto"/>
                <w:kern w:val="2"/>
                <w:sz w:val="21"/>
                <w:szCs w:val="21"/>
                <w:lang w:val="en-US" w:eastAsia="zh-CN"/>
              </w:rPr>
              <w:t>周边500m范围内有大气敏感目标</w:t>
            </w:r>
            <w:r>
              <w:rPr>
                <w:rFonts w:hint="eastAsia" w:ascii="Times New Roman" w:hAnsi="Times New Roman" w:eastAsia="宋体" w:cs="Times New Roman"/>
                <w:color w:val="auto"/>
                <w:kern w:val="2"/>
                <w:sz w:val="21"/>
                <w:szCs w:val="21"/>
              </w:rPr>
              <w:t>。</w:t>
            </w:r>
          </w:p>
          <w:p>
            <w:pPr>
              <w:pStyle w:val="3718"/>
              <w:spacing w:line="380" w:lineRule="exact"/>
              <w:ind w:left="0" w:right="0" w:firstLine="420" w:firstLineChars="20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rPr>
              <w:t>本项目</w:t>
            </w:r>
            <w:r>
              <w:rPr>
                <w:rFonts w:hint="eastAsia" w:ascii="Times New Roman" w:hAnsi="Times New Roman" w:eastAsia="宋体" w:cs="Times New Roman"/>
                <w:color w:val="auto"/>
                <w:kern w:val="2"/>
                <w:sz w:val="21"/>
                <w:szCs w:val="21"/>
                <w:lang w:val="en-US" w:eastAsia="zh-CN"/>
              </w:rPr>
              <w:t>DA001排气筒颗粒物排放量为</w:t>
            </w:r>
            <w:r>
              <w:rPr>
                <w:rFonts w:hint="eastAsia" w:ascii="Times New Roman" w:hAnsi="Times New Roman" w:cs="Times New Roman"/>
                <w:color w:val="auto"/>
                <w:kern w:val="2"/>
                <w:sz w:val="21"/>
                <w:szCs w:val="21"/>
                <w:lang w:val="en-US" w:eastAsia="zh-CN"/>
              </w:rPr>
              <w:t>0.123</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0.0165</w:t>
            </w:r>
            <w:r>
              <w:rPr>
                <w:rFonts w:hint="eastAsia" w:ascii="Times New Roman" w:hAnsi="Times New Roman" w:eastAsia="宋体" w:cs="Times New Roman"/>
                <w:color w:val="auto"/>
                <w:kern w:val="2"/>
                <w:sz w:val="21"/>
                <w:szCs w:val="21"/>
                <w:lang w:val="en-US" w:eastAsia="zh-CN"/>
              </w:rPr>
              <w:t>kg/h，非甲烷总烃</w:t>
            </w:r>
            <w:r>
              <w:rPr>
                <w:rFonts w:hint="eastAsia" w:ascii="Times New Roman" w:hAnsi="Times New Roman" w:eastAsia="宋体" w:cs="Times New Roman"/>
                <w:color w:val="auto"/>
                <w:kern w:val="2"/>
                <w:sz w:val="21"/>
                <w:szCs w:val="21"/>
              </w:rPr>
              <w:t>排放量为</w:t>
            </w:r>
            <w:r>
              <w:rPr>
                <w:rFonts w:hint="eastAsia" w:ascii="Times New Roman" w:hAnsi="Times New Roman" w:cs="Times New Roman"/>
                <w:color w:val="auto"/>
                <w:kern w:val="2"/>
                <w:sz w:val="21"/>
                <w:szCs w:val="21"/>
                <w:lang w:val="en-US" w:eastAsia="zh-CN"/>
              </w:rPr>
              <w:t>0.308</w:t>
            </w:r>
            <w:r>
              <w:rPr>
                <w:rFonts w:hint="eastAsia" w:ascii="Times New Roman" w:hAnsi="Times New Roman" w:eastAsia="宋体" w:cs="Times New Roman"/>
                <w:color w:val="auto"/>
                <w:kern w:val="2"/>
                <w:sz w:val="21"/>
                <w:szCs w:val="21"/>
                <w:lang w:val="en-US" w:eastAsia="zh-CN"/>
              </w:rPr>
              <w:t>t/a</w:t>
            </w:r>
            <w:r>
              <w:rPr>
                <w:rFonts w:hint="eastAsia" w:ascii="Times New Roman" w:hAnsi="Times New Roman" w:eastAsia="宋体" w:cs="Times New Roman"/>
                <w:color w:val="auto"/>
                <w:kern w:val="2"/>
                <w:sz w:val="21"/>
                <w:szCs w:val="21"/>
              </w:rPr>
              <w:t>，排放速率为</w:t>
            </w:r>
            <w:r>
              <w:rPr>
                <w:rFonts w:hint="eastAsia" w:ascii="Times New Roman" w:hAnsi="Times New Roman" w:cs="Times New Roman"/>
                <w:color w:val="auto"/>
                <w:kern w:val="2"/>
                <w:sz w:val="21"/>
                <w:szCs w:val="21"/>
                <w:lang w:val="en-US" w:eastAsia="zh-CN"/>
              </w:rPr>
              <w:t>0.043</w:t>
            </w:r>
            <w:r>
              <w:rPr>
                <w:rFonts w:hint="eastAsia" w:ascii="Times New Roman" w:hAnsi="Times New Roman" w:eastAsia="宋体" w:cs="Times New Roman"/>
                <w:color w:val="auto"/>
                <w:kern w:val="2"/>
                <w:sz w:val="21"/>
                <w:szCs w:val="21"/>
              </w:rPr>
              <w:t>kg/h</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rPr>
              <w:t>本项目</w:t>
            </w:r>
            <w:r>
              <w:rPr>
                <w:rFonts w:hint="eastAsia" w:ascii="Times New Roman" w:hAnsi="Times New Roman" w:eastAsia="宋体" w:cs="Times New Roman"/>
                <w:color w:val="auto"/>
                <w:kern w:val="2"/>
                <w:sz w:val="21"/>
                <w:szCs w:val="21"/>
                <w:lang w:val="en-US" w:eastAsia="zh-CN"/>
              </w:rPr>
              <w:t>DA002排气筒颗粒物排放量为</w:t>
            </w:r>
            <w:r>
              <w:rPr>
                <w:rFonts w:hint="eastAsia" w:ascii="Times New Roman" w:hAnsi="Times New Roman" w:cs="Times New Roman"/>
                <w:color w:val="auto"/>
                <w:kern w:val="2"/>
                <w:sz w:val="21"/>
                <w:szCs w:val="21"/>
                <w:lang w:val="en-US" w:eastAsia="zh-CN"/>
              </w:rPr>
              <w:t>0.0007</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0.001</w:t>
            </w:r>
            <w:r>
              <w:rPr>
                <w:rFonts w:hint="eastAsia" w:ascii="Times New Roman" w:hAnsi="Times New Roman" w:eastAsia="宋体" w:cs="Times New Roman"/>
                <w:color w:val="auto"/>
                <w:kern w:val="2"/>
                <w:sz w:val="21"/>
                <w:szCs w:val="21"/>
                <w:lang w:val="en-US" w:eastAsia="zh-CN"/>
              </w:rPr>
              <w:t>kg/h，SO2排放量为</w:t>
            </w:r>
            <w:r>
              <w:rPr>
                <w:rFonts w:hint="eastAsia" w:ascii="Times New Roman" w:hAnsi="Times New Roman" w:cs="Times New Roman"/>
                <w:color w:val="auto"/>
                <w:kern w:val="2"/>
                <w:sz w:val="21"/>
                <w:szCs w:val="21"/>
                <w:lang w:val="en-US" w:eastAsia="zh-CN"/>
              </w:rPr>
              <w:t>0.714</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0.099</w:t>
            </w:r>
            <w:r>
              <w:rPr>
                <w:rFonts w:hint="eastAsia" w:ascii="Times New Roman" w:hAnsi="Times New Roman" w:eastAsia="宋体" w:cs="Times New Roman"/>
                <w:color w:val="auto"/>
                <w:kern w:val="2"/>
                <w:sz w:val="21"/>
                <w:szCs w:val="21"/>
                <w:lang w:val="en-US" w:eastAsia="zh-CN"/>
              </w:rPr>
              <w:t>g/h，NOx排放量为</w:t>
            </w:r>
            <w:r>
              <w:rPr>
                <w:rFonts w:hint="eastAsia" w:ascii="Times New Roman" w:hAnsi="Times New Roman" w:cs="Times New Roman"/>
                <w:color w:val="auto"/>
                <w:kern w:val="2"/>
                <w:sz w:val="21"/>
                <w:szCs w:val="21"/>
                <w:lang w:val="en-US" w:eastAsia="zh-CN"/>
              </w:rPr>
              <w:t>0.994</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0.138</w:t>
            </w:r>
            <w:r>
              <w:rPr>
                <w:rFonts w:hint="eastAsia" w:ascii="Times New Roman" w:hAnsi="Times New Roman" w:eastAsia="宋体" w:cs="Times New Roman"/>
                <w:color w:val="auto"/>
                <w:kern w:val="2"/>
                <w:sz w:val="21"/>
                <w:szCs w:val="21"/>
                <w:lang w:val="en-US" w:eastAsia="zh-CN"/>
              </w:rPr>
              <w:t>kg/h，</w:t>
            </w:r>
            <w:r>
              <w:rPr>
                <w:rFonts w:hint="eastAsia" w:ascii="Times New Roman" w:hAnsi="Times New Roman" w:eastAsia="宋体" w:cs="Times New Roman"/>
                <w:color w:val="auto"/>
                <w:kern w:val="2"/>
                <w:sz w:val="21"/>
                <w:szCs w:val="21"/>
                <w:highlight w:val="none"/>
                <w:lang w:val="en-US" w:eastAsia="zh-CN"/>
              </w:rPr>
              <w:t>汞及其化合物排放量为</w:t>
            </w:r>
            <w:r>
              <w:rPr>
                <w:rFonts w:hint="eastAsia" w:ascii="Times New Roman" w:hAnsi="Times New Roman" w:cs="Times New Roman"/>
                <w:color w:val="auto"/>
                <w:kern w:val="2"/>
                <w:sz w:val="21"/>
                <w:szCs w:val="21"/>
                <w:highlight w:val="none"/>
                <w:lang w:val="en-US" w:eastAsia="zh-CN"/>
              </w:rPr>
              <w:t>0.806kg</w:t>
            </w:r>
            <w:r>
              <w:rPr>
                <w:rFonts w:hint="eastAsia" w:ascii="Times New Roman" w:hAnsi="Times New Roman" w:eastAsia="宋体" w:cs="Times New Roman"/>
                <w:color w:val="auto"/>
                <w:kern w:val="2"/>
                <w:sz w:val="21"/>
                <w:szCs w:val="21"/>
                <w:highlight w:val="none"/>
                <w:lang w:val="en-US" w:eastAsia="zh-CN"/>
              </w:rPr>
              <w:t>/a，排放速率为</w:t>
            </w:r>
            <w:r>
              <w:rPr>
                <w:rFonts w:hint="eastAsia" w:ascii="Times New Roman" w:hAnsi="Times New Roman" w:cs="Times New Roman"/>
                <w:color w:val="auto"/>
                <w:kern w:val="2"/>
                <w:sz w:val="21"/>
                <w:szCs w:val="21"/>
                <w:highlight w:val="none"/>
                <w:lang w:val="en-US" w:eastAsia="zh-CN"/>
              </w:rPr>
              <w:t>0.00011</w:t>
            </w:r>
            <w:r>
              <w:rPr>
                <w:rFonts w:hint="eastAsia" w:ascii="Times New Roman" w:hAnsi="Times New Roman" w:eastAsia="宋体" w:cs="Times New Roman"/>
                <w:color w:val="auto"/>
                <w:kern w:val="2"/>
                <w:sz w:val="21"/>
                <w:szCs w:val="21"/>
                <w:highlight w:val="none"/>
                <w:lang w:val="en-US" w:eastAsia="zh-CN"/>
              </w:rPr>
              <w:t>kg/h</w:t>
            </w:r>
            <w:r>
              <w:rPr>
                <w:rFonts w:hint="eastAsia" w:ascii="Times New Roman" w:hAnsi="Times New Roman" w:cs="Times New Roman"/>
                <w:color w:val="auto"/>
                <w:kern w:val="2"/>
                <w:sz w:val="21"/>
                <w:szCs w:val="21"/>
                <w:highlight w:val="none"/>
                <w:lang w:val="en-US" w:eastAsia="zh-CN"/>
              </w:rPr>
              <w:t>；</w:t>
            </w:r>
            <w:r>
              <w:rPr>
                <w:rFonts w:hint="eastAsia" w:ascii="Times New Roman" w:hAnsi="Times New Roman" w:eastAsia="宋体" w:cs="Times New Roman"/>
                <w:color w:val="auto"/>
                <w:kern w:val="2"/>
                <w:sz w:val="21"/>
                <w:szCs w:val="21"/>
              </w:rPr>
              <w:t>本项目</w:t>
            </w:r>
            <w:r>
              <w:rPr>
                <w:rFonts w:hint="eastAsia" w:ascii="Times New Roman" w:hAnsi="Times New Roman" w:eastAsia="宋体" w:cs="Times New Roman"/>
                <w:color w:val="auto"/>
                <w:kern w:val="2"/>
                <w:sz w:val="21"/>
                <w:szCs w:val="21"/>
                <w:lang w:val="en-US" w:eastAsia="zh-CN"/>
              </w:rPr>
              <w:t>DA003排气筒颗粒物排放量为</w:t>
            </w:r>
            <w:r>
              <w:rPr>
                <w:rFonts w:hint="eastAsia" w:ascii="Times New Roman" w:hAnsi="Times New Roman" w:cs="Times New Roman"/>
                <w:color w:val="auto"/>
                <w:kern w:val="2"/>
                <w:sz w:val="21"/>
                <w:szCs w:val="21"/>
                <w:lang w:val="en-US" w:eastAsia="zh-CN"/>
              </w:rPr>
              <w:t>0.0007</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0.001</w:t>
            </w:r>
            <w:r>
              <w:rPr>
                <w:rFonts w:hint="eastAsia" w:ascii="Times New Roman" w:hAnsi="Times New Roman" w:eastAsia="宋体" w:cs="Times New Roman"/>
                <w:color w:val="auto"/>
                <w:kern w:val="2"/>
                <w:sz w:val="21"/>
                <w:szCs w:val="21"/>
                <w:lang w:val="en-US" w:eastAsia="zh-CN"/>
              </w:rPr>
              <w:t>kg/h，SO2排放量为</w:t>
            </w:r>
            <w:r>
              <w:rPr>
                <w:rFonts w:hint="eastAsia" w:ascii="Times New Roman" w:hAnsi="Times New Roman" w:cs="Times New Roman"/>
                <w:color w:val="auto"/>
                <w:kern w:val="2"/>
                <w:sz w:val="21"/>
                <w:szCs w:val="21"/>
                <w:lang w:val="en-US" w:eastAsia="zh-CN"/>
              </w:rPr>
              <w:t>0.714</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0.099</w:t>
            </w:r>
            <w:r>
              <w:rPr>
                <w:rFonts w:hint="eastAsia" w:ascii="Times New Roman" w:hAnsi="Times New Roman" w:eastAsia="宋体" w:cs="Times New Roman"/>
                <w:color w:val="auto"/>
                <w:kern w:val="2"/>
                <w:sz w:val="21"/>
                <w:szCs w:val="21"/>
                <w:lang w:val="en-US" w:eastAsia="zh-CN"/>
              </w:rPr>
              <w:t>g/h，NOx排放量为</w:t>
            </w:r>
            <w:r>
              <w:rPr>
                <w:rFonts w:hint="eastAsia" w:ascii="Times New Roman" w:hAnsi="Times New Roman" w:cs="Times New Roman"/>
                <w:color w:val="auto"/>
                <w:kern w:val="2"/>
                <w:sz w:val="21"/>
                <w:szCs w:val="21"/>
                <w:lang w:val="en-US" w:eastAsia="zh-CN"/>
              </w:rPr>
              <w:t>0.994</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0.138</w:t>
            </w:r>
            <w:r>
              <w:rPr>
                <w:rFonts w:hint="eastAsia" w:ascii="Times New Roman" w:hAnsi="Times New Roman" w:eastAsia="宋体" w:cs="Times New Roman"/>
                <w:color w:val="auto"/>
                <w:kern w:val="2"/>
                <w:sz w:val="21"/>
                <w:szCs w:val="21"/>
                <w:lang w:val="en-US" w:eastAsia="zh-CN"/>
              </w:rPr>
              <w:t>kg/h，</w:t>
            </w:r>
            <w:r>
              <w:rPr>
                <w:rFonts w:hint="eastAsia" w:ascii="Times New Roman" w:hAnsi="Times New Roman" w:eastAsia="宋体" w:cs="Times New Roman"/>
                <w:color w:val="auto"/>
                <w:kern w:val="2"/>
                <w:sz w:val="21"/>
                <w:szCs w:val="21"/>
                <w:highlight w:val="none"/>
                <w:lang w:val="en-US" w:eastAsia="zh-CN"/>
              </w:rPr>
              <w:t>汞及其化合物排放量为</w:t>
            </w:r>
            <w:r>
              <w:rPr>
                <w:rFonts w:hint="eastAsia" w:ascii="Times New Roman" w:hAnsi="Times New Roman" w:cs="Times New Roman"/>
                <w:color w:val="auto"/>
                <w:kern w:val="2"/>
                <w:sz w:val="21"/>
                <w:szCs w:val="21"/>
                <w:highlight w:val="none"/>
                <w:lang w:val="en-US" w:eastAsia="zh-CN"/>
              </w:rPr>
              <w:t>0.806kg</w:t>
            </w:r>
            <w:r>
              <w:rPr>
                <w:rFonts w:hint="eastAsia" w:ascii="Times New Roman" w:hAnsi="Times New Roman" w:eastAsia="宋体" w:cs="Times New Roman"/>
                <w:color w:val="auto"/>
                <w:kern w:val="2"/>
                <w:sz w:val="21"/>
                <w:szCs w:val="21"/>
                <w:highlight w:val="none"/>
                <w:lang w:val="en-US" w:eastAsia="zh-CN"/>
              </w:rPr>
              <w:t>/a，排放速率为</w:t>
            </w:r>
            <w:r>
              <w:rPr>
                <w:rFonts w:hint="eastAsia" w:ascii="Times New Roman" w:hAnsi="Times New Roman" w:cs="Times New Roman"/>
                <w:color w:val="auto"/>
                <w:kern w:val="2"/>
                <w:sz w:val="21"/>
                <w:szCs w:val="21"/>
                <w:highlight w:val="none"/>
                <w:lang w:val="en-US" w:eastAsia="zh-CN"/>
              </w:rPr>
              <w:t>0.00011</w:t>
            </w:r>
            <w:r>
              <w:rPr>
                <w:rFonts w:hint="eastAsia" w:ascii="Times New Roman" w:hAnsi="Times New Roman" w:eastAsia="宋体" w:cs="Times New Roman"/>
                <w:color w:val="auto"/>
                <w:kern w:val="2"/>
                <w:sz w:val="21"/>
                <w:szCs w:val="21"/>
                <w:highlight w:val="none"/>
                <w:lang w:val="en-US" w:eastAsia="zh-CN"/>
              </w:rPr>
              <w:t>kg/h。</w:t>
            </w:r>
          </w:p>
          <w:p>
            <w:pPr>
              <w:pStyle w:val="3718"/>
              <w:spacing w:line="380" w:lineRule="exact"/>
              <w:ind w:left="0" w:right="0" w:firstLine="420" w:firstLineChars="20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rPr>
              <w:t>本项目</w:t>
            </w:r>
            <w:r>
              <w:rPr>
                <w:rFonts w:hint="eastAsia" w:ascii="Times New Roman" w:hAnsi="Times New Roman" w:eastAsia="宋体" w:cs="Times New Roman"/>
                <w:color w:val="auto"/>
                <w:kern w:val="2"/>
                <w:sz w:val="21"/>
                <w:szCs w:val="21"/>
                <w:lang w:val="en-US" w:eastAsia="zh-CN"/>
              </w:rPr>
              <w:t>无组织颗粒物排放量为</w:t>
            </w:r>
            <w:r>
              <w:rPr>
                <w:rFonts w:hint="eastAsia" w:ascii="Times New Roman" w:hAnsi="Times New Roman" w:cs="Times New Roman"/>
                <w:color w:val="auto"/>
                <w:kern w:val="2"/>
                <w:sz w:val="21"/>
                <w:szCs w:val="21"/>
                <w:lang w:val="en-US" w:eastAsia="zh-CN"/>
              </w:rPr>
              <w:t>0.0795</w:t>
            </w:r>
            <w:r>
              <w:rPr>
                <w:rFonts w:hint="eastAsia" w:ascii="Times New Roman" w:hAnsi="Times New Roman" w:eastAsia="宋体" w:cs="Times New Roman"/>
                <w:color w:val="auto"/>
                <w:kern w:val="2"/>
                <w:sz w:val="21"/>
                <w:szCs w:val="21"/>
                <w:lang w:val="en-US" w:eastAsia="zh-CN"/>
              </w:rPr>
              <w:t>t/a，排放速率为</w:t>
            </w:r>
            <w:r>
              <w:rPr>
                <w:rFonts w:hint="eastAsia" w:ascii="Times New Roman" w:hAnsi="Times New Roman" w:cs="Times New Roman"/>
                <w:color w:val="auto"/>
                <w:kern w:val="2"/>
                <w:sz w:val="21"/>
                <w:szCs w:val="21"/>
                <w:lang w:val="en-US" w:eastAsia="zh-CN"/>
              </w:rPr>
              <w:t>0.0113</w:t>
            </w:r>
            <w:r>
              <w:rPr>
                <w:rFonts w:hint="eastAsia" w:ascii="Times New Roman" w:hAnsi="Times New Roman" w:eastAsia="宋体" w:cs="Times New Roman"/>
                <w:color w:val="auto"/>
                <w:kern w:val="2"/>
                <w:sz w:val="21"/>
                <w:szCs w:val="21"/>
                <w:lang w:val="en-US" w:eastAsia="zh-CN"/>
              </w:rPr>
              <w:t>kg/h，非甲烷总烃排放量为0.</w:t>
            </w:r>
            <w:r>
              <w:rPr>
                <w:rFonts w:hint="eastAsia" w:ascii="Times New Roman" w:hAnsi="Times New Roman" w:cs="Times New Roman"/>
                <w:color w:val="auto"/>
                <w:kern w:val="2"/>
                <w:sz w:val="21"/>
                <w:szCs w:val="21"/>
                <w:lang w:val="en-US" w:eastAsia="zh-CN"/>
              </w:rPr>
              <w:t>081</w:t>
            </w:r>
            <w:r>
              <w:rPr>
                <w:rFonts w:hint="eastAsia" w:ascii="Times New Roman" w:hAnsi="Times New Roman" w:eastAsia="宋体" w:cs="Times New Roman"/>
                <w:color w:val="auto"/>
                <w:kern w:val="2"/>
                <w:sz w:val="21"/>
                <w:szCs w:val="21"/>
                <w:lang w:val="en-US" w:eastAsia="zh-CN"/>
              </w:rPr>
              <w:t>t/a，排放速率为0.01</w:t>
            </w:r>
            <w:r>
              <w:rPr>
                <w:rFonts w:hint="eastAsia" w:ascii="Times New Roman" w:hAnsi="Times New Roman" w:cs="Times New Roman"/>
                <w:color w:val="auto"/>
                <w:kern w:val="2"/>
                <w:sz w:val="21"/>
                <w:szCs w:val="21"/>
                <w:lang w:val="en-US" w:eastAsia="zh-CN"/>
              </w:rPr>
              <w:t>1</w:t>
            </w:r>
            <w:r>
              <w:rPr>
                <w:rFonts w:hint="eastAsia" w:ascii="Times New Roman" w:hAnsi="Times New Roman" w:eastAsia="宋体" w:cs="Times New Roman"/>
                <w:color w:val="auto"/>
                <w:kern w:val="2"/>
                <w:sz w:val="21"/>
                <w:szCs w:val="21"/>
                <w:lang w:val="en-US" w:eastAsia="zh-CN"/>
              </w:rPr>
              <w:t>kg/h。</w:t>
            </w:r>
          </w:p>
          <w:p>
            <w:pPr>
              <w:pStyle w:val="3718"/>
              <w:spacing w:line="380" w:lineRule="exact"/>
              <w:ind w:left="0" w:right="0" w:firstLine="420" w:firstLineChars="200"/>
              <w:jc w:val="both"/>
              <w:rPr>
                <w:rFonts w:hint="eastAsia" w:ascii="Times New Roman" w:hAnsi="Times New Roman" w:eastAsia="宋体" w:cs="Times New Roman"/>
                <w:color w:val="auto"/>
                <w:kern w:val="2"/>
                <w:sz w:val="21"/>
                <w:szCs w:val="21"/>
                <w:lang w:eastAsia="zh-CN"/>
              </w:rPr>
            </w:pPr>
            <w:r>
              <w:rPr>
                <w:rFonts w:hint="eastAsia" w:ascii="Times New Roman" w:hAnsi="Times New Roman" w:eastAsia="宋体" w:cs="Times New Roman"/>
                <w:color w:val="auto"/>
                <w:kern w:val="2"/>
                <w:sz w:val="21"/>
                <w:szCs w:val="21"/>
              </w:rPr>
              <w:t>本项目</w:t>
            </w:r>
            <w:r>
              <w:rPr>
                <w:rFonts w:hint="eastAsia" w:ascii="Times New Roman" w:hAnsi="Times New Roman" w:eastAsia="宋体" w:cs="Times New Roman"/>
                <w:color w:val="auto"/>
                <w:kern w:val="2"/>
                <w:sz w:val="21"/>
                <w:szCs w:val="21"/>
                <w:lang w:val="en-US" w:eastAsia="zh-CN"/>
              </w:rPr>
              <w:t>拉毛、定型、刷呢、剪毛、烫光、摇粒、蒸呢</w:t>
            </w:r>
            <w:r>
              <w:rPr>
                <w:rFonts w:hint="eastAsia" w:ascii="Times New Roman" w:hAnsi="Times New Roman" w:eastAsia="宋体" w:cs="Times New Roman"/>
                <w:color w:val="auto"/>
                <w:kern w:val="2"/>
                <w:sz w:val="21"/>
                <w:szCs w:val="21"/>
              </w:rPr>
              <w:t>排放的</w:t>
            </w:r>
            <w:r>
              <w:rPr>
                <w:rFonts w:hint="eastAsia" w:ascii="Times New Roman" w:hAnsi="Times New Roman" w:eastAsia="宋体" w:cs="Times New Roman"/>
                <w:color w:val="auto"/>
                <w:kern w:val="2"/>
                <w:sz w:val="21"/>
                <w:szCs w:val="21"/>
                <w:lang w:val="en-US" w:eastAsia="zh-CN"/>
              </w:rPr>
              <w:t>有组织颗粒物和</w:t>
            </w:r>
            <w:r>
              <w:rPr>
                <w:rFonts w:hint="eastAsia" w:ascii="Times New Roman" w:hAnsi="Times New Roman" w:eastAsia="宋体" w:cs="Times New Roman"/>
                <w:color w:val="auto"/>
                <w:kern w:val="2"/>
                <w:sz w:val="21"/>
                <w:szCs w:val="21"/>
              </w:rPr>
              <w:t>非甲烷总烃</w:t>
            </w:r>
            <w:r>
              <w:rPr>
                <w:rFonts w:hint="eastAsia" w:ascii="Times New Roman" w:hAnsi="Times New Roman" w:eastAsia="宋体" w:cs="Times New Roman"/>
                <w:color w:val="auto"/>
                <w:kern w:val="2"/>
                <w:sz w:val="21"/>
                <w:szCs w:val="21"/>
                <w:lang w:val="en-US" w:eastAsia="zh-CN"/>
              </w:rPr>
              <w:t>满足</w:t>
            </w:r>
            <w:r>
              <w:rPr>
                <w:rFonts w:hint="eastAsia" w:ascii="Times New Roman" w:hAnsi="Times New Roman" w:eastAsia="宋体" w:cs="Times New Roman"/>
                <w:color w:val="auto"/>
                <w:kern w:val="2"/>
                <w:sz w:val="21"/>
                <w:szCs w:val="21"/>
              </w:rPr>
              <w:t>《大气污染物综合排放标准》（DB32/4041-2021）表1中排放限值</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rPr>
              <w:t>生物质锅炉排放的颗粒物、二氧化硫、氮氧化物</w:t>
            </w:r>
            <w:r>
              <w:rPr>
                <w:rFonts w:hint="eastAsia" w:ascii="Times New Roman" w:hAnsi="Times New Roman" w:eastAsia="宋体" w:cs="Times New Roman"/>
                <w:color w:val="auto"/>
                <w:kern w:val="2"/>
                <w:sz w:val="21"/>
                <w:szCs w:val="21"/>
                <w:lang w:eastAsia="zh-CN"/>
              </w:rPr>
              <w:t>、</w:t>
            </w:r>
            <w:r>
              <w:rPr>
                <w:rFonts w:hint="eastAsia" w:ascii="Times New Roman" w:hAnsi="Times New Roman" w:eastAsia="宋体" w:cs="Times New Roman"/>
                <w:color w:val="auto"/>
                <w:kern w:val="2"/>
                <w:sz w:val="21"/>
                <w:szCs w:val="21"/>
                <w:lang w:val="en-US" w:eastAsia="zh-CN"/>
              </w:rPr>
              <w:t>汞及其化合物满足</w:t>
            </w:r>
            <w:r>
              <w:rPr>
                <w:rFonts w:hint="eastAsia" w:ascii="Times New Roman" w:hAnsi="Times New Roman" w:eastAsia="宋体" w:cs="Times New Roman"/>
                <w:color w:val="auto"/>
                <w:kern w:val="2"/>
                <w:sz w:val="21"/>
                <w:szCs w:val="21"/>
              </w:rPr>
              <w:t>《锅炉大气污染物排放标准》（DB32/4385-2022）表1中城市建成区燃生物质锅炉排放浓度限值</w:t>
            </w:r>
            <w:r>
              <w:rPr>
                <w:rFonts w:hint="eastAsia" w:ascii="Times New Roman" w:hAnsi="Times New Roman" w:eastAsia="宋体" w:cs="Times New Roman"/>
                <w:color w:val="auto"/>
                <w:kern w:val="2"/>
                <w:sz w:val="21"/>
                <w:szCs w:val="21"/>
                <w:lang w:eastAsia="zh-CN"/>
              </w:rPr>
              <w:t>。</w:t>
            </w:r>
          </w:p>
          <w:p>
            <w:pPr>
              <w:pStyle w:val="3718"/>
              <w:spacing w:line="380" w:lineRule="exact"/>
              <w:ind w:left="0" w:right="0" w:firstLine="420" w:firstLineChars="200"/>
              <w:jc w:val="both"/>
              <w:rPr>
                <w:rFonts w:hint="eastAsia" w:ascii="Times New Roman" w:hAnsi="Times New Roman" w:eastAsia="宋体" w:cs="Times New Roman"/>
                <w:color w:val="auto"/>
                <w:kern w:val="2"/>
                <w:sz w:val="21"/>
                <w:szCs w:val="21"/>
              </w:rPr>
            </w:pPr>
            <w:r>
              <w:rPr>
                <w:rFonts w:hint="eastAsia" w:ascii="Times New Roman" w:hAnsi="Times New Roman" w:eastAsia="宋体" w:cs="Times New Roman"/>
                <w:color w:val="auto"/>
                <w:kern w:val="2"/>
                <w:sz w:val="21"/>
                <w:szCs w:val="21"/>
              </w:rPr>
              <w:t>综上所述，本项目废气污染物达标排放，对周围大气环境影响较小。</w:t>
            </w:r>
          </w:p>
          <w:p>
            <w:pPr>
              <w:pStyle w:val="3718"/>
              <w:spacing w:line="380" w:lineRule="exact"/>
              <w:ind w:left="0" w:right="0" w:firstLine="482" w:firstLineChars="200"/>
              <w:jc w:val="both"/>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2、废水</w:t>
            </w:r>
          </w:p>
          <w:p>
            <w:pPr>
              <w:autoSpaceDE w:val="0"/>
              <w:autoSpaceDN w:val="0"/>
              <w:adjustRightInd w:val="0"/>
              <w:snapToGrid w:val="0"/>
              <w:spacing w:line="380" w:lineRule="exact"/>
              <w:ind w:firstLine="422" w:firstLineChars="200"/>
              <w:jc w:val="left"/>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（1）废水污染源强</w:t>
            </w:r>
          </w:p>
          <w:p>
            <w:pPr>
              <w:pStyle w:val="3718"/>
              <w:snapToGrid w:val="0"/>
              <w:spacing w:line="380" w:lineRule="exact"/>
              <w:ind w:left="0" w:right="0" w:firstLine="420" w:firstLineChars="200"/>
              <w:jc w:val="both"/>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①生活污水</w:t>
            </w:r>
          </w:p>
          <w:p>
            <w:pPr>
              <w:pStyle w:val="3718"/>
              <w:snapToGrid w:val="0"/>
              <w:spacing w:line="380" w:lineRule="exact"/>
              <w:ind w:left="0" w:right="0" w:firstLine="420" w:firstLineChars="200"/>
              <w:jc w:val="both"/>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auto"/>
                <w:kern w:val="2"/>
                <w:sz w:val="21"/>
                <w:szCs w:val="21"/>
                <w:lang w:val="en-US" w:eastAsia="zh-CN"/>
              </w:rPr>
              <w:t>本项目职工50人，年工作300天。根据参照《江苏省工业、建筑业、服务业、生活和农业用水定额(2025 年)》和《建筑给水排水设计标准》(GB50015-2019)，生活用水量按50L/</w:t>
            </w:r>
            <w:r>
              <w:rPr>
                <w:rFonts w:hint="default" w:ascii="Times New Roman" w:hAnsi="Times New Roman" w:eastAsia="宋体" w:cs="Times New Roman"/>
                <w:color w:val="auto"/>
                <w:kern w:val="2"/>
                <w:sz w:val="21"/>
                <w:szCs w:val="21"/>
                <w:lang w:val="en-US" w:eastAsia="zh-CN"/>
              </w:rPr>
              <w:t>(d·人)</w:t>
            </w:r>
            <w:r>
              <w:rPr>
                <w:rFonts w:hint="eastAsia" w:ascii="Times New Roman" w:hAnsi="Times New Roman" w:eastAsia="宋体" w:cs="Times New Roman"/>
                <w:color w:val="auto"/>
                <w:kern w:val="2"/>
                <w:sz w:val="21"/>
                <w:szCs w:val="21"/>
                <w:lang w:val="en-US" w:eastAsia="zh-CN"/>
              </w:rPr>
              <w:t>计，则生活用水量为750t/a，产污系数为0.8，则生活污水量为600m</w:t>
            </w:r>
            <w:r>
              <w:rPr>
                <w:rFonts w:hint="eastAsia" w:ascii="Times New Roman" w:hAnsi="Times New Roman" w:eastAsia="宋体" w:cs="Times New Roman"/>
                <w:color w:val="auto"/>
                <w:kern w:val="2"/>
                <w:sz w:val="21"/>
                <w:szCs w:val="21"/>
                <w:vertAlign w:val="superscript"/>
                <w:lang w:val="en-US" w:eastAsia="zh-CN"/>
              </w:rPr>
              <w:t>3</w:t>
            </w:r>
            <w:r>
              <w:rPr>
                <w:rFonts w:hint="eastAsia" w:ascii="Times New Roman" w:hAnsi="Times New Roman" w:eastAsia="宋体" w:cs="Times New Roman"/>
                <w:color w:val="auto"/>
                <w:kern w:val="2"/>
                <w:sz w:val="21"/>
                <w:szCs w:val="21"/>
                <w:lang w:val="en-US" w:eastAsia="zh-CN"/>
              </w:rPr>
              <w:t>/a，依托华胜化粪池处理后接管如皋市九华镇污水处理厂。</w:t>
            </w:r>
          </w:p>
          <w:p>
            <w:pPr>
              <w:pStyle w:val="3718"/>
              <w:snapToGrid w:val="0"/>
              <w:spacing w:line="380" w:lineRule="exact"/>
              <w:ind w:left="0" w:right="0" w:firstLine="420" w:firstLineChars="200"/>
              <w:jc w:val="both"/>
              <w:rPr>
                <w:rFonts w:hint="eastAsia" w:ascii="Times New Roman" w:hAnsi="Times New Roman" w:eastAsia="宋体" w:cs="Times New Roman"/>
                <w:color w:val="auto"/>
                <w:kern w:val="2"/>
                <w:sz w:val="21"/>
                <w:szCs w:val="21"/>
                <w:lang w:val="en-US" w:eastAsia="zh-CN"/>
              </w:rPr>
            </w:pPr>
            <w:r>
              <w:rPr>
                <w:rFonts w:hint="eastAsia" w:ascii="Times New Roman" w:hAnsi="Times New Roman" w:eastAsia="宋体" w:cs="Times New Roman"/>
                <w:color w:val="FF0000"/>
                <w:kern w:val="2"/>
                <w:sz w:val="21"/>
                <w:szCs w:val="21"/>
                <w:lang w:val="en-US" w:eastAsia="zh-CN"/>
              </w:rPr>
              <w:t>根据《排放源统计调查产排污核算方法和系数手册》中生活源产排污系数手册，COD产生浓度为340mg/L，氨氮产生浓度为32.6mg/L，TP产生浓度为4.27mg/L，总氮产生浓度为44.8mg/L；SS参照《给水排水设计手册》（第5册）城镇排水表4-1典型生活污水水质-中浓度，则SS产生浓度为200mg/L。</w:t>
            </w:r>
          </w:p>
          <w:p>
            <w:pPr>
              <w:pStyle w:val="3718"/>
              <w:snapToGrid w:val="0"/>
              <w:spacing w:line="380" w:lineRule="exact"/>
              <w:ind w:left="0" w:right="0" w:firstLine="420" w:firstLineChars="200"/>
              <w:jc w:val="both"/>
              <w:rPr>
                <w:rFonts w:hint="default" w:ascii="Times New Roman" w:hAnsi="Times New Roman" w:cs="Times New Roman"/>
                <w:color w:val="auto"/>
                <w:sz w:val="21"/>
                <w:szCs w:val="21"/>
                <w:lang w:val="en-US"/>
              </w:rPr>
            </w:pPr>
            <w:r>
              <w:rPr>
                <w:rFonts w:hint="eastAsia" w:ascii="Times New Roman" w:hAnsi="Times New Roman" w:cs="Times New Roman"/>
                <w:color w:val="auto"/>
                <w:kern w:val="2"/>
                <w:sz w:val="21"/>
                <w:szCs w:val="21"/>
              </w:rPr>
              <w:t>②</w:t>
            </w:r>
            <w:r>
              <w:rPr>
                <w:rFonts w:hint="eastAsia" w:ascii="Times New Roman" w:hAnsi="Times New Roman" w:cs="Times New Roman"/>
                <w:color w:val="auto"/>
                <w:kern w:val="2"/>
                <w:sz w:val="21"/>
                <w:szCs w:val="21"/>
                <w:lang w:val="en-US" w:eastAsia="zh-CN"/>
              </w:rPr>
              <w:t>水喷淋废水</w:t>
            </w:r>
          </w:p>
          <w:p>
            <w:pPr>
              <w:pStyle w:val="3718"/>
              <w:snapToGrid w:val="0"/>
              <w:spacing w:line="380" w:lineRule="exact"/>
              <w:ind w:left="0" w:right="0" w:firstLine="420" w:firstLineChars="200"/>
              <w:jc w:val="both"/>
              <w:rPr>
                <w:rFonts w:hint="eastAsia" w:ascii="Times New Roman" w:hAnsi="Times New Roman"/>
                <w:b w:val="0"/>
                <w:bCs w:val="0"/>
                <w:snapToGrid w:val="0"/>
                <w:kern w:val="0"/>
                <w:sz w:val="21"/>
                <w:szCs w:val="21"/>
                <w:lang w:eastAsia="zh-CN"/>
              </w:rPr>
            </w:pPr>
            <w:r>
              <w:rPr>
                <w:rFonts w:hint="eastAsia" w:ascii="Times New Roman" w:hAnsi="Times New Roman" w:eastAsia="宋体" w:cs="Times New Roman"/>
                <w:color w:val="auto"/>
                <w:sz w:val="21"/>
                <w:szCs w:val="21"/>
                <w:lang w:val="en-US" w:eastAsia="zh-CN"/>
              </w:rPr>
              <w:t>本项目拉毛、定型、刷呢、剪毛、烫光、摇粒和蒸呢废气采用“水喷淋+静电净化”处理，定型废气收集风量合计为24000m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/h，气液比为1m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气：2L水，喷淋塔用水循环使用，水喷淋塔日工作时间为24h，则喷淋塔的循环水量为345600t/a，损耗量为循环水量的1%，定期补充损耗，损耗量为3456t/a。喷淋塔内喷淋废水定期排放，</w:t>
            </w:r>
            <w:r>
              <w:rPr>
                <w:rFonts w:hint="eastAsia" w:ascii="Times New Roman" w:hAnsi="Times New Roman" w:eastAsia="宋体"/>
                <w:b w:val="0"/>
                <w:bCs w:val="0"/>
                <w:snapToGrid w:val="0"/>
                <w:kern w:val="0"/>
                <w:sz w:val="21"/>
                <w:szCs w:val="21"/>
              </w:rPr>
              <w:t>水</w:t>
            </w:r>
            <w:r>
              <w:rPr>
                <w:rFonts w:ascii="Times New Roman" w:hAnsi="Times New Roman" w:eastAsia="宋体"/>
                <w:b w:val="0"/>
                <w:bCs w:val="0"/>
                <w:snapToGrid w:val="0"/>
                <w:kern w:val="0"/>
                <w:sz w:val="21"/>
                <w:szCs w:val="21"/>
              </w:rPr>
              <w:t>喷淋塔废水量按</w:t>
            </w:r>
            <w:r>
              <w:rPr>
                <w:rFonts w:hint="eastAsia" w:ascii="Times New Roman" w:hAnsi="Times New Roman"/>
                <w:b w:val="0"/>
                <w:bCs w:val="0"/>
                <w:snapToGrid w:val="0"/>
                <w:kern w:val="0"/>
                <w:sz w:val="21"/>
                <w:szCs w:val="21"/>
                <w:lang w:val="en-US" w:eastAsia="zh-CN"/>
              </w:rPr>
              <w:t>循环量</w:t>
            </w:r>
            <w:r>
              <w:rPr>
                <w:rFonts w:hint="eastAsia" w:ascii="Times New Roman" w:hAnsi="Times New Roman" w:eastAsia="宋体"/>
                <w:b w:val="0"/>
                <w:bCs w:val="0"/>
                <w:snapToGrid w:val="0"/>
                <w:kern w:val="0"/>
                <w:sz w:val="21"/>
                <w:szCs w:val="21"/>
              </w:rPr>
              <w:t>0.5</w:t>
            </w:r>
            <w:r>
              <w:rPr>
                <w:rFonts w:ascii="Times New Roman" w:hAnsi="Times New Roman" w:eastAsia="宋体"/>
                <w:b w:val="0"/>
                <w:bCs w:val="0"/>
                <w:snapToGrid w:val="0"/>
                <w:kern w:val="0"/>
                <w:sz w:val="21"/>
                <w:szCs w:val="21"/>
              </w:rPr>
              <w:t>%计，约为</w:t>
            </w:r>
            <w:r>
              <w:rPr>
                <w:rFonts w:hint="eastAsia" w:ascii="Times New Roman" w:hAnsi="Times New Roman"/>
                <w:b w:val="0"/>
                <w:bCs w:val="0"/>
                <w:snapToGrid w:val="0"/>
                <w:kern w:val="0"/>
                <w:sz w:val="21"/>
                <w:szCs w:val="21"/>
                <w:lang w:val="en-US" w:eastAsia="zh-CN"/>
              </w:rPr>
              <w:t>1728</w:t>
            </w:r>
            <w:r>
              <w:rPr>
                <w:rFonts w:ascii="Times New Roman" w:hAnsi="Times New Roman" w:eastAsia="宋体"/>
                <w:b w:val="0"/>
                <w:bCs w:val="0"/>
                <w:snapToGrid w:val="0"/>
                <w:kern w:val="0"/>
                <w:sz w:val="21"/>
                <w:szCs w:val="21"/>
              </w:rPr>
              <w:t>m</w:t>
            </w:r>
            <w:r>
              <w:rPr>
                <w:rFonts w:ascii="Times New Roman" w:hAnsi="Times New Roman" w:eastAsia="宋体"/>
                <w:b w:val="0"/>
                <w:bCs w:val="0"/>
                <w:snapToGrid w:val="0"/>
                <w:kern w:val="0"/>
                <w:sz w:val="21"/>
                <w:szCs w:val="21"/>
                <w:vertAlign w:val="superscript"/>
              </w:rPr>
              <w:t>3</w:t>
            </w:r>
            <w:r>
              <w:rPr>
                <w:rFonts w:ascii="Times New Roman" w:hAnsi="Times New Roman" w:eastAsia="宋体"/>
                <w:b w:val="0"/>
                <w:bCs w:val="0"/>
                <w:snapToGrid w:val="0"/>
                <w:kern w:val="0"/>
                <w:sz w:val="21"/>
                <w:szCs w:val="21"/>
              </w:rPr>
              <w:t>/a</w:t>
            </w:r>
            <w:r>
              <w:rPr>
                <w:rFonts w:hint="eastAsia" w:ascii="Times New Roman" w:hAnsi="Times New Roman" w:eastAsia="宋体"/>
                <w:b w:val="0"/>
                <w:bCs w:val="0"/>
                <w:snapToGrid w:val="0"/>
                <w:kern w:val="0"/>
                <w:sz w:val="21"/>
                <w:szCs w:val="21"/>
                <w:lang w:val="en-US" w:eastAsia="zh-CN"/>
              </w:rPr>
              <w:t>委托华胜污水处理厂处理后排放</w:t>
            </w:r>
            <w:r>
              <w:rPr>
                <w:rFonts w:hint="eastAsia" w:ascii="Times New Roman" w:hAnsi="Times New Roman"/>
                <w:b w:val="0"/>
                <w:bCs w:val="0"/>
                <w:snapToGrid w:val="0"/>
                <w:kern w:val="0"/>
                <w:sz w:val="21"/>
                <w:szCs w:val="21"/>
                <w:lang w:eastAsia="zh-CN"/>
              </w:rPr>
              <w:t>。</w:t>
            </w:r>
          </w:p>
          <w:p>
            <w:pPr>
              <w:pStyle w:val="3718"/>
              <w:snapToGrid w:val="0"/>
              <w:spacing w:line="380" w:lineRule="exact"/>
              <w:ind w:left="0" w:right="0" w:firstLine="420" w:firstLineChars="200"/>
              <w:jc w:val="both"/>
              <w:rPr>
                <w:rFonts w:hint="default" w:ascii="Times New Roman" w:hAnsi="Times New Roman"/>
                <w:b w:val="0"/>
                <w:bCs w:val="0"/>
                <w:snapToGrid w:val="0"/>
                <w:color w:val="FF0000"/>
                <w:kern w:val="0"/>
                <w:sz w:val="21"/>
                <w:szCs w:val="21"/>
                <w:lang w:val="en-US" w:eastAsia="zh-CN"/>
              </w:rPr>
            </w:pPr>
            <w:r>
              <w:rPr>
                <w:rFonts w:hint="eastAsia" w:ascii="Times New Roman" w:hAnsi="Times New Roman"/>
                <w:b w:val="0"/>
                <w:bCs w:val="0"/>
                <w:snapToGrid w:val="0"/>
                <w:color w:val="FF0000"/>
                <w:kern w:val="0"/>
                <w:sz w:val="21"/>
                <w:szCs w:val="21"/>
                <w:lang w:val="en-US" w:eastAsia="zh-CN"/>
              </w:rPr>
              <w:t>水喷淋去除80%颗粒物，去除量为0.187t/a，废水中主要是SS因子，产生浓度约为108mg/L，COD保守估计100mg/L。</w:t>
            </w:r>
          </w:p>
          <w:p>
            <w:pPr>
              <w:pStyle w:val="3718"/>
              <w:spacing w:line="380" w:lineRule="exact"/>
              <w:ind w:left="0" w:right="0" w:firstLine="420" w:firstLineChars="200"/>
              <w:jc w:val="both"/>
              <w:rPr>
                <w:rFonts w:hint="default" w:ascii="宋体" w:hAnsi="宋体" w:cs="宋体"/>
                <w:color w:val="auto"/>
                <w:sz w:val="21"/>
                <w:szCs w:val="21"/>
                <w:lang w:val="en-US" w:eastAsia="zh-CN"/>
              </w:rPr>
            </w:pPr>
            <w:r>
              <w:rPr>
                <w:rFonts w:hint="eastAsia" w:ascii="宋体" w:hAnsi="宋体" w:cs="宋体"/>
                <w:color w:val="auto"/>
                <w:sz w:val="21"/>
                <w:szCs w:val="21"/>
                <w:lang w:val="en-US" w:eastAsia="zh-CN"/>
              </w:rPr>
              <w:t>③水幕除尘废水</w:t>
            </w:r>
          </w:p>
          <w:p>
            <w:pPr>
              <w:pStyle w:val="3718"/>
              <w:snapToGrid w:val="0"/>
              <w:spacing w:line="380" w:lineRule="exact"/>
              <w:ind w:left="0" w:right="0" w:firstLine="420" w:firstLineChars="200"/>
              <w:jc w:val="both"/>
              <w:rPr>
                <w:rFonts w:hint="eastAsia" w:ascii="Times New Roman" w:hAnsi="Times New Roman"/>
                <w:b w:val="0"/>
                <w:bCs w:val="0"/>
                <w:snapToGrid w:val="0"/>
                <w:kern w:val="0"/>
                <w:sz w:val="21"/>
                <w:szCs w:val="21"/>
                <w:lang w:eastAsia="zh-CN"/>
              </w:rPr>
            </w:pPr>
            <w:r>
              <w:rPr>
                <w:rFonts w:hint="eastAsia" w:ascii="Times New Roman" w:hAnsi="Times New Roman" w:eastAsia="宋体" w:cs="Times New Roman"/>
                <w:color w:val="auto"/>
                <w:sz w:val="21"/>
                <w:szCs w:val="21"/>
                <w:lang w:val="en-US" w:eastAsia="zh-CN"/>
              </w:rPr>
              <w:t>本项目生物质锅炉和导热油炉废气采用“</w:t>
            </w:r>
            <w:r>
              <w:rPr>
                <w:rFonts w:hint="eastAsia" w:ascii="Times New Roman" w:hAnsi="Times New Roman" w:cs="Times New Roman"/>
                <w:color w:val="auto"/>
                <w:sz w:val="21"/>
                <w:szCs w:val="21"/>
                <w:lang w:val="en-US" w:eastAsia="zh-CN"/>
              </w:rPr>
              <w:t>低氮燃烧+SNCR+</w:t>
            </w:r>
            <w:r>
              <w:rPr>
                <w:rFonts w:hint="eastAsia" w:ascii="Times New Roman" w:hAnsi="Times New Roman" w:eastAsia="宋体" w:cs="Times New Roman"/>
                <w:color w:val="auto"/>
                <w:spacing w:val="7"/>
                <w:sz w:val="20"/>
                <w:szCs w:val="20"/>
                <w:highlight w:val="none"/>
                <w:lang w:val="en-US" w:eastAsia="zh-CN"/>
              </w:rPr>
              <w:t>石灰喷雾干燥+</w:t>
            </w:r>
            <w:r>
              <w:rPr>
                <w:rFonts w:hint="eastAsia" w:ascii="Times New Roman" w:hAnsi="Times New Roman" w:cs="Times New Roman"/>
                <w:color w:val="auto"/>
                <w:sz w:val="21"/>
                <w:szCs w:val="21"/>
                <w:lang w:val="en-US" w:eastAsia="zh-CN"/>
              </w:rPr>
              <w:t>余热回收+旋风除尘+布袋除尘+水幕除尘</w:t>
            </w:r>
            <w:r>
              <w:rPr>
                <w:rFonts w:hint="eastAsia" w:ascii="Times New Roman" w:hAnsi="Times New Roman" w:eastAsia="宋体" w:cs="Times New Roman"/>
                <w:color w:val="auto"/>
                <w:sz w:val="21"/>
                <w:szCs w:val="21"/>
                <w:lang w:val="en-US" w:eastAsia="zh-CN"/>
              </w:rPr>
              <w:t>”处理，废气收集风量合计为16000m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/h，气液比为1m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气：2L水，水幕除尘用水循环使用，日工作时间为24h，则水幕除尘循环水量为230400t/a，损耗量为循环水量的1%，定期补充损耗，损耗量为2304t/a。水幕除尘废水定期排放，</w:t>
            </w:r>
            <w:r>
              <w:rPr>
                <w:rFonts w:ascii="Times New Roman" w:hAnsi="Times New Roman" w:eastAsia="宋体"/>
                <w:b w:val="0"/>
                <w:bCs w:val="0"/>
                <w:snapToGrid w:val="0"/>
                <w:kern w:val="0"/>
                <w:sz w:val="21"/>
                <w:szCs w:val="21"/>
              </w:rPr>
              <w:t>废水量按</w:t>
            </w:r>
            <w:r>
              <w:rPr>
                <w:rFonts w:hint="eastAsia" w:ascii="Times New Roman" w:hAnsi="Times New Roman"/>
                <w:b w:val="0"/>
                <w:bCs w:val="0"/>
                <w:snapToGrid w:val="0"/>
                <w:kern w:val="0"/>
                <w:sz w:val="21"/>
                <w:szCs w:val="21"/>
                <w:lang w:val="en-US" w:eastAsia="zh-CN"/>
              </w:rPr>
              <w:t>循环量</w:t>
            </w:r>
            <w:r>
              <w:rPr>
                <w:rFonts w:hint="eastAsia" w:ascii="Times New Roman" w:hAnsi="Times New Roman" w:eastAsia="宋体"/>
                <w:b w:val="0"/>
                <w:bCs w:val="0"/>
                <w:snapToGrid w:val="0"/>
                <w:kern w:val="0"/>
                <w:sz w:val="21"/>
                <w:szCs w:val="21"/>
              </w:rPr>
              <w:t>0.5</w:t>
            </w:r>
            <w:r>
              <w:rPr>
                <w:rFonts w:ascii="Times New Roman" w:hAnsi="Times New Roman" w:eastAsia="宋体"/>
                <w:b w:val="0"/>
                <w:bCs w:val="0"/>
                <w:snapToGrid w:val="0"/>
                <w:kern w:val="0"/>
                <w:sz w:val="21"/>
                <w:szCs w:val="21"/>
              </w:rPr>
              <w:t>%计，约为</w:t>
            </w:r>
            <w:r>
              <w:rPr>
                <w:rFonts w:hint="eastAsia" w:ascii="Times New Roman" w:hAnsi="Times New Roman"/>
                <w:b w:val="0"/>
                <w:bCs w:val="0"/>
                <w:snapToGrid w:val="0"/>
                <w:kern w:val="0"/>
                <w:sz w:val="21"/>
                <w:szCs w:val="21"/>
                <w:lang w:val="en-US" w:eastAsia="zh-CN"/>
              </w:rPr>
              <w:t>1152</w:t>
            </w:r>
            <w:r>
              <w:rPr>
                <w:rFonts w:ascii="Times New Roman" w:hAnsi="Times New Roman" w:eastAsia="宋体"/>
                <w:b w:val="0"/>
                <w:bCs w:val="0"/>
                <w:snapToGrid w:val="0"/>
                <w:kern w:val="0"/>
                <w:sz w:val="21"/>
                <w:szCs w:val="21"/>
              </w:rPr>
              <w:t>m</w:t>
            </w:r>
            <w:r>
              <w:rPr>
                <w:rFonts w:ascii="Times New Roman" w:hAnsi="Times New Roman" w:eastAsia="宋体"/>
                <w:b w:val="0"/>
                <w:bCs w:val="0"/>
                <w:snapToGrid w:val="0"/>
                <w:kern w:val="0"/>
                <w:sz w:val="21"/>
                <w:szCs w:val="21"/>
                <w:vertAlign w:val="superscript"/>
              </w:rPr>
              <w:t>3</w:t>
            </w:r>
            <w:r>
              <w:rPr>
                <w:rFonts w:ascii="Times New Roman" w:hAnsi="Times New Roman" w:eastAsia="宋体"/>
                <w:b w:val="0"/>
                <w:bCs w:val="0"/>
                <w:snapToGrid w:val="0"/>
                <w:kern w:val="0"/>
                <w:sz w:val="21"/>
                <w:szCs w:val="21"/>
              </w:rPr>
              <w:t>/a</w:t>
            </w:r>
            <w:r>
              <w:rPr>
                <w:rFonts w:hint="eastAsia" w:ascii="Times New Roman" w:hAnsi="Times New Roman" w:eastAsia="宋体"/>
                <w:b w:val="0"/>
                <w:bCs w:val="0"/>
                <w:snapToGrid w:val="0"/>
                <w:kern w:val="0"/>
                <w:sz w:val="21"/>
                <w:szCs w:val="21"/>
                <w:lang w:eastAsia="zh-CN"/>
              </w:rPr>
              <w:t>，</w:t>
            </w:r>
            <w:r>
              <w:rPr>
                <w:rFonts w:hint="eastAsia" w:ascii="Times New Roman" w:hAnsi="Times New Roman" w:eastAsia="宋体"/>
                <w:b w:val="0"/>
                <w:bCs w:val="0"/>
                <w:snapToGrid w:val="0"/>
                <w:kern w:val="0"/>
                <w:sz w:val="21"/>
                <w:szCs w:val="21"/>
                <w:lang w:val="en-US" w:eastAsia="zh-CN"/>
              </w:rPr>
              <w:t>委托华胜污水处理厂处理后排放</w:t>
            </w:r>
            <w:r>
              <w:rPr>
                <w:rFonts w:hint="eastAsia" w:ascii="Times New Roman" w:hAnsi="Times New Roman"/>
                <w:b w:val="0"/>
                <w:bCs w:val="0"/>
                <w:snapToGrid w:val="0"/>
                <w:kern w:val="0"/>
                <w:sz w:val="21"/>
                <w:szCs w:val="21"/>
                <w:lang w:eastAsia="zh-CN"/>
              </w:rPr>
              <w:t>。</w:t>
            </w:r>
          </w:p>
          <w:p>
            <w:pPr>
              <w:pStyle w:val="3718"/>
              <w:snapToGrid w:val="0"/>
              <w:spacing w:line="380" w:lineRule="exact"/>
              <w:ind w:left="0" w:right="0" w:firstLine="420" w:firstLineChars="200"/>
              <w:jc w:val="both"/>
              <w:rPr>
                <w:rFonts w:hint="default" w:ascii="Times New Roman" w:hAnsi="Times New Roman"/>
                <w:b w:val="0"/>
                <w:bCs w:val="0"/>
                <w:snapToGrid w:val="0"/>
                <w:color w:val="FF0000"/>
                <w:kern w:val="0"/>
                <w:sz w:val="21"/>
                <w:szCs w:val="21"/>
                <w:lang w:val="en-US" w:eastAsia="zh-CN"/>
              </w:rPr>
            </w:pPr>
            <w:r>
              <w:rPr>
                <w:rFonts w:hint="eastAsia" w:ascii="Times New Roman" w:hAnsi="Times New Roman"/>
                <w:b w:val="0"/>
                <w:bCs w:val="0"/>
                <w:snapToGrid w:val="0"/>
                <w:color w:val="FF0000"/>
                <w:kern w:val="0"/>
                <w:sz w:val="21"/>
                <w:szCs w:val="21"/>
                <w:lang w:val="en-US" w:eastAsia="zh-CN"/>
              </w:rPr>
              <w:t>根据工程分析估算，水幕除尘去除颗粒物约0.0049t/a，产生量极少，</w:t>
            </w:r>
            <w:r>
              <w:rPr>
                <w:rFonts w:hint="eastAsia" w:ascii="Times New Roman" w:hAnsi="Times New Roman" w:eastAsia="宋体"/>
                <w:b w:val="0"/>
                <w:bCs w:val="0"/>
                <w:snapToGrid w:val="0"/>
                <w:color w:val="FF0000"/>
                <w:kern w:val="0"/>
                <w:sz w:val="21"/>
                <w:szCs w:val="21"/>
                <w:lang w:val="en-US" w:eastAsia="zh-CN"/>
              </w:rPr>
              <w:t>本次评价保守取浓水中COD 100mg/L、SS 40mg/L。</w:t>
            </w:r>
          </w:p>
          <w:p>
            <w:pPr>
              <w:pStyle w:val="3718"/>
              <w:spacing w:line="380" w:lineRule="exact"/>
              <w:ind w:left="0" w:right="0" w:firstLine="420" w:firstLineChars="200"/>
              <w:jc w:val="both"/>
              <w:rPr>
                <w:rFonts w:ascii="Times New Roman" w:hAnsi="Times New Roman" w:cs="Times New Roman"/>
                <w:color w:val="auto"/>
                <w:sz w:val="21"/>
                <w:szCs w:val="21"/>
              </w:rPr>
            </w:pPr>
            <w:r>
              <w:rPr>
                <w:rFonts w:hint="eastAsia" w:ascii="宋体" w:hAnsi="宋体" w:cs="宋体"/>
                <w:color w:val="auto"/>
                <w:sz w:val="21"/>
                <w:szCs w:val="21"/>
                <w:lang w:val="en-US" w:eastAsia="zh-CN"/>
              </w:rPr>
              <w:t>④</w:t>
            </w:r>
            <w:r>
              <w:rPr>
                <w:rFonts w:ascii="Times New Roman" w:hAnsi="Times New Roman" w:cs="Times New Roman"/>
                <w:color w:val="auto"/>
                <w:sz w:val="21"/>
                <w:szCs w:val="21"/>
              </w:rPr>
              <w:t>纯水制备浓水</w:t>
            </w:r>
          </w:p>
          <w:p>
            <w:pPr>
              <w:pStyle w:val="3718"/>
              <w:snapToGrid w:val="0"/>
              <w:spacing w:line="38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本项目</w:t>
            </w:r>
            <w:r>
              <w:rPr>
                <w:rFonts w:hint="eastAsia" w:ascii="Times New Roman" w:hAnsi="Times New Roman" w:cs="Times New Roman"/>
                <w:color w:val="auto"/>
                <w:sz w:val="21"/>
                <w:szCs w:val="21"/>
                <w:lang w:val="en-US" w:eastAsia="zh-CN"/>
              </w:rPr>
              <w:t>锅炉</w:t>
            </w:r>
            <w:r>
              <w:rPr>
                <w:rFonts w:hint="eastAsia" w:ascii="Times New Roman" w:hAnsi="Times New Roman" w:cs="Times New Roman"/>
                <w:color w:val="auto"/>
                <w:sz w:val="21"/>
                <w:szCs w:val="21"/>
              </w:rPr>
              <w:t>用纯水</w:t>
            </w:r>
            <w:r>
              <w:rPr>
                <w:rFonts w:hint="eastAsia" w:ascii="Times New Roman" w:hAnsi="Times New Roman" w:cs="Times New Roman"/>
                <w:color w:val="auto"/>
                <w:sz w:val="21"/>
                <w:szCs w:val="21"/>
                <w:lang w:val="en-US" w:eastAsia="zh-CN"/>
              </w:rPr>
              <w:t>8720</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r>
              <w:rPr>
                <w:rFonts w:hint="eastAsia" w:ascii="Times New Roman" w:hAnsi="Times New Roman" w:cs="Times New Roman"/>
                <w:color w:val="auto"/>
                <w:sz w:val="21"/>
                <w:szCs w:val="21"/>
              </w:rPr>
              <w:t>/a，纯水制备率为75%，则需自来水</w:t>
            </w:r>
            <w:r>
              <w:rPr>
                <w:rFonts w:hint="eastAsia" w:ascii="Times New Roman" w:hAnsi="Times New Roman" w:cs="Times New Roman"/>
                <w:color w:val="auto"/>
                <w:sz w:val="21"/>
                <w:szCs w:val="21"/>
                <w:lang w:val="en-US" w:eastAsia="zh-CN"/>
              </w:rPr>
              <w:t>11616</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r>
              <w:rPr>
                <w:rFonts w:hint="eastAsia" w:ascii="Times New Roman" w:hAnsi="Times New Roman" w:cs="Times New Roman"/>
                <w:color w:val="auto"/>
                <w:sz w:val="21"/>
                <w:szCs w:val="21"/>
              </w:rPr>
              <w:t>/a，产生浓废水</w:t>
            </w:r>
            <w:r>
              <w:rPr>
                <w:rFonts w:hint="eastAsia" w:ascii="Times New Roman" w:hAnsi="Times New Roman" w:cs="Times New Roman"/>
                <w:color w:val="auto"/>
                <w:sz w:val="21"/>
                <w:szCs w:val="21"/>
                <w:lang w:val="en-US" w:eastAsia="zh-CN"/>
              </w:rPr>
              <w:t>2896</w:t>
            </w:r>
            <w:r>
              <w:rPr>
                <w:rFonts w:hint="eastAsia" w:ascii="Times New Roman" w:hAnsi="Times New Roman" w:cs="Times New Roman"/>
                <w:color w:val="auto"/>
                <w:sz w:val="21"/>
                <w:szCs w:val="21"/>
              </w:rPr>
              <w:t>m</w:t>
            </w:r>
            <w:r>
              <w:rPr>
                <w:rFonts w:hint="eastAsia" w:ascii="Times New Roman" w:hAnsi="Times New Roman" w:cs="Times New Roman"/>
                <w:color w:val="auto"/>
                <w:sz w:val="21"/>
                <w:szCs w:val="21"/>
                <w:vertAlign w:val="superscript"/>
              </w:rPr>
              <w:t>3</w:t>
            </w:r>
            <w:r>
              <w:rPr>
                <w:rFonts w:hint="eastAsia" w:ascii="Times New Roman" w:hAnsi="Times New Roman" w:cs="Times New Roman"/>
                <w:color w:val="auto"/>
                <w:sz w:val="21"/>
                <w:szCs w:val="21"/>
              </w:rPr>
              <w:t>/</w:t>
            </w:r>
            <w:r>
              <w:rPr>
                <w:rFonts w:hint="eastAsia" w:ascii="Times New Roman" w:hAnsi="Times New Roman" w:eastAsia="宋体"/>
                <w:b w:val="0"/>
                <w:bCs w:val="0"/>
                <w:snapToGrid w:val="0"/>
                <w:kern w:val="0"/>
                <w:sz w:val="21"/>
                <w:szCs w:val="21"/>
                <w:lang w:val="en-US" w:eastAsia="zh-CN"/>
              </w:rPr>
              <w:t>a。</w:t>
            </w:r>
            <w:r>
              <w:rPr>
                <w:rFonts w:hint="eastAsia" w:ascii="Times New Roman" w:hAnsi="Times New Roman" w:eastAsia="宋体"/>
                <w:b w:val="0"/>
                <w:bCs w:val="0"/>
                <w:snapToGrid w:val="0"/>
                <w:color w:val="FF0000"/>
                <w:kern w:val="0"/>
                <w:sz w:val="21"/>
                <w:szCs w:val="21"/>
                <w:lang w:val="en-US" w:eastAsia="zh-CN"/>
              </w:rPr>
              <w:t>纯水制备以自来水作为水源，自来水中COD一般在1mg/L以下，自来水标准中要求无肉眼可见物，SS极低，本项目纯水制备过程中自来水仅被浓缩2.5倍，本次评价保守取浓水中COD 50mg/L、SS 40mg/L。</w:t>
            </w:r>
          </w:p>
          <w:p>
            <w:pPr>
              <w:pStyle w:val="3718"/>
              <w:snapToGrid w:val="0"/>
              <w:spacing w:line="380" w:lineRule="exact"/>
              <w:ind w:left="0" w:right="0" w:firstLine="420" w:firstLineChars="20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⑤蒸汽冷凝水</w:t>
            </w:r>
          </w:p>
          <w:p>
            <w:pPr>
              <w:pStyle w:val="3718"/>
              <w:snapToGrid w:val="0"/>
              <w:spacing w:line="380" w:lineRule="exact"/>
              <w:ind w:left="0" w:right="0" w:firstLine="420" w:firstLineChars="20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本项目蒸汽用量约为43200t/a（6t/h），蒸发损耗按10%计，则蒸汽冷凝水排放量为38800t/a，全部回用于锅炉。</w:t>
            </w:r>
          </w:p>
          <w:p>
            <w:pPr>
              <w:pStyle w:val="3718"/>
              <w:snapToGrid w:val="0"/>
              <w:spacing w:line="380" w:lineRule="exact"/>
              <w:ind w:left="0" w:right="0" w:firstLine="420" w:firstLineChars="20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⑥消石灰浆液配嚣用水</w:t>
            </w:r>
          </w:p>
          <w:p>
            <w:pPr>
              <w:pStyle w:val="3718"/>
              <w:snapToGrid w:val="0"/>
              <w:spacing w:line="380" w:lineRule="exact"/>
              <w:ind w:left="0" w:right="0" w:firstLine="420" w:firstLineChars="20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本项目采用石灰喷雾干燥法脱硫脱酸（半干法）工艺，生石灰经消化并加水制成消石灰浆液，在吸收干燥塔内，浆液被雾化成细小液滴的吸收剂与烟气混合接触，与烟气中的SO</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、SO</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lang w:val="en-US" w:eastAsia="zh-CN"/>
              </w:rPr>
              <w:t>、HCl发生中和反应生成亚硫酸钙（CaSO</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lang w:val="en-US" w:eastAsia="zh-CN"/>
              </w:rPr>
              <w:t>)、硫酸钙(CaSO</w:t>
            </w:r>
            <w:r>
              <w:rPr>
                <w:rFonts w:hint="eastAsia" w:ascii="Times New Roman" w:hAnsi="Times New Roman" w:cs="Times New Roman"/>
                <w:color w:val="auto"/>
                <w:sz w:val="21"/>
                <w:szCs w:val="21"/>
                <w:vertAlign w:val="subscript"/>
                <w:lang w:val="en-US" w:eastAsia="zh-CN"/>
              </w:rPr>
              <w:t>4</w:t>
            </w:r>
            <w:r>
              <w:rPr>
                <w:rFonts w:hint="eastAsia" w:ascii="Times New Roman" w:hAnsi="Times New Roman" w:cs="Times New Roman"/>
                <w:color w:val="auto"/>
                <w:sz w:val="21"/>
                <w:szCs w:val="21"/>
                <w:lang w:val="en-US" w:eastAsia="zh-CN"/>
              </w:rPr>
              <w:t>)和氯化钙(CaC1</w:t>
            </w:r>
            <w:r>
              <w:rPr>
                <w:rFonts w:hint="eastAsia" w:ascii="Times New Roman" w:hAnsi="Times New Roman" w:cs="Times New Roman"/>
                <w:color w:val="auto"/>
                <w:sz w:val="21"/>
                <w:szCs w:val="21"/>
                <w:vertAlign w:val="subscript"/>
                <w:lang w:val="en-US" w:eastAsia="zh-CN"/>
              </w:rPr>
              <w:t>2</w:t>
            </w:r>
            <w:r>
              <w:rPr>
                <w:rFonts w:hint="eastAsia" w:ascii="Times New Roman" w:hAnsi="Times New Roman" w:cs="Times New Roman"/>
                <w:color w:val="auto"/>
                <w:sz w:val="21"/>
                <w:szCs w:val="21"/>
                <w:lang w:val="en-US" w:eastAsia="zh-CN"/>
              </w:rPr>
              <w:t>)。脱硫剂带入的水分迅速被蒸发而干燥，形成粉末状的反应副产品，烟气温度随之降低，但仍然高于酸露点，可以直接排放，且不产生废水。</w:t>
            </w:r>
          </w:p>
          <w:p>
            <w:pPr>
              <w:pStyle w:val="3718"/>
              <w:snapToGrid w:val="0"/>
              <w:spacing w:line="380" w:lineRule="exact"/>
              <w:ind w:left="0" w:right="0" w:firstLine="420" w:firstLineChars="200"/>
              <w:jc w:val="both"/>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本项目石灰年用量为5t/a。消石灰浆液制备用水主要用来与外购生石灰粉搅拌成质量浓度为9%-13%的消石灰浆液，则消石灰浆液配制用水为33.5t/a。</w:t>
            </w:r>
          </w:p>
          <w:p>
            <w:pPr>
              <w:pStyle w:val="3718"/>
              <w:snapToGrid w:val="0"/>
              <w:spacing w:line="380" w:lineRule="exact"/>
              <w:ind w:left="0" w:right="0" w:firstLine="420" w:firstLineChars="20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⑦尿素配置用水</w:t>
            </w:r>
          </w:p>
          <w:p>
            <w:pPr>
              <w:pStyle w:val="3718"/>
              <w:snapToGrid w:val="0"/>
              <w:spacing w:line="380" w:lineRule="exact"/>
              <w:ind w:left="0" w:right="0" w:firstLine="420" w:firstLineChars="200"/>
              <w:jc w:val="both"/>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固体尿素与纯水配置成浓度为40%-50%的尿素溶液。本项目尿素消耗量0.5-1.5kg/吨蒸汽，共产生蒸汽43200m</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lang w:val="en-US" w:eastAsia="zh-CN"/>
              </w:rPr>
              <w:t>/a，约耗费21.6t尿素，配置成50%的尿素溶液，消耗纯水21.6t/a。</w:t>
            </w:r>
          </w:p>
        </w:tc>
      </w:tr>
    </w:tbl>
    <w:p>
      <w:pPr>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28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dxa"/>
            <w:tcMar>
              <w:left w:w="113" w:type="dxa"/>
              <w:right w:w="113"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12576" w:type="dxa"/>
            <w:vAlign w:val="center"/>
          </w:tcPr>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（2）废水污染源强</w:t>
            </w:r>
          </w:p>
          <w:p>
            <w:pPr>
              <w:autoSpaceDE w:val="0"/>
              <w:autoSpaceDN w:val="0"/>
              <w:adjustRightInd w:val="0"/>
              <w:snapToGrid w:val="0"/>
              <w:spacing w:line="400" w:lineRule="exact"/>
              <w:ind w:firstLine="420" w:firstLineChars="200"/>
              <w:rPr>
                <w:color w:val="auto"/>
                <w:kern w:val="0"/>
                <w:szCs w:val="21"/>
              </w:rPr>
            </w:pPr>
            <w:r>
              <w:rPr>
                <w:color w:val="auto"/>
                <w:kern w:val="0"/>
                <w:szCs w:val="21"/>
              </w:rPr>
              <w:t>本项目废水源强具体见表4-</w:t>
            </w:r>
            <w:r>
              <w:rPr>
                <w:rFonts w:hint="eastAsia"/>
                <w:color w:val="auto"/>
                <w:kern w:val="0"/>
                <w:szCs w:val="21"/>
                <w:lang w:val="en-US" w:eastAsia="zh-CN"/>
              </w:rPr>
              <w:t>17</w:t>
            </w:r>
            <w:r>
              <w:rPr>
                <w:color w:val="auto"/>
                <w:kern w:val="0"/>
                <w:szCs w:val="21"/>
              </w:rPr>
              <w:t>。</w:t>
            </w:r>
          </w:p>
          <w:p>
            <w:pPr>
              <w:pStyle w:val="180"/>
              <w:spacing w:line="400" w:lineRule="exact"/>
              <w:rPr>
                <w:b/>
                <w:bCs/>
                <w:color w:val="auto"/>
                <w:lang w:val="en-US"/>
              </w:rPr>
            </w:pPr>
            <w:r>
              <w:rPr>
                <w:b/>
                <w:bCs/>
                <w:color w:val="auto"/>
              </w:rPr>
              <w:t>表</w:t>
            </w:r>
            <w:r>
              <w:rPr>
                <w:b/>
                <w:bCs/>
                <w:color w:val="auto"/>
                <w:lang w:val="en-US"/>
              </w:rPr>
              <w:t>4-</w:t>
            </w:r>
            <w:r>
              <w:rPr>
                <w:rFonts w:hint="eastAsia"/>
                <w:b/>
                <w:bCs/>
                <w:color w:val="auto"/>
                <w:lang w:val="en-US" w:eastAsia="zh-CN"/>
              </w:rPr>
              <w:t>17</w:t>
            </w:r>
            <w:r>
              <w:rPr>
                <w:b/>
                <w:bCs/>
                <w:color w:val="auto"/>
                <w:lang w:val="en-US"/>
              </w:rPr>
              <w:t xml:space="preserve">  </w:t>
            </w:r>
            <w:r>
              <w:rPr>
                <w:b/>
                <w:bCs/>
                <w:color w:val="auto"/>
              </w:rPr>
              <w:t>本项目废水污染源强</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1132"/>
              <w:gridCol w:w="1064"/>
              <w:gridCol w:w="1014"/>
              <w:gridCol w:w="1011"/>
              <w:gridCol w:w="1157"/>
              <w:gridCol w:w="686"/>
              <w:gridCol w:w="555"/>
              <w:gridCol w:w="922"/>
              <w:gridCol w:w="1151"/>
              <w:gridCol w:w="1153"/>
              <w:gridCol w:w="1020"/>
              <w:gridCol w:w="1010"/>
              <w:gridCol w:w="71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restart"/>
                  <w:tcBorders>
                    <w:top w:val="single" w:color="auto" w:sz="12" w:space="0"/>
                    <w:bottom w:val="single" w:color="auto" w:sz="6" w:space="0"/>
                  </w:tcBorders>
                  <w:tcMar>
                    <w:left w:w="0" w:type="dxa"/>
                    <w:right w:w="0" w:type="dxa"/>
                  </w:tcMar>
                  <w:vAlign w:val="center"/>
                </w:tcPr>
                <w:p>
                  <w:pPr>
                    <w:jc w:val="center"/>
                    <w:rPr>
                      <w:b/>
                      <w:bCs/>
                      <w:color w:val="auto"/>
                      <w:sz w:val="20"/>
                      <w:szCs w:val="20"/>
                    </w:rPr>
                  </w:pPr>
                  <w:r>
                    <w:rPr>
                      <w:b/>
                      <w:bCs/>
                      <w:color w:val="auto"/>
                      <w:sz w:val="20"/>
                      <w:szCs w:val="20"/>
                    </w:rPr>
                    <w:t>产排污环节</w:t>
                  </w:r>
                </w:p>
              </w:tc>
              <w:tc>
                <w:tcPr>
                  <w:tcW w:w="422" w:type="pct"/>
                  <w:vMerge w:val="restart"/>
                  <w:tcBorders>
                    <w:top w:val="single" w:color="auto" w:sz="12" w:space="0"/>
                    <w:bottom w:val="single" w:color="auto" w:sz="6" w:space="0"/>
                  </w:tcBorders>
                  <w:tcMar>
                    <w:left w:w="0" w:type="dxa"/>
                    <w:right w:w="0" w:type="dxa"/>
                  </w:tcMar>
                  <w:vAlign w:val="center"/>
                </w:tcPr>
                <w:p>
                  <w:pPr>
                    <w:jc w:val="center"/>
                    <w:rPr>
                      <w:b/>
                      <w:bCs/>
                      <w:color w:val="auto"/>
                      <w:sz w:val="20"/>
                      <w:szCs w:val="20"/>
                    </w:rPr>
                  </w:pPr>
                  <w:r>
                    <w:rPr>
                      <w:b/>
                      <w:bCs/>
                      <w:color w:val="auto"/>
                      <w:sz w:val="20"/>
                      <w:szCs w:val="20"/>
                    </w:rPr>
                    <w:t>废水量(m</w:t>
                  </w:r>
                  <w:r>
                    <w:rPr>
                      <w:b/>
                      <w:bCs/>
                      <w:color w:val="auto"/>
                      <w:sz w:val="20"/>
                      <w:szCs w:val="20"/>
                      <w:vertAlign w:val="superscript"/>
                    </w:rPr>
                    <w:t>3</w:t>
                  </w:r>
                  <w:r>
                    <w:rPr>
                      <w:b/>
                      <w:bCs/>
                      <w:color w:val="auto"/>
                      <w:sz w:val="20"/>
                      <w:szCs w:val="20"/>
                    </w:rPr>
                    <w:t>/a)</w:t>
                  </w:r>
                </w:p>
              </w:tc>
              <w:tc>
                <w:tcPr>
                  <w:tcW w:w="402" w:type="pct"/>
                  <w:vMerge w:val="restart"/>
                  <w:tcBorders>
                    <w:top w:val="single" w:color="auto" w:sz="12" w:space="0"/>
                    <w:bottom w:val="single" w:color="auto" w:sz="6" w:space="0"/>
                  </w:tcBorders>
                  <w:tcMar>
                    <w:left w:w="0" w:type="dxa"/>
                    <w:right w:w="0" w:type="dxa"/>
                  </w:tcMar>
                  <w:vAlign w:val="center"/>
                </w:tcPr>
                <w:p>
                  <w:pPr>
                    <w:jc w:val="center"/>
                    <w:rPr>
                      <w:b/>
                      <w:bCs/>
                      <w:color w:val="auto"/>
                      <w:sz w:val="20"/>
                      <w:szCs w:val="20"/>
                    </w:rPr>
                  </w:pPr>
                  <w:r>
                    <w:rPr>
                      <w:b/>
                      <w:bCs/>
                      <w:color w:val="auto"/>
                      <w:sz w:val="20"/>
                      <w:szCs w:val="20"/>
                    </w:rPr>
                    <w:t>污染物种类</w:t>
                  </w:r>
                </w:p>
              </w:tc>
              <w:tc>
                <w:tcPr>
                  <w:tcW w:w="860" w:type="pct"/>
                  <w:gridSpan w:val="2"/>
                  <w:tcBorders>
                    <w:top w:val="single" w:color="auto" w:sz="12" w:space="0"/>
                    <w:bottom w:val="single" w:color="auto" w:sz="6" w:space="0"/>
                  </w:tcBorders>
                  <w:vAlign w:val="center"/>
                </w:tcPr>
                <w:p>
                  <w:pPr>
                    <w:jc w:val="center"/>
                    <w:rPr>
                      <w:b/>
                      <w:bCs/>
                      <w:color w:val="auto"/>
                      <w:sz w:val="20"/>
                      <w:szCs w:val="20"/>
                    </w:rPr>
                  </w:pPr>
                  <w:r>
                    <w:rPr>
                      <w:b/>
                      <w:bCs/>
                      <w:color w:val="auto"/>
                      <w:sz w:val="20"/>
                      <w:szCs w:val="20"/>
                    </w:rPr>
                    <w:t>产生情况</w:t>
                  </w:r>
                </w:p>
              </w:tc>
              <w:tc>
                <w:tcPr>
                  <w:tcW w:w="272" w:type="pct"/>
                  <w:vMerge w:val="restart"/>
                  <w:tcBorders>
                    <w:top w:val="single" w:color="auto" w:sz="12" w:space="0"/>
                    <w:bottom w:val="single" w:color="auto" w:sz="6" w:space="0"/>
                  </w:tcBorders>
                  <w:tcMar>
                    <w:left w:w="0" w:type="dxa"/>
                    <w:right w:w="0" w:type="dxa"/>
                  </w:tcMar>
                  <w:vAlign w:val="center"/>
                </w:tcPr>
                <w:p>
                  <w:pPr>
                    <w:jc w:val="center"/>
                    <w:rPr>
                      <w:b/>
                      <w:bCs/>
                      <w:color w:val="auto"/>
                      <w:sz w:val="20"/>
                      <w:szCs w:val="20"/>
                    </w:rPr>
                  </w:pPr>
                  <w:r>
                    <w:rPr>
                      <w:b/>
                      <w:bCs/>
                      <w:color w:val="auto"/>
                      <w:sz w:val="20"/>
                      <w:szCs w:val="20"/>
                    </w:rPr>
                    <w:t>污染防治措施</w:t>
                  </w:r>
                </w:p>
              </w:tc>
              <w:tc>
                <w:tcPr>
                  <w:tcW w:w="220" w:type="pct"/>
                  <w:vMerge w:val="restart"/>
                  <w:tcBorders>
                    <w:top w:val="single" w:color="auto" w:sz="12" w:space="0"/>
                    <w:bottom w:val="single" w:color="auto" w:sz="6" w:space="0"/>
                  </w:tcBorders>
                  <w:tcMar>
                    <w:left w:w="0" w:type="dxa"/>
                    <w:right w:w="0" w:type="dxa"/>
                  </w:tcMar>
                  <w:vAlign w:val="center"/>
                </w:tcPr>
                <w:p>
                  <w:pPr>
                    <w:jc w:val="center"/>
                    <w:rPr>
                      <w:b/>
                      <w:bCs/>
                      <w:color w:val="auto"/>
                      <w:sz w:val="20"/>
                      <w:szCs w:val="20"/>
                    </w:rPr>
                  </w:pPr>
                  <w:r>
                    <w:rPr>
                      <w:rFonts w:hint="eastAsia"/>
                      <w:b/>
                      <w:bCs/>
                      <w:color w:val="auto"/>
                      <w:sz w:val="20"/>
                      <w:szCs w:val="20"/>
                    </w:rPr>
                    <w:t>去除率%</w:t>
                  </w:r>
                </w:p>
              </w:tc>
              <w:tc>
                <w:tcPr>
                  <w:tcW w:w="1685" w:type="pct"/>
                  <w:gridSpan w:val="4"/>
                  <w:tcBorders>
                    <w:top w:val="single" w:color="auto" w:sz="12" w:space="0"/>
                    <w:bottom w:val="single" w:color="auto" w:sz="6" w:space="0"/>
                  </w:tcBorders>
                  <w:vAlign w:val="center"/>
                </w:tcPr>
                <w:p>
                  <w:pPr>
                    <w:jc w:val="center"/>
                    <w:rPr>
                      <w:b/>
                      <w:bCs/>
                      <w:color w:val="auto"/>
                      <w:sz w:val="20"/>
                      <w:szCs w:val="20"/>
                    </w:rPr>
                  </w:pPr>
                  <w:r>
                    <w:rPr>
                      <w:rFonts w:hint="eastAsia"/>
                      <w:b/>
                      <w:bCs/>
                      <w:color w:val="auto"/>
                      <w:sz w:val="20"/>
                      <w:szCs w:val="20"/>
                    </w:rPr>
                    <w:t>排放情况</w:t>
                  </w:r>
                </w:p>
              </w:tc>
              <w:tc>
                <w:tcPr>
                  <w:tcW w:w="401" w:type="pct"/>
                  <w:vMerge w:val="restart"/>
                  <w:tcBorders>
                    <w:top w:val="single" w:color="auto" w:sz="12" w:space="0"/>
                    <w:bottom w:val="single" w:color="auto" w:sz="12" w:space="0"/>
                  </w:tcBorders>
                  <w:vAlign w:val="center"/>
                </w:tcPr>
                <w:p>
                  <w:pPr>
                    <w:jc w:val="center"/>
                    <w:rPr>
                      <w:b/>
                      <w:bCs/>
                      <w:color w:val="auto"/>
                      <w:sz w:val="20"/>
                      <w:szCs w:val="20"/>
                    </w:rPr>
                  </w:pPr>
                  <w:r>
                    <w:rPr>
                      <w:b/>
                      <w:bCs/>
                      <w:color w:val="auto"/>
                      <w:sz w:val="20"/>
                      <w:szCs w:val="20"/>
                    </w:rPr>
                    <w:t>排放标准</w:t>
                  </w:r>
                </w:p>
                <w:p>
                  <w:pPr>
                    <w:jc w:val="center"/>
                    <w:rPr>
                      <w:b/>
                      <w:bCs/>
                      <w:color w:val="auto"/>
                      <w:sz w:val="20"/>
                      <w:szCs w:val="20"/>
                    </w:rPr>
                  </w:pPr>
                  <w:r>
                    <w:rPr>
                      <w:b/>
                      <w:bCs/>
                      <w:color w:val="auto"/>
                      <w:sz w:val="20"/>
                      <w:szCs w:val="20"/>
                    </w:rPr>
                    <w:t>(mg/L)</w:t>
                  </w:r>
                </w:p>
              </w:tc>
              <w:tc>
                <w:tcPr>
                  <w:tcW w:w="285" w:type="pct"/>
                  <w:vMerge w:val="restart"/>
                  <w:tcBorders>
                    <w:top w:val="single" w:color="auto" w:sz="12" w:space="0"/>
                  </w:tcBorders>
                  <w:vAlign w:val="center"/>
                </w:tcPr>
                <w:p>
                  <w:pPr>
                    <w:jc w:val="center"/>
                    <w:rPr>
                      <w:b/>
                      <w:bCs/>
                      <w:color w:val="auto"/>
                      <w:sz w:val="20"/>
                      <w:szCs w:val="20"/>
                    </w:rPr>
                  </w:pPr>
                  <w:r>
                    <w:rPr>
                      <w:rFonts w:hint="eastAsia"/>
                      <w:b/>
                      <w:bCs/>
                      <w:color w:val="auto"/>
                      <w:sz w:val="20"/>
                      <w:szCs w:val="20"/>
                    </w:rPr>
                    <w:t>排放去向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449" w:type="pct"/>
                  <w:vMerge w:val="continue"/>
                  <w:tcBorders>
                    <w:top w:val="single" w:color="auto" w:sz="6" w:space="0"/>
                    <w:bottom w:val="single" w:color="auto" w:sz="12" w:space="0"/>
                  </w:tcBorders>
                  <w:tcMar>
                    <w:left w:w="0" w:type="dxa"/>
                    <w:right w:w="0" w:type="dxa"/>
                  </w:tcMar>
                  <w:vAlign w:val="center"/>
                </w:tcPr>
                <w:p>
                  <w:pPr>
                    <w:jc w:val="center"/>
                    <w:rPr>
                      <w:b/>
                      <w:bCs/>
                      <w:color w:val="auto"/>
                      <w:sz w:val="20"/>
                      <w:szCs w:val="20"/>
                    </w:rPr>
                  </w:pPr>
                </w:p>
              </w:tc>
              <w:tc>
                <w:tcPr>
                  <w:tcW w:w="422" w:type="pct"/>
                  <w:vMerge w:val="continue"/>
                  <w:tcBorders>
                    <w:top w:val="single" w:color="auto" w:sz="6" w:space="0"/>
                    <w:bottom w:val="single" w:color="auto" w:sz="12" w:space="0"/>
                  </w:tcBorders>
                  <w:tcMar>
                    <w:left w:w="0" w:type="dxa"/>
                    <w:right w:w="0" w:type="dxa"/>
                  </w:tcMar>
                  <w:vAlign w:val="center"/>
                </w:tcPr>
                <w:p>
                  <w:pPr>
                    <w:jc w:val="center"/>
                    <w:rPr>
                      <w:b/>
                      <w:bCs/>
                      <w:color w:val="auto"/>
                      <w:sz w:val="20"/>
                      <w:szCs w:val="20"/>
                    </w:rPr>
                  </w:pPr>
                </w:p>
              </w:tc>
              <w:tc>
                <w:tcPr>
                  <w:tcW w:w="402" w:type="pct"/>
                  <w:vMerge w:val="continue"/>
                  <w:tcBorders>
                    <w:top w:val="single" w:color="auto" w:sz="6" w:space="0"/>
                    <w:bottom w:val="single" w:color="auto" w:sz="12" w:space="0"/>
                  </w:tcBorders>
                  <w:tcMar>
                    <w:left w:w="0" w:type="dxa"/>
                    <w:right w:w="0" w:type="dxa"/>
                  </w:tcMar>
                  <w:vAlign w:val="center"/>
                </w:tcPr>
                <w:p>
                  <w:pPr>
                    <w:jc w:val="center"/>
                    <w:rPr>
                      <w:b/>
                      <w:bCs/>
                      <w:color w:val="auto"/>
                      <w:sz w:val="20"/>
                      <w:szCs w:val="20"/>
                    </w:rPr>
                  </w:pPr>
                </w:p>
              </w:tc>
              <w:tc>
                <w:tcPr>
                  <w:tcW w:w="401" w:type="pct"/>
                  <w:tcBorders>
                    <w:top w:val="single" w:color="auto" w:sz="6" w:space="0"/>
                    <w:bottom w:val="single" w:color="auto" w:sz="12" w:space="0"/>
                  </w:tcBorders>
                  <w:tcMar>
                    <w:left w:w="0" w:type="dxa"/>
                    <w:right w:w="0" w:type="dxa"/>
                  </w:tcMar>
                  <w:vAlign w:val="center"/>
                </w:tcPr>
                <w:p>
                  <w:pPr>
                    <w:jc w:val="center"/>
                    <w:rPr>
                      <w:b/>
                      <w:bCs/>
                      <w:color w:val="auto"/>
                      <w:sz w:val="20"/>
                      <w:szCs w:val="20"/>
                    </w:rPr>
                  </w:pPr>
                  <w:r>
                    <w:rPr>
                      <w:b/>
                      <w:bCs/>
                      <w:color w:val="auto"/>
                      <w:sz w:val="20"/>
                      <w:szCs w:val="20"/>
                    </w:rPr>
                    <w:t>浓度(mg/L)</w:t>
                  </w:r>
                </w:p>
              </w:tc>
              <w:tc>
                <w:tcPr>
                  <w:tcW w:w="459" w:type="pct"/>
                  <w:tcBorders>
                    <w:top w:val="single" w:color="auto" w:sz="6" w:space="0"/>
                    <w:bottom w:val="single" w:color="auto" w:sz="12" w:space="0"/>
                  </w:tcBorders>
                  <w:tcMar>
                    <w:left w:w="0" w:type="dxa"/>
                    <w:right w:w="0" w:type="dxa"/>
                  </w:tcMar>
                  <w:vAlign w:val="center"/>
                </w:tcPr>
                <w:p>
                  <w:pPr>
                    <w:jc w:val="center"/>
                    <w:rPr>
                      <w:b/>
                      <w:bCs/>
                      <w:color w:val="auto"/>
                      <w:sz w:val="20"/>
                      <w:szCs w:val="20"/>
                    </w:rPr>
                  </w:pPr>
                  <w:r>
                    <w:rPr>
                      <w:b/>
                      <w:bCs/>
                      <w:color w:val="auto"/>
                      <w:sz w:val="20"/>
                      <w:szCs w:val="20"/>
                    </w:rPr>
                    <w:t>产生量(t/a)</w:t>
                  </w:r>
                </w:p>
              </w:tc>
              <w:tc>
                <w:tcPr>
                  <w:tcW w:w="272" w:type="pct"/>
                  <w:vMerge w:val="continue"/>
                  <w:tcBorders>
                    <w:top w:val="single" w:color="auto" w:sz="6" w:space="0"/>
                    <w:bottom w:val="single" w:color="auto" w:sz="12" w:space="0"/>
                  </w:tcBorders>
                  <w:tcMar>
                    <w:left w:w="0" w:type="dxa"/>
                    <w:right w:w="0" w:type="dxa"/>
                  </w:tcMar>
                  <w:vAlign w:val="center"/>
                </w:tcPr>
                <w:p>
                  <w:pPr>
                    <w:jc w:val="center"/>
                    <w:rPr>
                      <w:b/>
                      <w:bCs/>
                      <w:color w:val="auto"/>
                      <w:sz w:val="20"/>
                      <w:szCs w:val="20"/>
                    </w:rPr>
                  </w:pPr>
                </w:p>
              </w:tc>
              <w:tc>
                <w:tcPr>
                  <w:tcW w:w="220" w:type="pct"/>
                  <w:vMerge w:val="continue"/>
                  <w:tcBorders>
                    <w:top w:val="single" w:color="auto" w:sz="6" w:space="0"/>
                    <w:bottom w:val="single" w:color="auto" w:sz="12" w:space="0"/>
                  </w:tcBorders>
                  <w:tcMar>
                    <w:left w:w="0" w:type="dxa"/>
                    <w:right w:w="0" w:type="dxa"/>
                  </w:tcMar>
                  <w:vAlign w:val="center"/>
                </w:tcPr>
                <w:p>
                  <w:pPr>
                    <w:jc w:val="center"/>
                    <w:rPr>
                      <w:b/>
                      <w:bCs/>
                      <w:color w:val="auto"/>
                      <w:sz w:val="20"/>
                      <w:szCs w:val="20"/>
                    </w:rPr>
                  </w:pPr>
                </w:p>
              </w:tc>
              <w:tc>
                <w:tcPr>
                  <w:tcW w:w="366" w:type="pct"/>
                  <w:tcBorders>
                    <w:top w:val="single" w:color="auto" w:sz="6" w:space="0"/>
                    <w:bottom w:val="single" w:color="auto" w:sz="12" w:space="0"/>
                  </w:tcBorders>
                  <w:vAlign w:val="center"/>
                </w:tcPr>
                <w:p>
                  <w:pPr>
                    <w:jc w:val="center"/>
                    <w:rPr>
                      <w:b/>
                      <w:bCs/>
                      <w:color w:val="auto"/>
                      <w:sz w:val="20"/>
                      <w:szCs w:val="20"/>
                    </w:rPr>
                  </w:pPr>
                  <w:r>
                    <w:rPr>
                      <w:rFonts w:hint="eastAsia"/>
                      <w:b/>
                      <w:bCs/>
                      <w:color w:val="auto"/>
                      <w:sz w:val="20"/>
                      <w:szCs w:val="20"/>
                    </w:rPr>
                    <w:t>水量（m</w:t>
                  </w:r>
                  <w:r>
                    <w:rPr>
                      <w:rFonts w:hint="eastAsia"/>
                      <w:b/>
                      <w:bCs/>
                      <w:color w:val="auto"/>
                      <w:sz w:val="20"/>
                      <w:szCs w:val="20"/>
                      <w:vertAlign w:val="superscript"/>
                    </w:rPr>
                    <w:t>3</w:t>
                  </w:r>
                  <w:r>
                    <w:rPr>
                      <w:rFonts w:hint="eastAsia"/>
                      <w:b/>
                      <w:bCs/>
                      <w:color w:val="auto"/>
                      <w:sz w:val="20"/>
                      <w:szCs w:val="20"/>
                    </w:rPr>
                    <w:t>/a）</w:t>
                  </w:r>
                </w:p>
              </w:tc>
              <w:tc>
                <w:tcPr>
                  <w:tcW w:w="456" w:type="pct"/>
                  <w:tcBorders>
                    <w:top w:val="single" w:color="auto" w:sz="6" w:space="0"/>
                    <w:bottom w:val="single" w:color="auto" w:sz="12" w:space="0"/>
                  </w:tcBorders>
                  <w:tcMar>
                    <w:left w:w="0" w:type="dxa"/>
                    <w:right w:w="0" w:type="dxa"/>
                  </w:tcMar>
                  <w:vAlign w:val="center"/>
                </w:tcPr>
                <w:p>
                  <w:pPr>
                    <w:jc w:val="center"/>
                    <w:rPr>
                      <w:b/>
                      <w:bCs/>
                      <w:color w:val="auto"/>
                      <w:sz w:val="20"/>
                      <w:szCs w:val="20"/>
                    </w:rPr>
                  </w:pPr>
                  <w:r>
                    <w:rPr>
                      <w:b/>
                      <w:bCs/>
                      <w:color w:val="auto"/>
                      <w:sz w:val="20"/>
                      <w:szCs w:val="20"/>
                    </w:rPr>
                    <w:t>污染物种类</w:t>
                  </w:r>
                </w:p>
              </w:tc>
              <w:tc>
                <w:tcPr>
                  <w:tcW w:w="457" w:type="pct"/>
                  <w:tcBorders>
                    <w:top w:val="single" w:color="auto" w:sz="6" w:space="0"/>
                    <w:bottom w:val="single" w:color="auto" w:sz="12" w:space="0"/>
                  </w:tcBorders>
                  <w:vAlign w:val="center"/>
                </w:tcPr>
                <w:p>
                  <w:pPr>
                    <w:jc w:val="center"/>
                    <w:rPr>
                      <w:b/>
                      <w:bCs/>
                      <w:color w:val="auto"/>
                      <w:sz w:val="20"/>
                      <w:szCs w:val="20"/>
                    </w:rPr>
                  </w:pPr>
                  <w:r>
                    <w:rPr>
                      <w:b/>
                      <w:bCs/>
                      <w:color w:val="auto"/>
                      <w:sz w:val="20"/>
                      <w:szCs w:val="20"/>
                    </w:rPr>
                    <w:t>浓度(mg/L)</w:t>
                  </w:r>
                </w:p>
              </w:tc>
              <w:tc>
                <w:tcPr>
                  <w:tcW w:w="404" w:type="pct"/>
                  <w:tcBorders>
                    <w:top w:val="single" w:color="auto" w:sz="6" w:space="0"/>
                    <w:bottom w:val="single" w:color="auto" w:sz="12" w:space="0"/>
                  </w:tcBorders>
                  <w:tcMar>
                    <w:left w:w="0" w:type="dxa"/>
                    <w:right w:w="0" w:type="dxa"/>
                  </w:tcMar>
                  <w:vAlign w:val="center"/>
                </w:tcPr>
                <w:p>
                  <w:pPr>
                    <w:jc w:val="center"/>
                    <w:rPr>
                      <w:b/>
                      <w:bCs/>
                      <w:color w:val="auto"/>
                      <w:sz w:val="20"/>
                      <w:szCs w:val="20"/>
                    </w:rPr>
                  </w:pPr>
                  <w:r>
                    <w:rPr>
                      <w:b/>
                      <w:bCs/>
                      <w:color w:val="auto"/>
                      <w:sz w:val="20"/>
                      <w:szCs w:val="20"/>
                    </w:rPr>
                    <w:t>排放量(t/a)</w:t>
                  </w:r>
                </w:p>
              </w:tc>
              <w:tc>
                <w:tcPr>
                  <w:tcW w:w="401" w:type="pct"/>
                  <w:vMerge w:val="continue"/>
                  <w:tcBorders>
                    <w:top w:val="single" w:color="auto" w:sz="6" w:space="0"/>
                    <w:bottom w:val="single" w:color="auto" w:sz="12" w:space="0"/>
                  </w:tcBorders>
                  <w:vAlign w:val="center"/>
                </w:tcPr>
                <w:p>
                  <w:pPr>
                    <w:jc w:val="center"/>
                    <w:rPr>
                      <w:b/>
                      <w:bCs/>
                      <w:color w:val="auto"/>
                      <w:sz w:val="20"/>
                      <w:szCs w:val="20"/>
                    </w:rPr>
                  </w:pPr>
                </w:p>
              </w:tc>
              <w:tc>
                <w:tcPr>
                  <w:tcW w:w="285" w:type="pct"/>
                  <w:vMerge w:val="continue"/>
                  <w:tcBorders>
                    <w:bottom w:val="single" w:color="auto" w:sz="12" w:space="0"/>
                  </w:tcBorders>
                  <w:vAlign w:val="center"/>
                </w:tcPr>
                <w:p>
                  <w:pPr>
                    <w:jc w:val="center"/>
                    <w:rPr>
                      <w:b/>
                      <w:bCs/>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restart"/>
                  <w:tcMar>
                    <w:left w:w="0" w:type="dxa"/>
                    <w:right w:w="0" w:type="dxa"/>
                  </w:tcMar>
                  <w:vAlign w:val="center"/>
                </w:tcPr>
                <w:p>
                  <w:pPr>
                    <w:jc w:val="center"/>
                    <w:rPr>
                      <w:color w:val="auto"/>
                      <w:sz w:val="20"/>
                      <w:szCs w:val="20"/>
                    </w:rPr>
                  </w:pPr>
                  <w:r>
                    <w:rPr>
                      <w:color w:val="auto"/>
                      <w:sz w:val="20"/>
                      <w:szCs w:val="20"/>
                    </w:rPr>
                    <w:t>生活污水</w:t>
                  </w:r>
                </w:p>
              </w:tc>
              <w:tc>
                <w:tcPr>
                  <w:tcW w:w="422" w:type="pct"/>
                  <w:vMerge w:val="restart"/>
                  <w:tcMar>
                    <w:left w:w="0" w:type="dxa"/>
                    <w:right w:w="0" w:type="dxa"/>
                  </w:tcMar>
                  <w:vAlign w:val="center"/>
                </w:tcPr>
                <w:p>
                  <w:pPr>
                    <w:jc w:val="center"/>
                    <w:rPr>
                      <w:rFonts w:hint="default" w:eastAsia="宋体"/>
                      <w:color w:val="auto"/>
                      <w:sz w:val="20"/>
                      <w:szCs w:val="20"/>
                      <w:lang w:val="en-US" w:eastAsia="zh-CN"/>
                    </w:rPr>
                  </w:pPr>
                  <w:r>
                    <w:rPr>
                      <w:rFonts w:hint="eastAsia"/>
                      <w:color w:val="auto"/>
                      <w:sz w:val="20"/>
                      <w:szCs w:val="20"/>
                      <w:lang w:val="en-US" w:eastAsia="zh-CN"/>
                    </w:rPr>
                    <w:t>750</w:t>
                  </w:r>
                </w:p>
              </w:tc>
              <w:tc>
                <w:tcPr>
                  <w:tcW w:w="402" w:type="pct"/>
                  <w:tcMar>
                    <w:left w:w="0" w:type="dxa"/>
                    <w:right w:w="0" w:type="dxa"/>
                  </w:tcMar>
                  <w:vAlign w:val="center"/>
                </w:tcPr>
                <w:p>
                  <w:pPr>
                    <w:jc w:val="center"/>
                    <w:rPr>
                      <w:color w:val="auto"/>
                      <w:sz w:val="20"/>
                      <w:szCs w:val="20"/>
                    </w:rPr>
                  </w:pPr>
                  <w:r>
                    <w:rPr>
                      <w:color w:val="auto"/>
                      <w:sz w:val="20"/>
                      <w:szCs w:val="20"/>
                    </w:rPr>
                    <w:t>pH</w:t>
                  </w:r>
                </w:p>
              </w:tc>
              <w:tc>
                <w:tcPr>
                  <w:tcW w:w="401" w:type="pct"/>
                  <w:tcMar>
                    <w:left w:w="0" w:type="dxa"/>
                    <w:right w:w="0" w:type="dxa"/>
                  </w:tcMar>
                  <w:vAlign w:val="center"/>
                </w:tcPr>
                <w:p>
                  <w:pPr>
                    <w:pStyle w:val="180"/>
                    <w:rPr>
                      <w:color w:val="auto"/>
                      <w:sz w:val="20"/>
                      <w:szCs w:val="20"/>
                      <w:lang w:val="en-US"/>
                    </w:rPr>
                  </w:pPr>
                  <w:r>
                    <w:rPr>
                      <w:rFonts w:eastAsia="等线"/>
                      <w:color w:val="auto"/>
                      <w:sz w:val="20"/>
                      <w:szCs w:val="20"/>
                      <w:lang w:val="en-US"/>
                    </w:rPr>
                    <w:t>6~9</w:t>
                  </w:r>
                </w:p>
              </w:tc>
              <w:tc>
                <w:tcPr>
                  <w:tcW w:w="459" w:type="pct"/>
                  <w:tcMar>
                    <w:left w:w="0" w:type="dxa"/>
                    <w:right w:w="0" w:type="dxa"/>
                  </w:tcMar>
                  <w:vAlign w:val="center"/>
                </w:tcPr>
                <w:p>
                  <w:pPr>
                    <w:pStyle w:val="180"/>
                    <w:rPr>
                      <w:color w:val="auto"/>
                      <w:sz w:val="20"/>
                      <w:szCs w:val="20"/>
                      <w:lang w:val="en-US"/>
                    </w:rPr>
                  </w:pPr>
                  <w:r>
                    <w:rPr>
                      <w:rFonts w:eastAsia="等线"/>
                      <w:color w:val="auto"/>
                      <w:sz w:val="20"/>
                      <w:szCs w:val="20"/>
                      <w:lang w:val="en-US"/>
                    </w:rPr>
                    <w:t>/</w:t>
                  </w:r>
                </w:p>
              </w:tc>
              <w:tc>
                <w:tcPr>
                  <w:tcW w:w="272" w:type="pct"/>
                  <w:vMerge w:val="restart"/>
                  <w:tcMar>
                    <w:left w:w="0" w:type="dxa"/>
                    <w:right w:w="0" w:type="dxa"/>
                  </w:tcMar>
                  <w:vAlign w:val="center"/>
                </w:tcPr>
                <w:p>
                  <w:pPr>
                    <w:jc w:val="center"/>
                    <w:rPr>
                      <w:color w:val="auto"/>
                      <w:sz w:val="20"/>
                      <w:szCs w:val="20"/>
                    </w:rPr>
                  </w:pPr>
                  <w:r>
                    <w:rPr>
                      <w:rFonts w:hint="eastAsia"/>
                      <w:color w:val="auto"/>
                      <w:sz w:val="20"/>
                      <w:szCs w:val="20"/>
                      <w:lang w:val="en-US" w:eastAsia="zh-CN"/>
                    </w:rPr>
                    <w:t>华胜</w:t>
                  </w:r>
                  <w:r>
                    <w:rPr>
                      <w:color w:val="auto"/>
                      <w:sz w:val="20"/>
                      <w:szCs w:val="20"/>
                    </w:rPr>
                    <w:t>化粪池</w:t>
                  </w:r>
                </w:p>
              </w:tc>
              <w:tc>
                <w:tcPr>
                  <w:tcW w:w="220" w:type="pct"/>
                  <w:tcMar>
                    <w:left w:w="0" w:type="dxa"/>
                    <w:right w:w="0" w:type="dxa"/>
                  </w:tcMar>
                  <w:vAlign w:val="center"/>
                </w:tcPr>
                <w:p>
                  <w:pPr>
                    <w:jc w:val="center"/>
                    <w:rPr>
                      <w:color w:val="auto"/>
                      <w:sz w:val="20"/>
                      <w:szCs w:val="20"/>
                    </w:rPr>
                  </w:pPr>
                  <w:r>
                    <w:rPr>
                      <w:rFonts w:hint="eastAsia"/>
                      <w:color w:val="auto"/>
                      <w:sz w:val="20"/>
                      <w:szCs w:val="20"/>
                    </w:rPr>
                    <w:t>/</w:t>
                  </w:r>
                </w:p>
              </w:tc>
              <w:tc>
                <w:tcPr>
                  <w:tcW w:w="366" w:type="pct"/>
                  <w:vMerge w:val="restart"/>
                  <w:vAlign w:val="center"/>
                </w:tcPr>
                <w:p>
                  <w:pPr>
                    <w:jc w:val="center"/>
                    <w:rPr>
                      <w:rFonts w:hint="default" w:eastAsia="宋体"/>
                      <w:color w:val="auto"/>
                      <w:sz w:val="20"/>
                      <w:szCs w:val="20"/>
                      <w:lang w:val="en-US" w:eastAsia="zh-CN"/>
                    </w:rPr>
                  </w:pPr>
                  <w:r>
                    <w:rPr>
                      <w:rFonts w:hint="eastAsia"/>
                      <w:color w:val="auto"/>
                      <w:sz w:val="20"/>
                      <w:szCs w:val="20"/>
                      <w:lang w:val="en-US" w:eastAsia="zh-CN"/>
                    </w:rPr>
                    <w:t>600</w:t>
                  </w:r>
                </w:p>
              </w:tc>
              <w:tc>
                <w:tcPr>
                  <w:tcW w:w="456" w:type="pct"/>
                  <w:tcMar>
                    <w:left w:w="0" w:type="dxa"/>
                    <w:right w:w="0" w:type="dxa"/>
                  </w:tcMar>
                  <w:vAlign w:val="center"/>
                </w:tcPr>
                <w:p>
                  <w:pPr>
                    <w:jc w:val="center"/>
                    <w:rPr>
                      <w:color w:val="auto"/>
                      <w:sz w:val="20"/>
                      <w:szCs w:val="20"/>
                    </w:rPr>
                  </w:pPr>
                  <w:r>
                    <w:rPr>
                      <w:color w:val="auto"/>
                      <w:sz w:val="20"/>
                      <w:szCs w:val="20"/>
                    </w:rPr>
                    <w:t>pH</w:t>
                  </w:r>
                </w:p>
              </w:tc>
              <w:tc>
                <w:tcPr>
                  <w:tcW w:w="457" w:type="pct"/>
                  <w:vAlign w:val="center"/>
                </w:tcPr>
                <w:p>
                  <w:pPr>
                    <w:jc w:val="center"/>
                    <w:rPr>
                      <w:color w:val="auto"/>
                      <w:sz w:val="20"/>
                      <w:szCs w:val="20"/>
                    </w:rPr>
                  </w:pPr>
                  <w:r>
                    <w:rPr>
                      <w:rFonts w:hint="eastAsia"/>
                      <w:color w:val="auto"/>
                      <w:sz w:val="20"/>
                      <w:szCs w:val="20"/>
                    </w:rPr>
                    <w:t>6-9</w:t>
                  </w:r>
                </w:p>
              </w:tc>
              <w:tc>
                <w:tcPr>
                  <w:tcW w:w="404" w:type="pct"/>
                  <w:tcMar>
                    <w:left w:w="0" w:type="dxa"/>
                    <w:right w:w="0" w:type="dxa"/>
                  </w:tcMar>
                  <w:vAlign w:val="center"/>
                </w:tcPr>
                <w:p>
                  <w:pPr>
                    <w:jc w:val="center"/>
                    <w:rPr>
                      <w:color w:val="auto"/>
                      <w:sz w:val="20"/>
                      <w:szCs w:val="20"/>
                    </w:rPr>
                  </w:pPr>
                  <w:r>
                    <w:rPr>
                      <w:rFonts w:hint="eastAsia"/>
                      <w:color w:val="auto"/>
                      <w:sz w:val="20"/>
                      <w:szCs w:val="20"/>
                    </w:rPr>
                    <w:t>/</w:t>
                  </w:r>
                </w:p>
              </w:tc>
              <w:tc>
                <w:tcPr>
                  <w:tcW w:w="401" w:type="pct"/>
                  <w:vAlign w:val="center"/>
                </w:tcPr>
                <w:p>
                  <w:pPr>
                    <w:jc w:val="center"/>
                    <w:rPr>
                      <w:color w:val="auto"/>
                      <w:sz w:val="20"/>
                      <w:szCs w:val="20"/>
                    </w:rPr>
                  </w:pPr>
                  <w:r>
                    <w:rPr>
                      <w:rFonts w:hint="eastAsia"/>
                      <w:color w:val="auto"/>
                      <w:sz w:val="20"/>
                      <w:szCs w:val="20"/>
                    </w:rPr>
                    <w:t>6-9</w:t>
                  </w:r>
                </w:p>
              </w:tc>
              <w:tc>
                <w:tcPr>
                  <w:tcW w:w="285" w:type="pct"/>
                  <w:vMerge w:val="restart"/>
                  <w:vAlign w:val="center"/>
                </w:tcPr>
                <w:p>
                  <w:pPr>
                    <w:jc w:val="center"/>
                    <w:rPr>
                      <w:rFonts w:hint="default" w:eastAsia="宋体"/>
                      <w:color w:val="auto"/>
                      <w:sz w:val="20"/>
                      <w:szCs w:val="20"/>
                      <w:lang w:val="en-US" w:eastAsia="zh-CN"/>
                    </w:rPr>
                  </w:pPr>
                  <w:r>
                    <w:rPr>
                      <w:rFonts w:hint="eastAsia"/>
                      <w:color w:val="auto"/>
                      <w:sz w:val="20"/>
                      <w:szCs w:val="20"/>
                      <w:lang w:val="en-US" w:eastAsia="zh-CN"/>
                    </w:rPr>
                    <w:t>依托华胜污水排口接管如皋市九华镇污水处理厂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18"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tcMar>
                    <w:left w:w="0" w:type="dxa"/>
                    <w:right w:w="0" w:type="dxa"/>
                  </w:tcMar>
                  <w:vAlign w:val="center"/>
                </w:tcPr>
                <w:p>
                  <w:pPr>
                    <w:jc w:val="center"/>
                    <w:rPr>
                      <w:color w:val="auto"/>
                      <w:sz w:val="20"/>
                      <w:szCs w:val="20"/>
                    </w:rPr>
                  </w:pPr>
                  <w:r>
                    <w:rPr>
                      <w:color w:val="auto"/>
                      <w:sz w:val="20"/>
                      <w:szCs w:val="20"/>
                    </w:rPr>
                    <w:t>COD</w:t>
                  </w:r>
                </w:p>
              </w:tc>
              <w:tc>
                <w:tcPr>
                  <w:tcW w:w="401" w:type="pct"/>
                  <w:tcMar>
                    <w:left w:w="0" w:type="dxa"/>
                    <w:right w:w="0" w:type="dxa"/>
                  </w:tcMar>
                  <w:vAlign w:val="center"/>
                </w:tcPr>
                <w:p>
                  <w:pPr>
                    <w:jc w:val="center"/>
                    <w:rPr>
                      <w:rFonts w:hint="default" w:eastAsia="宋体"/>
                      <w:color w:val="auto"/>
                      <w:sz w:val="20"/>
                      <w:szCs w:val="20"/>
                      <w:lang w:val="en-US" w:eastAsia="zh-CN"/>
                    </w:rPr>
                  </w:pPr>
                  <w:r>
                    <w:rPr>
                      <w:rFonts w:hint="eastAsia"/>
                      <w:bCs/>
                      <w:color w:val="000000"/>
                      <w:sz w:val="20"/>
                      <w:szCs w:val="20"/>
                    </w:rPr>
                    <w:t>3</w:t>
                  </w:r>
                  <w:r>
                    <w:rPr>
                      <w:rFonts w:hint="eastAsia"/>
                      <w:bCs/>
                      <w:color w:val="000000"/>
                      <w:sz w:val="20"/>
                      <w:szCs w:val="20"/>
                      <w:lang w:val="en-US" w:eastAsia="zh-CN"/>
                    </w:rPr>
                    <w:t>40</w:t>
                  </w:r>
                </w:p>
              </w:tc>
              <w:tc>
                <w:tcPr>
                  <w:tcW w:w="459" w:type="pct"/>
                  <w:tcMar>
                    <w:left w:w="0" w:type="dxa"/>
                    <w:right w:w="0" w:type="dxa"/>
                  </w:tcMar>
                  <w:vAlign w:val="center"/>
                </w:tcPr>
                <w:p>
                  <w:pPr>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0.255</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40</w:t>
                  </w:r>
                </w:p>
              </w:tc>
              <w:tc>
                <w:tcPr>
                  <w:tcW w:w="366" w:type="pct"/>
                  <w:vMerge w:val="continue"/>
                  <w:vAlign w:val="center"/>
                </w:tcPr>
                <w:p>
                  <w:pPr>
                    <w:jc w:val="center"/>
                    <w:rPr>
                      <w:color w:val="auto"/>
                      <w:sz w:val="20"/>
                      <w:szCs w:val="20"/>
                    </w:rPr>
                  </w:pPr>
                </w:p>
              </w:tc>
              <w:tc>
                <w:tcPr>
                  <w:tcW w:w="456" w:type="pct"/>
                  <w:tcMar>
                    <w:left w:w="0" w:type="dxa"/>
                    <w:right w:w="0" w:type="dxa"/>
                  </w:tcMar>
                  <w:vAlign w:val="center"/>
                </w:tcPr>
                <w:p>
                  <w:pPr>
                    <w:jc w:val="center"/>
                    <w:rPr>
                      <w:color w:val="auto"/>
                      <w:sz w:val="20"/>
                      <w:szCs w:val="20"/>
                    </w:rPr>
                  </w:pPr>
                  <w:r>
                    <w:rPr>
                      <w:color w:val="auto"/>
                      <w:sz w:val="20"/>
                      <w:szCs w:val="20"/>
                    </w:rPr>
                    <w:t>COD</w:t>
                  </w:r>
                </w:p>
              </w:tc>
              <w:tc>
                <w:tcPr>
                  <w:tcW w:w="457" w:type="pct"/>
                  <w:vAlign w:val="center"/>
                </w:tcPr>
                <w:p>
                  <w:pPr>
                    <w:jc w:val="center"/>
                    <w:rPr>
                      <w:rFonts w:hint="default" w:eastAsia="宋体"/>
                      <w:color w:val="auto"/>
                      <w:sz w:val="20"/>
                      <w:szCs w:val="20"/>
                      <w:lang w:val="en-US" w:eastAsia="zh-CN"/>
                    </w:rPr>
                  </w:pPr>
                  <w:r>
                    <w:rPr>
                      <w:rFonts w:hint="eastAsia"/>
                      <w:color w:val="auto"/>
                      <w:sz w:val="20"/>
                      <w:szCs w:val="20"/>
                      <w:lang w:val="en-US" w:eastAsia="zh-CN"/>
                    </w:rPr>
                    <w:t>204</w:t>
                  </w:r>
                </w:p>
              </w:tc>
              <w:tc>
                <w:tcPr>
                  <w:tcW w:w="404" w:type="pct"/>
                  <w:tcMar>
                    <w:left w:w="0" w:type="dxa"/>
                    <w:right w:w="0" w:type="dxa"/>
                  </w:tcMar>
                  <w:vAlign w:val="center"/>
                </w:tcPr>
                <w:p>
                  <w:pPr>
                    <w:jc w:val="center"/>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0.1224</w:t>
                  </w:r>
                </w:p>
              </w:tc>
              <w:tc>
                <w:tcPr>
                  <w:tcW w:w="401" w:type="pct"/>
                  <w:vAlign w:val="center"/>
                </w:tcPr>
                <w:p>
                  <w:pPr>
                    <w:jc w:val="center"/>
                    <w:rPr>
                      <w:color w:val="auto"/>
                      <w:sz w:val="20"/>
                      <w:szCs w:val="20"/>
                    </w:rPr>
                  </w:pPr>
                  <w:r>
                    <w:rPr>
                      <w:rFonts w:hint="eastAsia"/>
                      <w:color w:val="auto"/>
                      <w:sz w:val="20"/>
                      <w:szCs w:val="20"/>
                    </w:rPr>
                    <w:t>500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tcMar>
                    <w:left w:w="0" w:type="dxa"/>
                    <w:right w:w="0" w:type="dxa"/>
                  </w:tcMar>
                  <w:vAlign w:val="center"/>
                </w:tcPr>
                <w:p>
                  <w:pPr>
                    <w:jc w:val="center"/>
                    <w:rPr>
                      <w:color w:val="auto"/>
                      <w:sz w:val="20"/>
                      <w:szCs w:val="20"/>
                    </w:rPr>
                  </w:pPr>
                  <w:r>
                    <w:rPr>
                      <w:color w:val="auto"/>
                      <w:sz w:val="20"/>
                      <w:szCs w:val="20"/>
                    </w:rPr>
                    <w:t>SS</w:t>
                  </w:r>
                </w:p>
              </w:tc>
              <w:tc>
                <w:tcPr>
                  <w:tcW w:w="401" w:type="pct"/>
                  <w:tcMar>
                    <w:left w:w="0" w:type="dxa"/>
                    <w:right w:w="0" w:type="dxa"/>
                  </w:tcMar>
                  <w:vAlign w:val="center"/>
                </w:tcPr>
                <w:p>
                  <w:pPr>
                    <w:jc w:val="center"/>
                    <w:rPr>
                      <w:rFonts w:hint="default" w:eastAsia="宋体"/>
                      <w:color w:val="auto"/>
                      <w:sz w:val="20"/>
                      <w:szCs w:val="20"/>
                      <w:lang w:val="en-US" w:eastAsia="zh-CN"/>
                    </w:rPr>
                  </w:pPr>
                  <w:r>
                    <w:rPr>
                      <w:rFonts w:hint="eastAsia"/>
                      <w:bCs/>
                      <w:color w:val="000000"/>
                      <w:sz w:val="20"/>
                      <w:szCs w:val="20"/>
                    </w:rPr>
                    <w:t>2</w:t>
                  </w:r>
                  <w:r>
                    <w:rPr>
                      <w:rFonts w:hint="eastAsia"/>
                      <w:bCs/>
                      <w:color w:val="000000"/>
                      <w:sz w:val="20"/>
                      <w:szCs w:val="20"/>
                      <w:lang w:val="en-US" w:eastAsia="zh-CN"/>
                    </w:rPr>
                    <w:t>00</w:t>
                  </w:r>
                </w:p>
              </w:tc>
              <w:tc>
                <w:tcPr>
                  <w:tcW w:w="459" w:type="pct"/>
                  <w:tcMar>
                    <w:left w:w="0" w:type="dxa"/>
                    <w:right w:w="0" w:type="dxa"/>
                  </w:tcMar>
                  <w:vAlign w:val="center"/>
                </w:tcPr>
                <w:p>
                  <w:pPr>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0.15</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50</w:t>
                  </w:r>
                </w:p>
              </w:tc>
              <w:tc>
                <w:tcPr>
                  <w:tcW w:w="366" w:type="pct"/>
                  <w:vMerge w:val="continue"/>
                  <w:vAlign w:val="center"/>
                </w:tcPr>
                <w:p>
                  <w:pPr>
                    <w:jc w:val="center"/>
                    <w:rPr>
                      <w:color w:val="auto"/>
                      <w:sz w:val="20"/>
                      <w:szCs w:val="20"/>
                    </w:rPr>
                  </w:pPr>
                </w:p>
              </w:tc>
              <w:tc>
                <w:tcPr>
                  <w:tcW w:w="456" w:type="pct"/>
                  <w:tcMar>
                    <w:left w:w="0" w:type="dxa"/>
                    <w:right w:w="0" w:type="dxa"/>
                  </w:tcMar>
                  <w:vAlign w:val="center"/>
                </w:tcPr>
                <w:p>
                  <w:pPr>
                    <w:jc w:val="center"/>
                    <w:rPr>
                      <w:color w:val="auto"/>
                      <w:sz w:val="20"/>
                      <w:szCs w:val="20"/>
                    </w:rPr>
                  </w:pPr>
                  <w:r>
                    <w:rPr>
                      <w:color w:val="auto"/>
                      <w:sz w:val="20"/>
                      <w:szCs w:val="20"/>
                    </w:rPr>
                    <w:t>SS</w:t>
                  </w:r>
                </w:p>
              </w:tc>
              <w:tc>
                <w:tcPr>
                  <w:tcW w:w="457" w:type="pct"/>
                  <w:vAlign w:val="center"/>
                </w:tcPr>
                <w:p>
                  <w:pPr>
                    <w:jc w:val="center"/>
                    <w:rPr>
                      <w:rFonts w:hint="default" w:eastAsia="宋体"/>
                      <w:color w:val="auto"/>
                      <w:sz w:val="20"/>
                      <w:szCs w:val="20"/>
                      <w:lang w:val="en-US" w:eastAsia="zh-CN"/>
                    </w:rPr>
                  </w:pPr>
                  <w:r>
                    <w:rPr>
                      <w:rFonts w:hint="eastAsia"/>
                      <w:color w:val="auto"/>
                      <w:sz w:val="20"/>
                      <w:szCs w:val="20"/>
                      <w:lang w:val="en-US" w:eastAsia="zh-CN"/>
                    </w:rPr>
                    <w:t>100</w:t>
                  </w:r>
                </w:p>
              </w:tc>
              <w:tc>
                <w:tcPr>
                  <w:tcW w:w="404" w:type="pct"/>
                  <w:tcMar>
                    <w:left w:w="0" w:type="dxa"/>
                    <w:right w:w="0" w:type="dxa"/>
                  </w:tcMar>
                  <w:vAlign w:val="center"/>
                </w:tcPr>
                <w:p>
                  <w:pPr>
                    <w:jc w:val="center"/>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0.06</w:t>
                  </w:r>
                </w:p>
              </w:tc>
              <w:tc>
                <w:tcPr>
                  <w:tcW w:w="401" w:type="pct"/>
                  <w:vAlign w:val="center"/>
                </w:tcPr>
                <w:p>
                  <w:pPr>
                    <w:jc w:val="center"/>
                    <w:rPr>
                      <w:color w:val="auto"/>
                      <w:sz w:val="20"/>
                      <w:szCs w:val="20"/>
                    </w:rPr>
                  </w:pPr>
                  <w:r>
                    <w:rPr>
                      <w:rFonts w:hint="eastAsia"/>
                      <w:color w:val="auto"/>
                      <w:sz w:val="20"/>
                      <w:szCs w:val="20"/>
                    </w:rPr>
                    <w:t>400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tcMar>
                    <w:left w:w="0" w:type="dxa"/>
                    <w:right w:w="0" w:type="dxa"/>
                  </w:tcMar>
                  <w:vAlign w:val="center"/>
                </w:tcPr>
                <w:p>
                  <w:pPr>
                    <w:jc w:val="center"/>
                    <w:rPr>
                      <w:color w:val="auto"/>
                      <w:sz w:val="20"/>
                      <w:szCs w:val="20"/>
                    </w:rPr>
                  </w:pPr>
                  <w:r>
                    <w:rPr>
                      <w:color w:val="auto"/>
                      <w:sz w:val="20"/>
                      <w:szCs w:val="20"/>
                    </w:rPr>
                    <w:t>氨氮</w:t>
                  </w:r>
                </w:p>
              </w:tc>
              <w:tc>
                <w:tcPr>
                  <w:tcW w:w="401" w:type="pct"/>
                  <w:tcMar>
                    <w:left w:w="0" w:type="dxa"/>
                    <w:right w:w="0" w:type="dxa"/>
                  </w:tcMar>
                  <w:vAlign w:val="center"/>
                </w:tcPr>
                <w:p>
                  <w:pPr>
                    <w:jc w:val="center"/>
                    <w:rPr>
                      <w:rFonts w:hint="default" w:eastAsia="宋体"/>
                      <w:color w:val="auto"/>
                      <w:sz w:val="20"/>
                      <w:szCs w:val="20"/>
                      <w:lang w:val="en-US" w:eastAsia="zh-CN"/>
                    </w:rPr>
                  </w:pPr>
                  <w:r>
                    <w:rPr>
                      <w:rFonts w:hint="eastAsia"/>
                      <w:bCs/>
                      <w:color w:val="000000"/>
                      <w:sz w:val="20"/>
                      <w:szCs w:val="20"/>
                      <w:lang w:val="en-US" w:eastAsia="zh-CN"/>
                    </w:rPr>
                    <w:t>32.6</w:t>
                  </w:r>
                </w:p>
              </w:tc>
              <w:tc>
                <w:tcPr>
                  <w:tcW w:w="459" w:type="pct"/>
                  <w:tcMar>
                    <w:left w:w="0" w:type="dxa"/>
                    <w:right w:w="0" w:type="dxa"/>
                  </w:tcMar>
                  <w:vAlign w:val="center"/>
                </w:tcPr>
                <w:p>
                  <w:pPr>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0.0245</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10</w:t>
                  </w:r>
                </w:p>
              </w:tc>
              <w:tc>
                <w:tcPr>
                  <w:tcW w:w="366" w:type="pct"/>
                  <w:vMerge w:val="continue"/>
                  <w:vAlign w:val="center"/>
                </w:tcPr>
                <w:p>
                  <w:pPr>
                    <w:jc w:val="center"/>
                    <w:rPr>
                      <w:color w:val="auto"/>
                      <w:sz w:val="20"/>
                      <w:szCs w:val="20"/>
                    </w:rPr>
                  </w:pPr>
                </w:p>
              </w:tc>
              <w:tc>
                <w:tcPr>
                  <w:tcW w:w="456" w:type="pct"/>
                  <w:tcMar>
                    <w:left w:w="0" w:type="dxa"/>
                    <w:right w:w="0" w:type="dxa"/>
                  </w:tcMar>
                  <w:vAlign w:val="center"/>
                </w:tcPr>
                <w:p>
                  <w:pPr>
                    <w:jc w:val="center"/>
                    <w:rPr>
                      <w:color w:val="auto"/>
                      <w:sz w:val="20"/>
                      <w:szCs w:val="20"/>
                    </w:rPr>
                  </w:pPr>
                  <w:r>
                    <w:rPr>
                      <w:color w:val="auto"/>
                      <w:sz w:val="20"/>
                      <w:szCs w:val="20"/>
                    </w:rPr>
                    <w:t>氨氮</w:t>
                  </w:r>
                </w:p>
              </w:tc>
              <w:tc>
                <w:tcPr>
                  <w:tcW w:w="457" w:type="pct"/>
                  <w:vAlign w:val="center"/>
                </w:tcPr>
                <w:p>
                  <w:pPr>
                    <w:jc w:val="center"/>
                    <w:rPr>
                      <w:rFonts w:hint="default" w:eastAsia="宋体"/>
                      <w:color w:val="auto"/>
                      <w:sz w:val="20"/>
                      <w:szCs w:val="20"/>
                      <w:lang w:val="en-US" w:eastAsia="zh-CN"/>
                    </w:rPr>
                  </w:pPr>
                  <w:r>
                    <w:rPr>
                      <w:rFonts w:hint="eastAsia"/>
                      <w:color w:val="auto"/>
                      <w:sz w:val="20"/>
                      <w:szCs w:val="20"/>
                      <w:lang w:val="en-US" w:eastAsia="zh-CN"/>
                    </w:rPr>
                    <w:t>29.3</w:t>
                  </w:r>
                </w:p>
              </w:tc>
              <w:tc>
                <w:tcPr>
                  <w:tcW w:w="404" w:type="pct"/>
                  <w:tcMar>
                    <w:left w:w="0" w:type="dxa"/>
                    <w:right w:w="0" w:type="dxa"/>
                  </w:tcMar>
                  <w:vAlign w:val="center"/>
                </w:tcPr>
                <w:p>
                  <w:pPr>
                    <w:jc w:val="center"/>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0.0176</w:t>
                  </w:r>
                </w:p>
              </w:tc>
              <w:tc>
                <w:tcPr>
                  <w:tcW w:w="401" w:type="pct"/>
                  <w:vAlign w:val="center"/>
                </w:tcPr>
                <w:p>
                  <w:pPr>
                    <w:jc w:val="center"/>
                    <w:rPr>
                      <w:color w:val="auto"/>
                      <w:sz w:val="20"/>
                      <w:szCs w:val="20"/>
                    </w:rPr>
                  </w:pPr>
                  <w:r>
                    <w:rPr>
                      <w:rFonts w:hint="eastAsia"/>
                      <w:color w:val="auto"/>
                      <w:sz w:val="20"/>
                      <w:szCs w:val="20"/>
                    </w:rPr>
                    <w:t>45</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tcMar>
                    <w:left w:w="0" w:type="dxa"/>
                    <w:right w:w="0" w:type="dxa"/>
                  </w:tcMar>
                  <w:vAlign w:val="center"/>
                </w:tcPr>
                <w:p>
                  <w:pPr>
                    <w:jc w:val="center"/>
                    <w:rPr>
                      <w:color w:val="auto"/>
                      <w:sz w:val="20"/>
                      <w:szCs w:val="20"/>
                    </w:rPr>
                  </w:pPr>
                  <w:r>
                    <w:rPr>
                      <w:color w:val="auto"/>
                      <w:sz w:val="20"/>
                      <w:szCs w:val="20"/>
                    </w:rPr>
                    <w:t>总氮</w:t>
                  </w:r>
                </w:p>
              </w:tc>
              <w:tc>
                <w:tcPr>
                  <w:tcW w:w="401" w:type="pct"/>
                  <w:tcMar>
                    <w:left w:w="0" w:type="dxa"/>
                    <w:right w:w="0" w:type="dxa"/>
                  </w:tcMar>
                  <w:vAlign w:val="center"/>
                </w:tcPr>
                <w:p>
                  <w:pPr>
                    <w:jc w:val="center"/>
                    <w:rPr>
                      <w:rFonts w:hint="default" w:eastAsia="宋体"/>
                      <w:color w:val="auto"/>
                      <w:sz w:val="20"/>
                      <w:szCs w:val="20"/>
                      <w:lang w:val="en-US" w:eastAsia="zh-CN"/>
                    </w:rPr>
                  </w:pPr>
                  <w:r>
                    <w:rPr>
                      <w:rFonts w:hint="eastAsia"/>
                      <w:bCs/>
                      <w:color w:val="000000"/>
                      <w:sz w:val="20"/>
                      <w:szCs w:val="20"/>
                      <w:lang w:val="en-US" w:eastAsia="zh-CN"/>
                    </w:rPr>
                    <w:t>44.8</w:t>
                  </w:r>
                </w:p>
              </w:tc>
              <w:tc>
                <w:tcPr>
                  <w:tcW w:w="459" w:type="pct"/>
                  <w:tcMar>
                    <w:left w:w="0" w:type="dxa"/>
                    <w:right w:w="0" w:type="dxa"/>
                  </w:tcMar>
                  <w:vAlign w:val="center"/>
                </w:tcPr>
                <w:p>
                  <w:pPr>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0.0336</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color w:val="auto"/>
                      <w:sz w:val="20"/>
                      <w:szCs w:val="20"/>
                    </w:rPr>
                  </w:pPr>
                  <w:r>
                    <w:rPr>
                      <w:rFonts w:hint="eastAsia"/>
                      <w:color w:val="auto"/>
                      <w:sz w:val="20"/>
                      <w:szCs w:val="20"/>
                    </w:rPr>
                    <w:t>/</w:t>
                  </w:r>
                </w:p>
              </w:tc>
              <w:tc>
                <w:tcPr>
                  <w:tcW w:w="366" w:type="pct"/>
                  <w:vMerge w:val="continue"/>
                  <w:vAlign w:val="center"/>
                </w:tcPr>
                <w:p>
                  <w:pPr>
                    <w:jc w:val="center"/>
                    <w:rPr>
                      <w:color w:val="auto"/>
                      <w:sz w:val="20"/>
                      <w:szCs w:val="20"/>
                    </w:rPr>
                  </w:pPr>
                </w:p>
              </w:tc>
              <w:tc>
                <w:tcPr>
                  <w:tcW w:w="456" w:type="pct"/>
                  <w:tcMar>
                    <w:left w:w="0" w:type="dxa"/>
                    <w:right w:w="0" w:type="dxa"/>
                  </w:tcMar>
                  <w:vAlign w:val="center"/>
                </w:tcPr>
                <w:p>
                  <w:pPr>
                    <w:jc w:val="center"/>
                    <w:rPr>
                      <w:color w:val="auto"/>
                      <w:sz w:val="20"/>
                      <w:szCs w:val="20"/>
                    </w:rPr>
                  </w:pPr>
                  <w:r>
                    <w:rPr>
                      <w:color w:val="auto"/>
                      <w:sz w:val="20"/>
                      <w:szCs w:val="20"/>
                    </w:rPr>
                    <w:t>总氮</w:t>
                  </w:r>
                </w:p>
              </w:tc>
              <w:tc>
                <w:tcPr>
                  <w:tcW w:w="457" w:type="pct"/>
                  <w:vAlign w:val="center"/>
                </w:tcPr>
                <w:p>
                  <w:pPr>
                    <w:jc w:val="center"/>
                    <w:rPr>
                      <w:rFonts w:hint="default" w:eastAsia="宋体"/>
                      <w:color w:val="auto"/>
                      <w:sz w:val="20"/>
                      <w:szCs w:val="20"/>
                      <w:lang w:val="en-US" w:eastAsia="zh-CN"/>
                    </w:rPr>
                  </w:pPr>
                  <w:r>
                    <w:rPr>
                      <w:rFonts w:hint="eastAsia"/>
                      <w:bCs/>
                      <w:color w:val="000000"/>
                      <w:sz w:val="20"/>
                      <w:szCs w:val="20"/>
                      <w:lang w:val="en-US" w:eastAsia="zh-CN"/>
                    </w:rPr>
                    <w:t>44.8</w:t>
                  </w:r>
                </w:p>
              </w:tc>
              <w:tc>
                <w:tcPr>
                  <w:tcW w:w="404" w:type="pct"/>
                  <w:tcMar>
                    <w:left w:w="0" w:type="dxa"/>
                    <w:right w:w="0" w:type="dxa"/>
                  </w:tcMar>
                  <w:vAlign w:val="center"/>
                </w:tcPr>
                <w:p>
                  <w:pPr>
                    <w:jc w:val="center"/>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0.0269</w:t>
                  </w:r>
                </w:p>
              </w:tc>
              <w:tc>
                <w:tcPr>
                  <w:tcW w:w="401" w:type="pct"/>
                  <w:vAlign w:val="center"/>
                </w:tcPr>
                <w:p>
                  <w:pPr>
                    <w:jc w:val="center"/>
                    <w:rPr>
                      <w:color w:val="auto"/>
                      <w:sz w:val="20"/>
                      <w:szCs w:val="20"/>
                    </w:rPr>
                  </w:pPr>
                  <w:r>
                    <w:rPr>
                      <w:rFonts w:hint="eastAsia"/>
                      <w:color w:val="auto"/>
                      <w:sz w:val="20"/>
                      <w:szCs w:val="20"/>
                    </w:rPr>
                    <w:t>70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tcMar>
                    <w:left w:w="0" w:type="dxa"/>
                    <w:right w:w="0" w:type="dxa"/>
                  </w:tcMar>
                  <w:vAlign w:val="center"/>
                </w:tcPr>
                <w:p>
                  <w:pPr>
                    <w:jc w:val="center"/>
                    <w:rPr>
                      <w:color w:val="auto"/>
                      <w:sz w:val="20"/>
                      <w:szCs w:val="20"/>
                    </w:rPr>
                  </w:pPr>
                  <w:r>
                    <w:rPr>
                      <w:color w:val="auto"/>
                      <w:sz w:val="20"/>
                      <w:szCs w:val="20"/>
                    </w:rPr>
                    <w:t>总磷</w:t>
                  </w:r>
                </w:p>
              </w:tc>
              <w:tc>
                <w:tcPr>
                  <w:tcW w:w="401" w:type="pct"/>
                  <w:tcMar>
                    <w:left w:w="0" w:type="dxa"/>
                    <w:right w:w="0" w:type="dxa"/>
                  </w:tcMar>
                  <w:vAlign w:val="center"/>
                </w:tcPr>
                <w:p>
                  <w:pPr>
                    <w:jc w:val="center"/>
                    <w:rPr>
                      <w:rFonts w:hint="default" w:eastAsia="宋体"/>
                      <w:color w:val="auto"/>
                      <w:sz w:val="20"/>
                      <w:szCs w:val="20"/>
                      <w:lang w:val="en-US" w:eastAsia="zh-CN"/>
                    </w:rPr>
                  </w:pPr>
                  <w:r>
                    <w:rPr>
                      <w:rFonts w:hint="eastAsia"/>
                      <w:bCs/>
                      <w:color w:val="000000"/>
                      <w:sz w:val="20"/>
                      <w:szCs w:val="20"/>
                      <w:lang w:val="en-US" w:eastAsia="zh-CN"/>
                    </w:rPr>
                    <w:t>4.27</w:t>
                  </w:r>
                </w:p>
              </w:tc>
              <w:tc>
                <w:tcPr>
                  <w:tcW w:w="459" w:type="pct"/>
                  <w:tcMar>
                    <w:left w:w="0" w:type="dxa"/>
                    <w:right w:w="0" w:type="dxa"/>
                  </w:tcMar>
                  <w:vAlign w:val="center"/>
                </w:tcPr>
                <w:p>
                  <w:pPr>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0.0032</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rFonts w:hint="eastAsia" w:eastAsia="宋体"/>
                      <w:color w:val="auto"/>
                      <w:sz w:val="20"/>
                      <w:szCs w:val="20"/>
                      <w:lang w:eastAsia="zh-CN"/>
                    </w:rPr>
                  </w:pPr>
                  <w:r>
                    <w:rPr>
                      <w:rFonts w:hint="eastAsia"/>
                      <w:color w:val="auto"/>
                      <w:sz w:val="20"/>
                      <w:szCs w:val="20"/>
                      <w:lang w:val="en-US" w:eastAsia="zh-CN"/>
                    </w:rPr>
                    <w:t>/</w:t>
                  </w:r>
                </w:p>
              </w:tc>
              <w:tc>
                <w:tcPr>
                  <w:tcW w:w="366" w:type="pct"/>
                  <w:vMerge w:val="continue"/>
                  <w:vAlign w:val="center"/>
                </w:tcPr>
                <w:p>
                  <w:pPr>
                    <w:jc w:val="center"/>
                    <w:rPr>
                      <w:color w:val="auto"/>
                      <w:sz w:val="20"/>
                      <w:szCs w:val="20"/>
                    </w:rPr>
                  </w:pPr>
                </w:p>
              </w:tc>
              <w:tc>
                <w:tcPr>
                  <w:tcW w:w="456" w:type="pct"/>
                  <w:tcMar>
                    <w:left w:w="0" w:type="dxa"/>
                    <w:right w:w="0" w:type="dxa"/>
                  </w:tcMar>
                  <w:vAlign w:val="center"/>
                </w:tcPr>
                <w:p>
                  <w:pPr>
                    <w:jc w:val="center"/>
                    <w:rPr>
                      <w:color w:val="auto"/>
                      <w:sz w:val="20"/>
                      <w:szCs w:val="20"/>
                    </w:rPr>
                  </w:pPr>
                  <w:r>
                    <w:rPr>
                      <w:color w:val="auto"/>
                      <w:sz w:val="20"/>
                      <w:szCs w:val="20"/>
                    </w:rPr>
                    <w:t>总磷</w:t>
                  </w:r>
                </w:p>
              </w:tc>
              <w:tc>
                <w:tcPr>
                  <w:tcW w:w="457" w:type="pct"/>
                  <w:vAlign w:val="center"/>
                </w:tcPr>
                <w:p>
                  <w:pPr>
                    <w:jc w:val="center"/>
                    <w:rPr>
                      <w:rFonts w:hint="eastAsia" w:eastAsia="宋体"/>
                      <w:color w:val="auto"/>
                      <w:sz w:val="20"/>
                      <w:szCs w:val="20"/>
                      <w:lang w:eastAsia="zh-CN"/>
                    </w:rPr>
                  </w:pPr>
                  <w:r>
                    <w:rPr>
                      <w:rFonts w:hint="eastAsia"/>
                      <w:bCs/>
                      <w:color w:val="000000"/>
                      <w:sz w:val="20"/>
                      <w:szCs w:val="20"/>
                      <w:lang w:val="en-US" w:eastAsia="zh-CN"/>
                    </w:rPr>
                    <w:t>4.27</w:t>
                  </w:r>
                </w:p>
              </w:tc>
              <w:tc>
                <w:tcPr>
                  <w:tcW w:w="404" w:type="pct"/>
                  <w:tcMar>
                    <w:left w:w="0" w:type="dxa"/>
                    <w:right w:w="0" w:type="dxa"/>
                  </w:tcMar>
                  <w:vAlign w:val="center"/>
                </w:tcPr>
                <w:p>
                  <w:pPr>
                    <w:jc w:val="center"/>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0.0026</w:t>
                  </w:r>
                </w:p>
              </w:tc>
              <w:tc>
                <w:tcPr>
                  <w:tcW w:w="401" w:type="pct"/>
                  <w:vAlign w:val="center"/>
                </w:tcPr>
                <w:p>
                  <w:pPr>
                    <w:jc w:val="center"/>
                    <w:rPr>
                      <w:color w:val="auto"/>
                      <w:sz w:val="20"/>
                      <w:szCs w:val="20"/>
                    </w:rPr>
                  </w:pPr>
                  <w:r>
                    <w:rPr>
                      <w:rFonts w:hint="eastAsia"/>
                      <w:color w:val="auto"/>
                      <w:sz w:val="20"/>
                      <w:szCs w:val="20"/>
                    </w:rPr>
                    <w:t>8</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restart"/>
                  <w:tcMar>
                    <w:left w:w="0" w:type="dxa"/>
                    <w:right w:w="0" w:type="dxa"/>
                  </w:tcMar>
                  <w:vAlign w:val="center"/>
                </w:tcPr>
                <w:p>
                  <w:pPr>
                    <w:jc w:val="center"/>
                    <w:rPr>
                      <w:color w:val="auto"/>
                      <w:sz w:val="20"/>
                      <w:szCs w:val="20"/>
                    </w:rPr>
                  </w:pPr>
                  <w:r>
                    <w:rPr>
                      <w:rFonts w:hint="eastAsia"/>
                      <w:color w:val="auto"/>
                      <w:sz w:val="20"/>
                      <w:szCs w:val="20"/>
                      <w:lang w:val="en-US" w:eastAsia="zh-CN"/>
                    </w:rPr>
                    <w:t>喷淋</w:t>
                  </w:r>
                  <w:r>
                    <w:rPr>
                      <w:rFonts w:hint="eastAsia"/>
                      <w:color w:val="auto"/>
                      <w:sz w:val="20"/>
                      <w:szCs w:val="20"/>
                    </w:rPr>
                    <w:t>废水</w:t>
                  </w:r>
                </w:p>
              </w:tc>
              <w:tc>
                <w:tcPr>
                  <w:tcW w:w="422" w:type="pct"/>
                  <w:vMerge w:val="restart"/>
                  <w:tcMar>
                    <w:left w:w="0" w:type="dxa"/>
                    <w:right w:w="0" w:type="dxa"/>
                  </w:tcMar>
                  <w:vAlign w:val="center"/>
                </w:tcPr>
                <w:p>
                  <w:pPr>
                    <w:jc w:val="center"/>
                    <w:rPr>
                      <w:rFonts w:hint="default" w:eastAsia="宋体"/>
                      <w:color w:val="auto"/>
                      <w:sz w:val="20"/>
                      <w:szCs w:val="20"/>
                      <w:lang w:val="en-US" w:eastAsia="zh-CN"/>
                    </w:rPr>
                  </w:pPr>
                  <w:r>
                    <w:rPr>
                      <w:rFonts w:hint="eastAsia" w:eastAsia="等线"/>
                      <w:color w:val="auto"/>
                      <w:sz w:val="20"/>
                      <w:szCs w:val="20"/>
                      <w:lang w:val="en-US" w:eastAsia="zh-CN"/>
                    </w:rPr>
                    <w:t>1728</w:t>
                  </w:r>
                </w:p>
              </w:tc>
              <w:tc>
                <w:tcPr>
                  <w:tcW w:w="402" w:type="pct"/>
                  <w:tcMar>
                    <w:left w:w="0" w:type="dxa"/>
                    <w:right w:w="0" w:type="dxa"/>
                  </w:tcMar>
                  <w:vAlign w:val="center"/>
                </w:tcPr>
                <w:p>
                  <w:pPr>
                    <w:jc w:val="center"/>
                    <w:rPr>
                      <w:color w:val="auto"/>
                      <w:sz w:val="20"/>
                      <w:szCs w:val="20"/>
                    </w:rPr>
                  </w:pPr>
                  <w:r>
                    <w:rPr>
                      <w:rFonts w:eastAsia="等线"/>
                      <w:color w:val="auto"/>
                      <w:sz w:val="20"/>
                      <w:szCs w:val="20"/>
                    </w:rPr>
                    <w:t>COD</w:t>
                  </w:r>
                </w:p>
              </w:tc>
              <w:tc>
                <w:tcPr>
                  <w:tcW w:w="401" w:type="pct"/>
                  <w:tcMar>
                    <w:left w:w="0" w:type="dxa"/>
                    <w:right w:w="0" w:type="dxa"/>
                  </w:tcMar>
                  <w:vAlign w:val="center"/>
                </w:tcPr>
                <w:p>
                  <w:pPr>
                    <w:pStyle w:val="180"/>
                    <w:rPr>
                      <w:rFonts w:hint="default" w:eastAsia="宋体"/>
                      <w:color w:val="auto"/>
                      <w:sz w:val="20"/>
                      <w:szCs w:val="20"/>
                      <w:lang w:val="en-US" w:eastAsia="zh-CN"/>
                    </w:rPr>
                  </w:pPr>
                  <w:r>
                    <w:rPr>
                      <w:rFonts w:hint="eastAsia" w:eastAsia="等线"/>
                      <w:color w:val="auto"/>
                      <w:sz w:val="20"/>
                      <w:szCs w:val="20"/>
                      <w:lang w:val="en-US" w:eastAsia="zh-CN"/>
                    </w:rPr>
                    <w:t>100</w:t>
                  </w:r>
                </w:p>
              </w:tc>
              <w:tc>
                <w:tcPr>
                  <w:tcW w:w="459" w:type="pct"/>
                  <w:tcMar>
                    <w:left w:w="0" w:type="dxa"/>
                    <w:right w:w="0" w:type="dxa"/>
                  </w:tcMar>
                  <w:vAlign w:val="center"/>
                </w:tcPr>
                <w:p>
                  <w:pPr>
                    <w:pStyle w:val="180"/>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 xml:space="preserve">0.173 </w:t>
                  </w:r>
                </w:p>
              </w:tc>
              <w:tc>
                <w:tcPr>
                  <w:tcW w:w="272" w:type="pct"/>
                  <w:vMerge w:val="restart"/>
                  <w:tcMar>
                    <w:left w:w="0" w:type="dxa"/>
                    <w:right w:w="0" w:type="dxa"/>
                  </w:tcMar>
                  <w:vAlign w:val="center"/>
                </w:tcPr>
                <w:p>
                  <w:pPr>
                    <w:jc w:val="center"/>
                    <w:rPr>
                      <w:rFonts w:hint="default" w:eastAsia="宋体"/>
                      <w:color w:val="auto"/>
                      <w:sz w:val="20"/>
                      <w:szCs w:val="20"/>
                      <w:lang w:val="en-US" w:eastAsia="zh-CN"/>
                    </w:rPr>
                  </w:pPr>
                  <w:r>
                    <w:rPr>
                      <w:rFonts w:hint="eastAsia"/>
                      <w:color w:val="auto"/>
                      <w:sz w:val="20"/>
                      <w:szCs w:val="20"/>
                      <w:lang w:val="en-US" w:eastAsia="zh-CN"/>
                    </w:rPr>
                    <w:t>华胜污水处理站</w:t>
                  </w:r>
                </w:p>
              </w:tc>
              <w:tc>
                <w:tcPr>
                  <w:tcW w:w="220" w:type="pct"/>
                  <w:tcMar>
                    <w:left w:w="0" w:type="dxa"/>
                    <w:right w:w="0" w:type="dxa"/>
                  </w:tcMar>
                  <w:vAlign w:val="center"/>
                </w:tcPr>
                <w:p>
                  <w:pPr>
                    <w:jc w:val="center"/>
                    <w:rPr>
                      <w:rFonts w:hint="default" w:eastAsia="宋体"/>
                      <w:color w:val="auto"/>
                      <w:sz w:val="20"/>
                      <w:szCs w:val="20"/>
                      <w:lang w:val="en-US" w:eastAsia="zh-CN"/>
                    </w:rPr>
                  </w:pPr>
                  <w:r>
                    <w:rPr>
                      <w:rFonts w:hint="eastAsia"/>
                      <w:color w:val="auto"/>
                      <w:sz w:val="20"/>
                      <w:szCs w:val="20"/>
                      <w:lang w:val="en-US" w:eastAsia="zh-CN"/>
                    </w:rPr>
                    <w:t>50</w:t>
                  </w:r>
                </w:p>
              </w:tc>
              <w:tc>
                <w:tcPr>
                  <w:tcW w:w="366" w:type="pct"/>
                  <w:vMerge w:val="restart"/>
                  <w:vAlign w:val="center"/>
                </w:tcPr>
                <w:p>
                  <w:pPr>
                    <w:jc w:val="center"/>
                    <w:rPr>
                      <w:color w:val="auto"/>
                      <w:sz w:val="20"/>
                      <w:szCs w:val="20"/>
                    </w:rPr>
                  </w:pPr>
                  <w:r>
                    <w:rPr>
                      <w:rFonts w:hint="eastAsia" w:eastAsia="等线"/>
                      <w:color w:val="auto"/>
                      <w:sz w:val="20"/>
                      <w:szCs w:val="20"/>
                      <w:lang w:val="en-US" w:eastAsia="zh-CN"/>
                    </w:rPr>
                    <w:t>1728</w:t>
                  </w:r>
                </w:p>
              </w:tc>
              <w:tc>
                <w:tcPr>
                  <w:tcW w:w="456" w:type="pct"/>
                  <w:tcMar>
                    <w:left w:w="0" w:type="dxa"/>
                    <w:right w:w="0" w:type="dxa"/>
                  </w:tcMar>
                  <w:vAlign w:val="center"/>
                </w:tcPr>
                <w:p>
                  <w:pPr>
                    <w:jc w:val="center"/>
                    <w:rPr>
                      <w:color w:val="auto"/>
                      <w:sz w:val="20"/>
                      <w:szCs w:val="20"/>
                    </w:rPr>
                  </w:pPr>
                  <w:r>
                    <w:rPr>
                      <w:rFonts w:eastAsia="等线"/>
                      <w:color w:val="auto"/>
                      <w:sz w:val="20"/>
                      <w:szCs w:val="20"/>
                    </w:rPr>
                    <w:t>COD</w:t>
                  </w:r>
                </w:p>
              </w:tc>
              <w:tc>
                <w:tcPr>
                  <w:tcW w:w="457" w:type="pct"/>
                  <w:vAlign w:val="center"/>
                </w:tcPr>
                <w:p>
                  <w:pPr>
                    <w:pStyle w:val="180"/>
                    <w:rPr>
                      <w:rFonts w:hint="default" w:eastAsia="等线"/>
                      <w:color w:val="auto"/>
                      <w:sz w:val="20"/>
                      <w:szCs w:val="20"/>
                      <w:lang w:val="en-US" w:eastAsia="zh-CN"/>
                    </w:rPr>
                  </w:pPr>
                  <w:r>
                    <w:rPr>
                      <w:rFonts w:hint="eastAsia" w:eastAsia="等线"/>
                      <w:color w:val="auto"/>
                      <w:sz w:val="20"/>
                      <w:szCs w:val="20"/>
                      <w:lang w:val="en-US" w:eastAsia="zh-CN"/>
                    </w:rPr>
                    <w:t>50</w:t>
                  </w:r>
                </w:p>
              </w:tc>
              <w:tc>
                <w:tcPr>
                  <w:tcW w:w="404" w:type="pct"/>
                  <w:tcMar>
                    <w:left w:w="0" w:type="dxa"/>
                    <w:right w:w="0" w:type="dxa"/>
                  </w:tcMar>
                  <w:vAlign w:val="center"/>
                </w:tcPr>
                <w:p>
                  <w:pPr>
                    <w:widowControl/>
                    <w:jc w:val="center"/>
                    <w:textAlignment w:val="center"/>
                    <w:rPr>
                      <w:rFonts w:hint="default" w:eastAsia="宋体"/>
                      <w:color w:val="auto"/>
                      <w:sz w:val="20"/>
                      <w:szCs w:val="20"/>
                      <w:lang w:val="en-US" w:eastAsia="zh-CN"/>
                    </w:rPr>
                  </w:pPr>
                  <w:r>
                    <w:rPr>
                      <w:rFonts w:hint="eastAsia"/>
                      <w:color w:val="auto"/>
                      <w:sz w:val="20"/>
                      <w:szCs w:val="20"/>
                      <w:lang w:val="en-US" w:eastAsia="zh-CN"/>
                    </w:rPr>
                    <w:t>0.086</w:t>
                  </w:r>
                </w:p>
              </w:tc>
              <w:tc>
                <w:tcPr>
                  <w:tcW w:w="401" w:type="pct"/>
                  <w:vAlign w:val="center"/>
                </w:tcPr>
                <w:p>
                  <w:pPr>
                    <w:jc w:val="center"/>
                    <w:rPr>
                      <w:color w:val="auto"/>
                      <w:sz w:val="20"/>
                      <w:szCs w:val="20"/>
                    </w:rPr>
                  </w:pPr>
                  <w:r>
                    <w:rPr>
                      <w:rFonts w:hint="eastAsia"/>
                      <w:color w:val="auto"/>
                      <w:sz w:val="20"/>
                      <w:szCs w:val="20"/>
                    </w:rPr>
                    <w:t>500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tcMar>
                    <w:left w:w="0" w:type="dxa"/>
                    <w:right w:w="0" w:type="dxa"/>
                  </w:tcMar>
                  <w:vAlign w:val="center"/>
                </w:tcPr>
                <w:p>
                  <w:pPr>
                    <w:jc w:val="center"/>
                    <w:rPr>
                      <w:rFonts w:eastAsia="等线"/>
                      <w:color w:val="auto"/>
                      <w:sz w:val="20"/>
                      <w:szCs w:val="20"/>
                    </w:rPr>
                  </w:pPr>
                  <w:r>
                    <w:rPr>
                      <w:rFonts w:eastAsia="等线"/>
                      <w:color w:val="auto"/>
                      <w:sz w:val="20"/>
                      <w:szCs w:val="20"/>
                    </w:rPr>
                    <w:t>SS</w:t>
                  </w:r>
                </w:p>
              </w:tc>
              <w:tc>
                <w:tcPr>
                  <w:tcW w:w="401" w:type="pct"/>
                  <w:tcMar>
                    <w:left w:w="0" w:type="dxa"/>
                    <w:right w:w="0" w:type="dxa"/>
                  </w:tcMar>
                  <w:vAlign w:val="center"/>
                </w:tcPr>
                <w:p>
                  <w:pPr>
                    <w:pStyle w:val="180"/>
                    <w:rPr>
                      <w:rFonts w:hint="eastAsia" w:eastAsia="宋体"/>
                      <w:color w:val="auto"/>
                      <w:sz w:val="20"/>
                      <w:szCs w:val="20"/>
                      <w:lang w:val="en-US" w:eastAsia="zh-CN"/>
                    </w:rPr>
                  </w:pPr>
                  <w:r>
                    <w:rPr>
                      <w:rFonts w:hint="eastAsia"/>
                      <w:color w:val="auto"/>
                      <w:sz w:val="20"/>
                      <w:szCs w:val="20"/>
                      <w:lang w:val="en-US"/>
                    </w:rPr>
                    <w:t>10</w:t>
                  </w:r>
                  <w:r>
                    <w:rPr>
                      <w:rFonts w:hint="eastAsia"/>
                      <w:color w:val="auto"/>
                      <w:sz w:val="20"/>
                      <w:szCs w:val="20"/>
                      <w:lang w:val="en-US" w:eastAsia="zh-CN"/>
                    </w:rPr>
                    <w:t>8</w:t>
                  </w:r>
                </w:p>
              </w:tc>
              <w:tc>
                <w:tcPr>
                  <w:tcW w:w="459" w:type="pct"/>
                  <w:tcMar>
                    <w:left w:w="0" w:type="dxa"/>
                    <w:right w:w="0" w:type="dxa"/>
                  </w:tcMar>
                  <w:vAlign w:val="center"/>
                </w:tcPr>
                <w:p>
                  <w:pPr>
                    <w:pStyle w:val="180"/>
                    <w:rPr>
                      <w:rFonts w:hint="default" w:ascii="Times New Roman" w:hAnsi="Times New Roman" w:eastAsia="宋体" w:cs="Times New Roman"/>
                      <w:color w:val="auto"/>
                      <w:sz w:val="20"/>
                      <w:szCs w:val="20"/>
                      <w:lang w:val="en-US" w:eastAsia="zh-CN"/>
                    </w:rPr>
                  </w:pPr>
                  <w:r>
                    <w:rPr>
                      <w:rFonts w:hint="eastAsia" w:cs="Times New Roman"/>
                      <w:color w:val="auto"/>
                      <w:sz w:val="20"/>
                      <w:szCs w:val="20"/>
                      <w:lang w:val="en-US" w:eastAsia="zh-CN"/>
                    </w:rPr>
                    <w:t>0.187</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rFonts w:hint="default" w:eastAsia="宋体"/>
                      <w:color w:val="auto"/>
                      <w:sz w:val="20"/>
                      <w:szCs w:val="20"/>
                      <w:lang w:val="en-US" w:eastAsia="zh-CN"/>
                    </w:rPr>
                  </w:pPr>
                  <w:r>
                    <w:rPr>
                      <w:rFonts w:hint="eastAsia"/>
                      <w:color w:val="auto"/>
                      <w:sz w:val="20"/>
                      <w:szCs w:val="20"/>
                      <w:lang w:val="en-US" w:eastAsia="zh-CN"/>
                    </w:rPr>
                    <w:t>80</w:t>
                  </w:r>
                </w:p>
              </w:tc>
              <w:tc>
                <w:tcPr>
                  <w:tcW w:w="366" w:type="pct"/>
                  <w:vMerge w:val="continue"/>
                  <w:vAlign w:val="center"/>
                </w:tcPr>
                <w:p>
                  <w:pPr>
                    <w:jc w:val="center"/>
                    <w:rPr>
                      <w:color w:val="auto"/>
                      <w:sz w:val="20"/>
                      <w:szCs w:val="20"/>
                    </w:rPr>
                  </w:pPr>
                </w:p>
              </w:tc>
              <w:tc>
                <w:tcPr>
                  <w:tcW w:w="456" w:type="pct"/>
                  <w:tcMar>
                    <w:left w:w="0" w:type="dxa"/>
                    <w:right w:w="0" w:type="dxa"/>
                  </w:tcMar>
                  <w:vAlign w:val="center"/>
                </w:tcPr>
                <w:p>
                  <w:pPr>
                    <w:jc w:val="center"/>
                    <w:rPr>
                      <w:color w:val="auto"/>
                      <w:sz w:val="20"/>
                      <w:szCs w:val="20"/>
                    </w:rPr>
                  </w:pPr>
                  <w:r>
                    <w:rPr>
                      <w:rFonts w:eastAsia="等线"/>
                      <w:color w:val="auto"/>
                      <w:sz w:val="20"/>
                      <w:szCs w:val="20"/>
                    </w:rPr>
                    <w:t>SS</w:t>
                  </w:r>
                </w:p>
              </w:tc>
              <w:tc>
                <w:tcPr>
                  <w:tcW w:w="457" w:type="pct"/>
                  <w:vAlign w:val="center"/>
                </w:tcPr>
                <w:p>
                  <w:pPr>
                    <w:pStyle w:val="180"/>
                    <w:rPr>
                      <w:rFonts w:hint="default" w:eastAsia="宋体"/>
                      <w:color w:val="auto"/>
                      <w:sz w:val="20"/>
                      <w:szCs w:val="20"/>
                      <w:lang w:val="en-US" w:eastAsia="zh-CN"/>
                    </w:rPr>
                  </w:pPr>
                  <w:r>
                    <w:rPr>
                      <w:rFonts w:hint="eastAsia"/>
                      <w:color w:val="auto"/>
                      <w:sz w:val="20"/>
                      <w:szCs w:val="20"/>
                      <w:lang w:val="en-US" w:eastAsia="zh-CN"/>
                    </w:rPr>
                    <w:t>22</w:t>
                  </w:r>
                </w:p>
              </w:tc>
              <w:tc>
                <w:tcPr>
                  <w:tcW w:w="404" w:type="pct"/>
                  <w:tcMar>
                    <w:left w:w="0" w:type="dxa"/>
                    <w:right w:w="0" w:type="dxa"/>
                  </w:tcMar>
                  <w:vAlign w:val="center"/>
                </w:tcPr>
                <w:p>
                  <w:pPr>
                    <w:widowControl/>
                    <w:jc w:val="center"/>
                    <w:textAlignment w:val="center"/>
                    <w:rPr>
                      <w:rFonts w:hint="default" w:eastAsia="宋体"/>
                      <w:color w:val="auto"/>
                      <w:sz w:val="20"/>
                      <w:szCs w:val="20"/>
                      <w:lang w:val="en-US" w:eastAsia="zh-CN"/>
                    </w:rPr>
                  </w:pPr>
                  <w:r>
                    <w:rPr>
                      <w:rFonts w:hint="eastAsia"/>
                      <w:color w:val="auto"/>
                      <w:sz w:val="20"/>
                      <w:szCs w:val="20"/>
                      <w:lang w:val="en-US" w:eastAsia="zh-CN"/>
                    </w:rPr>
                    <w:t>0.037</w:t>
                  </w:r>
                </w:p>
              </w:tc>
              <w:tc>
                <w:tcPr>
                  <w:tcW w:w="401" w:type="pct"/>
                  <w:vAlign w:val="center"/>
                </w:tcPr>
                <w:p>
                  <w:pPr>
                    <w:jc w:val="center"/>
                    <w:rPr>
                      <w:color w:val="auto"/>
                      <w:sz w:val="20"/>
                      <w:szCs w:val="20"/>
                    </w:rPr>
                  </w:pPr>
                  <w:r>
                    <w:rPr>
                      <w:rFonts w:hint="eastAsia"/>
                      <w:color w:val="auto"/>
                      <w:sz w:val="20"/>
                      <w:szCs w:val="20"/>
                    </w:rPr>
                    <w:t>400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restar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水幕除尘</w:t>
                  </w:r>
                  <w:r>
                    <w:rPr>
                      <w:rFonts w:hint="eastAsia"/>
                      <w:color w:val="auto"/>
                      <w:sz w:val="20"/>
                      <w:szCs w:val="20"/>
                    </w:rPr>
                    <w:t>废水</w:t>
                  </w:r>
                </w:p>
              </w:tc>
              <w:tc>
                <w:tcPr>
                  <w:tcW w:w="422" w:type="pct"/>
                  <w:vMerge w:val="restart"/>
                  <w:shd w:val="clear" w:color="auto" w:fill="auto"/>
                  <w:tcMar>
                    <w:left w:w="0" w:type="dxa"/>
                    <w:right w:w="0" w:type="dxa"/>
                  </w:tcMar>
                  <w:vAlign w:val="center"/>
                </w:tcPr>
                <w:p>
                  <w:pPr>
                    <w:jc w:val="center"/>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1152</w:t>
                  </w:r>
                </w:p>
              </w:tc>
              <w:tc>
                <w:tcPr>
                  <w:tcW w:w="402"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COD</w:t>
                  </w:r>
                </w:p>
              </w:tc>
              <w:tc>
                <w:tcPr>
                  <w:tcW w:w="401" w:type="pct"/>
                  <w:shd w:val="clear" w:color="auto" w:fill="auto"/>
                  <w:tcMar>
                    <w:left w:w="0" w:type="dxa"/>
                    <w:right w:w="0" w:type="dxa"/>
                  </w:tcMar>
                  <w:vAlign w:val="center"/>
                </w:tcPr>
                <w:p>
                  <w:pPr>
                    <w:pStyle w:val="180"/>
                    <w:rPr>
                      <w:rFonts w:hint="default" w:ascii="Times New Roman" w:hAnsi="Times New Roman" w:eastAsia="等线" w:cs="Times New Roman"/>
                      <w:color w:val="auto"/>
                      <w:kern w:val="0"/>
                      <w:sz w:val="20"/>
                      <w:szCs w:val="20"/>
                      <w:lang w:val="en-US" w:eastAsia="zh-CN" w:bidi="ar-SA"/>
                    </w:rPr>
                  </w:pPr>
                  <w:r>
                    <w:rPr>
                      <w:rFonts w:hint="eastAsia" w:eastAsia="等线" w:cs="Times New Roman"/>
                      <w:color w:val="auto"/>
                      <w:kern w:val="0"/>
                      <w:sz w:val="20"/>
                      <w:szCs w:val="20"/>
                      <w:lang w:val="en-US" w:eastAsia="zh-CN" w:bidi="ar-SA"/>
                    </w:rPr>
                    <w:t>100</w:t>
                  </w:r>
                </w:p>
              </w:tc>
              <w:tc>
                <w:tcPr>
                  <w:tcW w:w="459" w:type="pct"/>
                  <w:shd w:val="clear" w:color="auto" w:fill="auto"/>
                  <w:tcMar>
                    <w:left w:w="0" w:type="dxa"/>
                    <w:right w:w="0" w:type="dxa"/>
                  </w:tcMar>
                  <w:vAlign w:val="center"/>
                </w:tcPr>
                <w:p>
                  <w:pPr>
                    <w:widowControl/>
                    <w:jc w:val="center"/>
                    <w:textAlignment w:val="center"/>
                    <w:rPr>
                      <w:rFonts w:hint="default" w:ascii="Times New Roman" w:hAnsi="Times New Roman" w:eastAsia="宋体" w:cs="Times New Roman"/>
                      <w:color w:val="auto"/>
                      <w:kern w:val="0"/>
                      <w:sz w:val="20"/>
                      <w:szCs w:val="20"/>
                      <w:lang w:val="en-US" w:eastAsia="zh-CN" w:bidi="ar"/>
                    </w:rPr>
                  </w:pPr>
                  <w:r>
                    <w:rPr>
                      <w:rFonts w:hint="eastAsia" w:cs="Times New Roman"/>
                      <w:color w:val="auto"/>
                      <w:kern w:val="0"/>
                      <w:sz w:val="20"/>
                      <w:szCs w:val="20"/>
                      <w:lang w:val="en-US" w:eastAsia="zh-CN" w:bidi="ar"/>
                    </w:rPr>
                    <w:t>0.115</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rFonts w:hint="default"/>
                      <w:color w:val="auto"/>
                      <w:sz w:val="20"/>
                      <w:szCs w:val="20"/>
                      <w:lang w:val="en-US" w:eastAsia="zh-CN"/>
                    </w:rPr>
                  </w:pPr>
                  <w:r>
                    <w:rPr>
                      <w:rFonts w:hint="eastAsia"/>
                      <w:color w:val="auto"/>
                      <w:sz w:val="20"/>
                      <w:szCs w:val="20"/>
                      <w:lang w:val="en-US" w:eastAsia="zh-CN"/>
                    </w:rPr>
                    <w:t>50</w:t>
                  </w:r>
                </w:p>
              </w:tc>
              <w:tc>
                <w:tcPr>
                  <w:tcW w:w="366" w:type="pct"/>
                  <w:vMerge w:val="restart"/>
                  <w:vAlign w:val="center"/>
                </w:tcPr>
                <w:p>
                  <w:pPr>
                    <w:jc w:val="center"/>
                    <w:rPr>
                      <w:rFonts w:hint="default" w:eastAsia="宋体"/>
                      <w:color w:val="auto"/>
                      <w:sz w:val="20"/>
                      <w:szCs w:val="20"/>
                      <w:lang w:val="en-US" w:eastAsia="zh-CN"/>
                    </w:rPr>
                  </w:pPr>
                  <w:r>
                    <w:rPr>
                      <w:rFonts w:hint="eastAsia"/>
                      <w:color w:val="auto"/>
                      <w:sz w:val="20"/>
                      <w:szCs w:val="20"/>
                      <w:lang w:val="en-US" w:eastAsia="zh-CN"/>
                    </w:rPr>
                    <w:t>1152</w:t>
                  </w: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COD</w:t>
                  </w:r>
                </w:p>
              </w:tc>
              <w:tc>
                <w:tcPr>
                  <w:tcW w:w="457" w:type="pct"/>
                  <w:vAlign w:val="center"/>
                </w:tcPr>
                <w:p>
                  <w:pPr>
                    <w:pStyle w:val="180"/>
                    <w:rPr>
                      <w:rFonts w:hint="default"/>
                      <w:color w:val="auto"/>
                      <w:sz w:val="20"/>
                      <w:szCs w:val="20"/>
                      <w:lang w:val="en-US" w:eastAsia="zh-CN"/>
                    </w:rPr>
                  </w:pPr>
                  <w:r>
                    <w:rPr>
                      <w:rFonts w:hint="eastAsia"/>
                      <w:color w:val="auto"/>
                      <w:sz w:val="20"/>
                      <w:szCs w:val="20"/>
                      <w:lang w:val="en-US" w:eastAsia="zh-CN"/>
                    </w:rPr>
                    <w:t>18</w:t>
                  </w:r>
                </w:p>
              </w:tc>
              <w:tc>
                <w:tcPr>
                  <w:tcW w:w="404" w:type="pct"/>
                  <w:tcMar>
                    <w:left w:w="0" w:type="dxa"/>
                    <w:right w:w="0" w:type="dxa"/>
                  </w:tcMar>
                  <w:vAlign w:val="center"/>
                </w:tcPr>
                <w:p>
                  <w:pPr>
                    <w:widowControl/>
                    <w:jc w:val="center"/>
                    <w:textAlignment w:val="center"/>
                    <w:rPr>
                      <w:rFonts w:hint="default"/>
                      <w:color w:val="auto"/>
                      <w:sz w:val="20"/>
                      <w:szCs w:val="20"/>
                      <w:lang w:val="en-US" w:eastAsia="zh-CN"/>
                    </w:rPr>
                  </w:pPr>
                  <w:r>
                    <w:rPr>
                      <w:rFonts w:hint="eastAsia"/>
                      <w:color w:val="auto"/>
                      <w:sz w:val="20"/>
                      <w:szCs w:val="20"/>
                      <w:lang w:val="en-US" w:eastAsia="zh-CN"/>
                    </w:rPr>
                    <w:t>0.02</w:t>
                  </w:r>
                </w:p>
              </w:tc>
              <w:tc>
                <w:tcPr>
                  <w:tcW w:w="401" w:type="pct"/>
                  <w:shd w:val="clear" w:color="auto" w:fill="auto"/>
                  <w:vAlign w:val="center"/>
                </w:tcPr>
                <w:p>
                  <w:pPr>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rPr>
                    <w:t>500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SS</w:t>
                  </w:r>
                </w:p>
              </w:tc>
              <w:tc>
                <w:tcPr>
                  <w:tcW w:w="401" w:type="pct"/>
                  <w:shd w:val="clear" w:color="auto" w:fill="auto"/>
                  <w:tcMar>
                    <w:left w:w="0" w:type="dxa"/>
                    <w:right w:w="0" w:type="dxa"/>
                  </w:tcMar>
                  <w:vAlign w:val="center"/>
                </w:tcPr>
                <w:p>
                  <w:pPr>
                    <w:pStyle w:val="180"/>
                    <w:rPr>
                      <w:rFonts w:hint="default" w:ascii="Times New Roman" w:hAnsi="Times New Roman" w:eastAsia="等线" w:cs="Times New Roman"/>
                      <w:color w:val="auto"/>
                      <w:kern w:val="0"/>
                      <w:sz w:val="20"/>
                      <w:szCs w:val="20"/>
                      <w:lang w:val="en-US" w:eastAsia="zh-CN" w:bidi="ar-SA"/>
                    </w:rPr>
                  </w:pPr>
                  <w:r>
                    <w:rPr>
                      <w:rFonts w:hint="eastAsia" w:eastAsia="等线" w:cs="Times New Roman"/>
                      <w:color w:val="auto"/>
                      <w:kern w:val="0"/>
                      <w:sz w:val="20"/>
                      <w:szCs w:val="20"/>
                      <w:lang w:val="en-US" w:eastAsia="zh-CN" w:bidi="ar-SA"/>
                    </w:rPr>
                    <w:t>40</w:t>
                  </w:r>
                </w:p>
              </w:tc>
              <w:tc>
                <w:tcPr>
                  <w:tcW w:w="459" w:type="pct"/>
                  <w:shd w:val="clear" w:color="auto" w:fill="auto"/>
                  <w:tcMar>
                    <w:left w:w="0" w:type="dxa"/>
                    <w:right w:w="0" w:type="dxa"/>
                  </w:tcMar>
                  <w:vAlign w:val="center"/>
                </w:tcPr>
                <w:p>
                  <w:pPr>
                    <w:widowControl/>
                    <w:jc w:val="center"/>
                    <w:textAlignment w:val="center"/>
                    <w:rPr>
                      <w:rFonts w:hint="default" w:ascii="Times New Roman" w:hAnsi="Times New Roman" w:eastAsia="宋体" w:cs="Times New Roman"/>
                      <w:color w:val="auto"/>
                      <w:kern w:val="0"/>
                      <w:sz w:val="20"/>
                      <w:szCs w:val="20"/>
                      <w:lang w:val="en-US" w:eastAsia="zh-CN" w:bidi="ar"/>
                    </w:rPr>
                  </w:pPr>
                  <w:r>
                    <w:rPr>
                      <w:rFonts w:hint="eastAsia" w:cs="Times New Roman"/>
                      <w:color w:val="auto"/>
                      <w:kern w:val="0"/>
                      <w:sz w:val="20"/>
                      <w:szCs w:val="20"/>
                      <w:lang w:val="en-US" w:eastAsia="zh-CN" w:bidi="ar"/>
                    </w:rPr>
                    <w:t>0.0049</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rFonts w:hint="default"/>
                      <w:color w:val="auto"/>
                      <w:sz w:val="20"/>
                      <w:szCs w:val="20"/>
                      <w:lang w:val="en-US" w:eastAsia="zh-CN"/>
                    </w:rPr>
                  </w:pPr>
                  <w:r>
                    <w:rPr>
                      <w:rFonts w:hint="eastAsia"/>
                      <w:color w:val="auto"/>
                      <w:sz w:val="20"/>
                      <w:szCs w:val="20"/>
                      <w:lang w:val="en-US" w:eastAsia="zh-CN"/>
                    </w:rPr>
                    <w:t>80</w:t>
                  </w:r>
                </w:p>
              </w:tc>
              <w:tc>
                <w:tcPr>
                  <w:tcW w:w="366" w:type="pct"/>
                  <w:vMerge w:val="continue"/>
                  <w:vAlign w:val="center"/>
                </w:tcPr>
                <w:p>
                  <w:pPr>
                    <w:jc w:val="center"/>
                    <w:rPr>
                      <w:color w:val="auto"/>
                      <w:sz w:val="20"/>
                      <w:szCs w:val="20"/>
                    </w:rPr>
                  </w:pP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SS</w:t>
                  </w:r>
                </w:p>
              </w:tc>
              <w:tc>
                <w:tcPr>
                  <w:tcW w:w="457" w:type="pct"/>
                  <w:vAlign w:val="center"/>
                </w:tcPr>
                <w:p>
                  <w:pPr>
                    <w:pStyle w:val="180"/>
                    <w:rPr>
                      <w:rFonts w:hint="default"/>
                      <w:color w:val="auto"/>
                      <w:sz w:val="20"/>
                      <w:szCs w:val="20"/>
                      <w:lang w:val="en-US" w:eastAsia="zh-CN"/>
                    </w:rPr>
                  </w:pPr>
                  <w:r>
                    <w:rPr>
                      <w:rFonts w:hint="eastAsia"/>
                      <w:color w:val="auto"/>
                      <w:sz w:val="20"/>
                      <w:szCs w:val="20"/>
                      <w:lang w:val="en-US" w:eastAsia="zh-CN"/>
                    </w:rPr>
                    <w:t>8</w:t>
                  </w:r>
                </w:p>
              </w:tc>
              <w:tc>
                <w:tcPr>
                  <w:tcW w:w="404" w:type="pct"/>
                  <w:tcMar>
                    <w:left w:w="0" w:type="dxa"/>
                    <w:right w:w="0" w:type="dxa"/>
                  </w:tcMar>
                  <w:vAlign w:val="center"/>
                </w:tcPr>
                <w:p>
                  <w:pPr>
                    <w:widowControl/>
                    <w:jc w:val="center"/>
                    <w:textAlignment w:val="center"/>
                    <w:rPr>
                      <w:rFonts w:hint="default"/>
                      <w:color w:val="auto"/>
                      <w:sz w:val="20"/>
                      <w:szCs w:val="20"/>
                      <w:lang w:val="en-US" w:eastAsia="zh-CN"/>
                    </w:rPr>
                  </w:pPr>
                  <w:r>
                    <w:rPr>
                      <w:rFonts w:hint="eastAsia"/>
                      <w:color w:val="auto"/>
                      <w:sz w:val="20"/>
                      <w:szCs w:val="20"/>
                      <w:lang w:val="en-US" w:eastAsia="zh-CN"/>
                    </w:rPr>
                    <w:t>0.001</w:t>
                  </w:r>
                </w:p>
              </w:tc>
              <w:tc>
                <w:tcPr>
                  <w:tcW w:w="401" w:type="pct"/>
                  <w:shd w:val="clear" w:color="auto" w:fill="auto"/>
                  <w:vAlign w:val="center"/>
                </w:tcPr>
                <w:p>
                  <w:pPr>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rPr>
                    <w:t>400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restart"/>
                  <w:tcMar>
                    <w:left w:w="0" w:type="dxa"/>
                    <w:right w:w="0" w:type="dxa"/>
                  </w:tcMar>
                  <w:vAlign w:val="center"/>
                </w:tcPr>
                <w:p>
                  <w:pPr>
                    <w:jc w:val="center"/>
                    <w:rPr>
                      <w:color w:val="auto"/>
                      <w:sz w:val="20"/>
                      <w:szCs w:val="20"/>
                    </w:rPr>
                  </w:pPr>
                  <w:r>
                    <w:rPr>
                      <w:rFonts w:hint="eastAsia"/>
                      <w:color w:val="auto"/>
                      <w:sz w:val="20"/>
                      <w:szCs w:val="20"/>
                    </w:rPr>
                    <w:t>纯水制备废水</w:t>
                  </w:r>
                </w:p>
              </w:tc>
              <w:tc>
                <w:tcPr>
                  <w:tcW w:w="422" w:type="pct"/>
                  <w:vMerge w:val="restart"/>
                  <w:tcMar>
                    <w:left w:w="0" w:type="dxa"/>
                    <w:right w:w="0" w:type="dxa"/>
                  </w:tcMar>
                  <w:vAlign w:val="center"/>
                </w:tcPr>
                <w:p>
                  <w:pPr>
                    <w:jc w:val="center"/>
                    <w:rPr>
                      <w:rFonts w:hint="default" w:eastAsia="宋体"/>
                      <w:color w:val="auto"/>
                      <w:sz w:val="20"/>
                      <w:szCs w:val="20"/>
                      <w:lang w:val="en-US" w:eastAsia="zh-CN"/>
                    </w:rPr>
                  </w:pPr>
                  <w:r>
                    <w:rPr>
                      <w:rFonts w:hint="eastAsia" w:eastAsia="等线"/>
                      <w:color w:val="auto"/>
                      <w:sz w:val="20"/>
                      <w:szCs w:val="20"/>
                      <w:lang w:val="en-US" w:eastAsia="zh-CN"/>
                    </w:rPr>
                    <w:t>2914</w:t>
                  </w:r>
                </w:p>
              </w:tc>
              <w:tc>
                <w:tcPr>
                  <w:tcW w:w="402" w:type="pct"/>
                  <w:tcMar>
                    <w:left w:w="0" w:type="dxa"/>
                    <w:right w:w="0" w:type="dxa"/>
                  </w:tcMar>
                  <w:vAlign w:val="center"/>
                </w:tcPr>
                <w:p>
                  <w:pPr>
                    <w:jc w:val="center"/>
                    <w:rPr>
                      <w:rFonts w:eastAsia="等线"/>
                      <w:color w:val="auto"/>
                      <w:sz w:val="20"/>
                      <w:szCs w:val="20"/>
                    </w:rPr>
                  </w:pPr>
                  <w:r>
                    <w:rPr>
                      <w:rFonts w:eastAsia="等线"/>
                      <w:color w:val="auto"/>
                      <w:sz w:val="20"/>
                      <w:szCs w:val="20"/>
                    </w:rPr>
                    <w:t>COD</w:t>
                  </w:r>
                </w:p>
              </w:tc>
              <w:tc>
                <w:tcPr>
                  <w:tcW w:w="401" w:type="pct"/>
                  <w:tcMar>
                    <w:left w:w="0" w:type="dxa"/>
                    <w:right w:w="0" w:type="dxa"/>
                  </w:tcMar>
                  <w:vAlign w:val="center"/>
                </w:tcPr>
                <w:p>
                  <w:pPr>
                    <w:pStyle w:val="180"/>
                    <w:rPr>
                      <w:color w:val="auto"/>
                      <w:sz w:val="20"/>
                      <w:szCs w:val="20"/>
                      <w:lang w:val="en-US"/>
                    </w:rPr>
                  </w:pPr>
                  <w:r>
                    <w:rPr>
                      <w:rFonts w:eastAsia="等线"/>
                      <w:color w:val="auto"/>
                      <w:sz w:val="20"/>
                      <w:szCs w:val="20"/>
                    </w:rPr>
                    <w:t>50</w:t>
                  </w:r>
                </w:p>
              </w:tc>
              <w:tc>
                <w:tcPr>
                  <w:tcW w:w="459" w:type="pct"/>
                  <w:shd w:val="clear" w:color="auto" w:fill="auto"/>
                  <w:tcMar>
                    <w:left w:w="0" w:type="dxa"/>
                    <w:right w:w="0" w:type="dxa"/>
                  </w:tcMar>
                  <w:vAlign w:val="center"/>
                </w:tcPr>
                <w:p>
                  <w:pPr>
                    <w:widowControl/>
                    <w:jc w:val="center"/>
                    <w:textAlignment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eastAsia="宋体" w:cs="Times New Roman"/>
                      <w:color w:val="auto"/>
                      <w:kern w:val="0"/>
                      <w:sz w:val="20"/>
                      <w:szCs w:val="20"/>
                      <w:lang w:val="en-US" w:eastAsia="zh-CN" w:bidi="ar"/>
                    </w:rPr>
                    <w:t>0.1457</w:t>
                  </w:r>
                </w:p>
              </w:tc>
              <w:tc>
                <w:tcPr>
                  <w:tcW w:w="272" w:type="pct"/>
                  <w:vMerge w:val="restart"/>
                  <w:tcMar>
                    <w:left w:w="0" w:type="dxa"/>
                    <w:right w:w="0" w:type="dxa"/>
                  </w:tcMar>
                  <w:vAlign w:val="center"/>
                </w:tcPr>
                <w:p>
                  <w:pPr>
                    <w:jc w:val="center"/>
                    <w:rPr>
                      <w:color w:val="auto"/>
                      <w:sz w:val="20"/>
                      <w:szCs w:val="20"/>
                    </w:rPr>
                  </w:pPr>
                  <w:r>
                    <w:rPr>
                      <w:rFonts w:hint="eastAsia"/>
                      <w:color w:val="auto"/>
                      <w:sz w:val="20"/>
                      <w:szCs w:val="20"/>
                    </w:rPr>
                    <w:t>/</w:t>
                  </w:r>
                </w:p>
              </w:tc>
              <w:tc>
                <w:tcPr>
                  <w:tcW w:w="220" w:type="pct"/>
                  <w:tcMar>
                    <w:left w:w="0" w:type="dxa"/>
                    <w:right w:w="0" w:type="dxa"/>
                  </w:tcMar>
                  <w:vAlign w:val="center"/>
                </w:tcPr>
                <w:p>
                  <w:pPr>
                    <w:jc w:val="center"/>
                    <w:rPr>
                      <w:color w:val="auto"/>
                      <w:sz w:val="20"/>
                      <w:szCs w:val="20"/>
                    </w:rPr>
                  </w:pPr>
                  <w:r>
                    <w:rPr>
                      <w:rFonts w:hint="eastAsia"/>
                      <w:color w:val="auto"/>
                      <w:sz w:val="20"/>
                      <w:szCs w:val="20"/>
                    </w:rPr>
                    <w:t>/</w:t>
                  </w:r>
                </w:p>
              </w:tc>
              <w:tc>
                <w:tcPr>
                  <w:tcW w:w="366" w:type="pct"/>
                  <w:vMerge w:val="restart"/>
                  <w:vAlign w:val="center"/>
                </w:tcPr>
                <w:p>
                  <w:pPr>
                    <w:jc w:val="center"/>
                    <w:rPr>
                      <w:rFonts w:hint="default" w:eastAsia="宋体"/>
                      <w:color w:val="auto"/>
                      <w:sz w:val="20"/>
                      <w:szCs w:val="20"/>
                      <w:lang w:val="en-US" w:eastAsia="zh-CN"/>
                    </w:rPr>
                  </w:pPr>
                  <w:r>
                    <w:rPr>
                      <w:rFonts w:hint="eastAsia" w:eastAsia="等线"/>
                      <w:color w:val="auto"/>
                      <w:sz w:val="20"/>
                      <w:szCs w:val="20"/>
                      <w:lang w:val="en-US" w:eastAsia="zh-CN"/>
                    </w:rPr>
                    <w:t>2914</w:t>
                  </w:r>
                </w:p>
              </w:tc>
              <w:tc>
                <w:tcPr>
                  <w:tcW w:w="456" w:type="pct"/>
                  <w:tcMar>
                    <w:left w:w="0" w:type="dxa"/>
                    <w:right w:w="0" w:type="dxa"/>
                  </w:tcMar>
                  <w:vAlign w:val="center"/>
                </w:tcPr>
                <w:p>
                  <w:pPr>
                    <w:jc w:val="center"/>
                    <w:rPr>
                      <w:color w:val="auto"/>
                      <w:sz w:val="20"/>
                      <w:szCs w:val="20"/>
                    </w:rPr>
                  </w:pPr>
                  <w:r>
                    <w:rPr>
                      <w:rFonts w:eastAsia="等线"/>
                      <w:color w:val="auto"/>
                      <w:sz w:val="20"/>
                      <w:szCs w:val="20"/>
                    </w:rPr>
                    <w:t>COD</w:t>
                  </w:r>
                </w:p>
              </w:tc>
              <w:tc>
                <w:tcPr>
                  <w:tcW w:w="457" w:type="pct"/>
                  <w:vAlign w:val="center"/>
                </w:tcPr>
                <w:p>
                  <w:pPr>
                    <w:jc w:val="center"/>
                    <w:rPr>
                      <w:color w:val="auto"/>
                      <w:sz w:val="20"/>
                      <w:szCs w:val="20"/>
                    </w:rPr>
                  </w:pPr>
                  <w:r>
                    <w:rPr>
                      <w:rFonts w:eastAsia="等线"/>
                      <w:color w:val="auto"/>
                      <w:sz w:val="20"/>
                      <w:szCs w:val="20"/>
                    </w:rPr>
                    <w:t>50</w:t>
                  </w:r>
                </w:p>
              </w:tc>
              <w:tc>
                <w:tcPr>
                  <w:tcW w:w="404" w:type="pct"/>
                  <w:tcMar>
                    <w:left w:w="0" w:type="dxa"/>
                    <w:right w:w="0" w:type="dxa"/>
                  </w:tcMar>
                  <w:vAlign w:val="center"/>
                </w:tcPr>
                <w:p>
                  <w:pPr>
                    <w:widowControl/>
                    <w:jc w:val="center"/>
                    <w:textAlignment w:val="center"/>
                    <w:rPr>
                      <w:rFonts w:hint="default" w:eastAsia="宋体"/>
                      <w:color w:val="auto"/>
                      <w:sz w:val="20"/>
                      <w:szCs w:val="20"/>
                      <w:lang w:val="en-US" w:eastAsia="zh-CN"/>
                    </w:rPr>
                  </w:pPr>
                  <w:r>
                    <w:rPr>
                      <w:rFonts w:hint="eastAsia" w:ascii="Times New Roman" w:hAnsi="Times New Roman" w:eastAsia="宋体" w:cs="Times New Roman"/>
                      <w:color w:val="auto"/>
                      <w:kern w:val="0"/>
                      <w:sz w:val="20"/>
                      <w:szCs w:val="20"/>
                      <w:lang w:val="en-US" w:eastAsia="zh-CN" w:bidi="ar"/>
                    </w:rPr>
                    <w:t>0.1457</w:t>
                  </w:r>
                </w:p>
              </w:tc>
              <w:tc>
                <w:tcPr>
                  <w:tcW w:w="401" w:type="pct"/>
                  <w:vAlign w:val="center"/>
                </w:tcPr>
                <w:p>
                  <w:pPr>
                    <w:jc w:val="center"/>
                    <w:rPr>
                      <w:rFonts w:hint="default" w:eastAsia="宋体"/>
                      <w:color w:val="auto"/>
                      <w:sz w:val="20"/>
                      <w:szCs w:val="20"/>
                      <w:lang w:val="en-US" w:eastAsia="zh-CN"/>
                    </w:rPr>
                  </w:pPr>
                  <w:r>
                    <w:rPr>
                      <w:rFonts w:hint="eastAsia"/>
                      <w:color w:val="auto"/>
                      <w:sz w:val="20"/>
                      <w:szCs w:val="20"/>
                      <w:lang w:val="en-US" w:eastAsia="zh-CN"/>
                    </w:rPr>
                    <w:t>500</w:t>
                  </w:r>
                </w:p>
              </w:tc>
              <w:tc>
                <w:tcPr>
                  <w:tcW w:w="285" w:type="pct"/>
                  <w:vMerge w:val="restart"/>
                  <w:vAlign w:val="center"/>
                </w:tcPr>
                <w:p>
                  <w:pPr>
                    <w:jc w:val="center"/>
                    <w:rPr>
                      <w:color w:val="auto"/>
                      <w:sz w:val="20"/>
                      <w:szCs w:val="20"/>
                    </w:rPr>
                  </w:pPr>
                  <w:r>
                    <w:rPr>
                      <w:rFonts w:hint="eastAsia"/>
                      <w:color w:val="auto"/>
                      <w:sz w:val="20"/>
                      <w:szCs w:val="20"/>
                      <w:lang w:val="en-US" w:eastAsia="zh-CN"/>
                    </w:rPr>
                    <w:t>接管如皋市九华镇污水处理厂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vMerge w:val="continue"/>
                  <w:tcMar>
                    <w:left w:w="0" w:type="dxa"/>
                    <w:right w:w="0" w:type="dxa"/>
                  </w:tcMar>
                  <w:vAlign w:val="center"/>
                </w:tcPr>
                <w:p>
                  <w:pPr>
                    <w:jc w:val="center"/>
                    <w:rPr>
                      <w:color w:val="auto"/>
                      <w:sz w:val="20"/>
                      <w:szCs w:val="20"/>
                    </w:rPr>
                  </w:pPr>
                </w:p>
              </w:tc>
              <w:tc>
                <w:tcPr>
                  <w:tcW w:w="402" w:type="pct"/>
                  <w:tcMar>
                    <w:left w:w="0" w:type="dxa"/>
                    <w:right w:w="0" w:type="dxa"/>
                  </w:tcMar>
                  <w:vAlign w:val="center"/>
                </w:tcPr>
                <w:p>
                  <w:pPr>
                    <w:jc w:val="center"/>
                    <w:rPr>
                      <w:rFonts w:eastAsia="等线"/>
                      <w:color w:val="auto"/>
                      <w:sz w:val="20"/>
                      <w:szCs w:val="20"/>
                    </w:rPr>
                  </w:pPr>
                  <w:r>
                    <w:rPr>
                      <w:rFonts w:eastAsia="等线"/>
                      <w:color w:val="auto"/>
                      <w:sz w:val="20"/>
                      <w:szCs w:val="20"/>
                    </w:rPr>
                    <w:t>SS</w:t>
                  </w:r>
                </w:p>
              </w:tc>
              <w:tc>
                <w:tcPr>
                  <w:tcW w:w="401" w:type="pct"/>
                  <w:tcMar>
                    <w:left w:w="0" w:type="dxa"/>
                    <w:right w:w="0" w:type="dxa"/>
                  </w:tcMar>
                  <w:vAlign w:val="center"/>
                </w:tcPr>
                <w:p>
                  <w:pPr>
                    <w:pStyle w:val="180"/>
                    <w:rPr>
                      <w:color w:val="auto"/>
                      <w:sz w:val="20"/>
                      <w:szCs w:val="20"/>
                      <w:lang w:val="en-US"/>
                    </w:rPr>
                  </w:pPr>
                  <w:r>
                    <w:rPr>
                      <w:rFonts w:hint="eastAsia" w:eastAsia="等线"/>
                      <w:color w:val="auto"/>
                      <w:sz w:val="20"/>
                      <w:szCs w:val="20"/>
                      <w:lang w:val="en-US"/>
                    </w:rPr>
                    <w:t>40</w:t>
                  </w:r>
                </w:p>
              </w:tc>
              <w:tc>
                <w:tcPr>
                  <w:tcW w:w="459" w:type="pct"/>
                  <w:shd w:val="clear" w:color="auto" w:fill="auto"/>
                  <w:tcMar>
                    <w:left w:w="0" w:type="dxa"/>
                    <w:right w:w="0" w:type="dxa"/>
                  </w:tcMar>
                  <w:vAlign w:val="center"/>
                </w:tcPr>
                <w:p>
                  <w:pPr>
                    <w:widowControl/>
                    <w:jc w:val="center"/>
                    <w:textAlignment w:val="center"/>
                    <w:rPr>
                      <w:rFonts w:hint="default" w:ascii="Times New Roman" w:hAnsi="Times New Roman" w:eastAsia="宋体" w:cs="Times New Roman"/>
                      <w:color w:val="auto"/>
                      <w:kern w:val="0"/>
                      <w:sz w:val="20"/>
                      <w:szCs w:val="20"/>
                      <w:lang w:val="en-US" w:eastAsia="zh-CN" w:bidi="ar"/>
                    </w:rPr>
                  </w:pPr>
                  <w:r>
                    <w:rPr>
                      <w:rFonts w:hint="eastAsia" w:ascii="Times New Roman" w:hAnsi="Times New Roman" w:eastAsia="宋体" w:cs="Times New Roman"/>
                      <w:color w:val="auto"/>
                      <w:kern w:val="0"/>
                      <w:sz w:val="20"/>
                      <w:szCs w:val="20"/>
                      <w:lang w:val="en-US" w:eastAsia="zh-CN" w:bidi="ar"/>
                    </w:rPr>
                    <w:t>0.1166</w:t>
                  </w:r>
                </w:p>
              </w:tc>
              <w:tc>
                <w:tcPr>
                  <w:tcW w:w="272" w:type="pct"/>
                  <w:vMerge w:val="continue"/>
                  <w:tcMar>
                    <w:left w:w="0" w:type="dxa"/>
                    <w:right w:w="0" w:type="dxa"/>
                  </w:tcMar>
                  <w:vAlign w:val="center"/>
                </w:tcPr>
                <w:p>
                  <w:pPr>
                    <w:jc w:val="center"/>
                    <w:rPr>
                      <w:color w:val="auto"/>
                      <w:sz w:val="20"/>
                      <w:szCs w:val="20"/>
                    </w:rPr>
                  </w:pPr>
                </w:p>
              </w:tc>
              <w:tc>
                <w:tcPr>
                  <w:tcW w:w="220" w:type="pct"/>
                  <w:tcMar>
                    <w:left w:w="0" w:type="dxa"/>
                    <w:right w:w="0" w:type="dxa"/>
                  </w:tcMar>
                  <w:vAlign w:val="center"/>
                </w:tcPr>
                <w:p>
                  <w:pPr>
                    <w:jc w:val="center"/>
                    <w:rPr>
                      <w:color w:val="auto"/>
                      <w:sz w:val="20"/>
                      <w:szCs w:val="20"/>
                    </w:rPr>
                  </w:pPr>
                  <w:r>
                    <w:rPr>
                      <w:rFonts w:hint="eastAsia"/>
                      <w:color w:val="auto"/>
                      <w:sz w:val="20"/>
                      <w:szCs w:val="20"/>
                    </w:rPr>
                    <w:t>/</w:t>
                  </w:r>
                </w:p>
              </w:tc>
              <w:tc>
                <w:tcPr>
                  <w:tcW w:w="366" w:type="pct"/>
                  <w:vMerge w:val="continue"/>
                  <w:vAlign w:val="center"/>
                </w:tcPr>
                <w:p>
                  <w:pPr>
                    <w:jc w:val="center"/>
                    <w:rPr>
                      <w:color w:val="auto"/>
                      <w:sz w:val="20"/>
                      <w:szCs w:val="20"/>
                    </w:rPr>
                  </w:pPr>
                </w:p>
              </w:tc>
              <w:tc>
                <w:tcPr>
                  <w:tcW w:w="456" w:type="pct"/>
                  <w:tcMar>
                    <w:left w:w="0" w:type="dxa"/>
                    <w:right w:w="0" w:type="dxa"/>
                  </w:tcMar>
                  <w:vAlign w:val="center"/>
                </w:tcPr>
                <w:p>
                  <w:pPr>
                    <w:jc w:val="center"/>
                    <w:rPr>
                      <w:color w:val="auto"/>
                      <w:sz w:val="20"/>
                      <w:szCs w:val="20"/>
                    </w:rPr>
                  </w:pPr>
                  <w:r>
                    <w:rPr>
                      <w:rFonts w:eastAsia="等线"/>
                      <w:color w:val="auto"/>
                      <w:sz w:val="20"/>
                      <w:szCs w:val="20"/>
                    </w:rPr>
                    <w:t>SS</w:t>
                  </w:r>
                </w:p>
              </w:tc>
              <w:tc>
                <w:tcPr>
                  <w:tcW w:w="457" w:type="pct"/>
                  <w:vAlign w:val="center"/>
                </w:tcPr>
                <w:p>
                  <w:pPr>
                    <w:jc w:val="center"/>
                    <w:rPr>
                      <w:color w:val="auto"/>
                      <w:sz w:val="20"/>
                      <w:szCs w:val="20"/>
                    </w:rPr>
                  </w:pPr>
                  <w:r>
                    <w:rPr>
                      <w:rFonts w:hint="eastAsia" w:eastAsia="等线"/>
                      <w:color w:val="auto"/>
                      <w:sz w:val="20"/>
                      <w:szCs w:val="20"/>
                    </w:rPr>
                    <w:t>40</w:t>
                  </w:r>
                </w:p>
              </w:tc>
              <w:tc>
                <w:tcPr>
                  <w:tcW w:w="404" w:type="pct"/>
                  <w:tcMar>
                    <w:left w:w="0" w:type="dxa"/>
                    <w:right w:w="0" w:type="dxa"/>
                  </w:tcMar>
                  <w:vAlign w:val="center"/>
                </w:tcPr>
                <w:p>
                  <w:pPr>
                    <w:widowControl/>
                    <w:jc w:val="center"/>
                    <w:textAlignment w:val="center"/>
                    <w:rPr>
                      <w:rFonts w:hint="default" w:eastAsia="宋体"/>
                      <w:color w:val="auto"/>
                      <w:sz w:val="20"/>
                      <w:szCs w:val="20"/>
                      <w:lang w:val="en-US" w:eastAsia="zh-CN"/>
                    </w:rPr>
                  </w:pPr>
                  <w:r>
                    <w:rPr>
                      <w:rFonts w:hint="eastAsia" w:ascii="Times New Roman" w:hAnsi="Times New Roman" w:eastAsia="宋体" w:cs="Times New Roman"/>
                      <w:color w:val="auto"/>
                      <w:kern w:val="0"/>
                      <w:sz w:val="20"/>
                      <w:szCs w:val="20"/>
                      <w:lang w:val="en-US" w:eastAsia="zh-CN" w:bidi="ar"/>
                    </w:rPr>
                    <w:t>0.1166</w:t>
                  </w:r>
                </w:p>
              </w:tc>
              <w:tc>
                <w:tcPr>
                  <w:tcW w:w="401" w:type="pct"/>
                  <w:vAlign w:val="center"/>
                </w:tcPr>
                <w:p>
                  <w:pPr>
                    <w:jc w:val="center"/>
                    <w:rPr>
                      <w:rFonts w:hint="default" w:eastAsia="宋体"/>
                      <w:color w:val="auto"/>
                      <w:sz w:val="20"/>
                      <w:szCs w:val="20"/>
                      <w:lang w:val="en-US" w:eastAsia="zh-CN"/>
                    </w:rPr>
                  </w:pPr>
                  <w:r>
                    <w:rPr>
                      <w:rFonts w:hint="eastAsia"/>
                      <w:color w:val="auto"/>
                      <w:sz w:val="20"/>
                      <w:szCs w:val="20"/>
                      <w:lang w:val="en-US" w:eastAsia="zh-CN"/>
                    </w:rPr>
                    <w:t>400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restart"/>
                  <w:tcMar>
                    <w:left w:w="0" w:type="dxa"/>
                    <w:right w:w="0" w:type="dxa"/>
                  </w:tcMar>
                  <w:vAlign w:val="center"/>
                </w:tcPr>
                <w:p>
                  <w:pPr>
                    <w:jc w:val="center"/>
                    <w:rPr>
                      <w:color w:val="auto"/>
                      <w:sz w:val="20"/>
                      <w:szCs w:val="20"/>
                    </w:rPr>
                  </w:pPr>
                  <w:r>
                    <w:rPr>
                      <w:rFonts w:hint="eastAsia"/>
                      <w:color w:val="auto"/>
                      <w:sz w:val="20"/>
                      <w:szCs w:val="20"/>
                    </w:rPr>
                    <w:t>合计</w:t>
                  </w:r>
                </w:p>
              </w:tc>
              <w:tc>
                <w:tcPr>
                  <w:tcW w:w="422" w:type="pct"/>
                  <w:tcMar>
                    <w:left w:w="0" w:type="dxa"/>
                    <w:right w:w="0" w:type="dxa"/>
                  </w:tcMar>
                  <w:vAlign w:val="center"/>
                </w:tcPr>
                <w:p>
                  <w:pPr>
                    <w:jc w:val="center"/>
                    <w:rPr>
                      <w:color w:val="auto"/>
                      <w:sz w:val="20"/>
                      <w:szCs w:val="20"/>
                    </w:rPr>
                  </w:pPr>
                  <w:r>
                    <w:rPr>
                      <w:rFonts w:hint="eastAsia"/>
                      <w:color w:val="auto"/>
                      <w:sz w:val="20"/>
                      <w:szCs w:val="20"/>
                    </w:rPr>
                    <w:t>-</w:t>
                  </w:r>
                </w:p>
              </w:tc>
              <w:tc>
                <w:tcPr>
                  <w:tcW w:w="402"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01"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59"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272" w:type="pct"/>
                  <w:tcMar>
                    <w:left w:w="0" w:type="dxa"/>
                    <w:right w:w="0" w:type="dxa"/>
                  </w:tcMar>
                  <w:vAlign w:val="center"/>
                </w:tcPr>
                <w:p>
                  <w:pPr>
                    <w:jc w:val="center"/>
                    <w:rPr>
                      <w:color w:val="auto"/>
                      <w:sz w:val="20"/>
                      <w:szCs w:val="20"/>
                    </w:rPr>
                  </w:pPr>
                  <w:r>
                    <w:rPr>
                      <w:rFonts w:hint="eastAsia"/>
                      <w:color w:val="auto"/>
                      <w:sz w:val="20"/>
                      <w:szCs w:val="20"/>
                    </w:rPr>
                    <w:t>-</w:t>
                  </w:r>
                </w:p>
              </w:tc>
              <w:tc>
                <w:tcPr>
                  <w:tcW w:w="220"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366" w:type="pct"/>
                  <w:vMerge w:val="restart"/>
                  <w:vAlign w:val="center"/>
                </w:tcPr>
                <w:p>
                  <w:pPr>
                    <w:jc w:val="center"/>
                    <w:rPr>
                      <w:rFonts w:hint="default" w:eastAsia="宋体"/>
                      <w:color w:val="auto"/>
                      <w:sz w:val="20"/>
                      <w:szCs w:val="20"/>
                      <w:lang w:val="en-US" w:eastAsia="zh-CN"/>
                    </w:rPr>
                  </w:pPr>
                  <w:r>
                    <w:rPr>
                      <w:rFonts w:hint="eastAsia" w:eastAsia="等线"/>
                      <w:color w:val="auto"/>
                      <w:sz w:val="20"/>
                      <w:szCs w:val="20"/>
                      <w:lang w:val="en-US" w:eastAsia="zh-CN"/>
                    </w:rPr>
                    <w:t>6394</w:t>
                  </w: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pH</w:t>
                  </w:r>
                </w:p>
              </w:tc>
              <w:tc>
                <w:tcPr>
                  <w:tcW w:w="457" w:type="pct"/>
                  <w:vAlign w:val="center"/>
                </w:tcPr>
                <w:p>
                  <w:pPr>
                    <w:jc w:val="center"/>
                    <w:rPr>
                      <w:rFonts w:hint="default" w:eastAsia="等线"/>
                      <w:color w:val="auto"/>
                      <w:sz w:val="20"/>
                      <w:szCs w:val="20"/>
                      <w:highlight w:val="none"/>
                      <w:lang w:val="en-US" w:eastAsia="zh-CN"/>
                    </w:rPr>
                  </w:pPr>
                  <w:r>
                    <w:rPr>
                      <w:rFonts w:hint="eastAsia" w:eastAsia="等线"/>
                      <w:color w:val="auto"/>
                      <w:sz w:val="20"/>
                      <w:szCs w:val="20"/>
                      <w:highlight w:val="none"/>
                      <w:lang w:val="en-US" w:eastAsia="zh-CN"/>
                    </w:rPr>
                    <w:t>6-9</w:t>
                  </w:r>
                </w:p>
              </w:tc>
              <w:tc>
                <w:tcPr>
                  <w:tcW w:w="404" w:type="pct"/>
                  <w:tcMar>
                    <w:left w:w="0" w:type="dxa"/>
                    <w:right w:w="0" w:type="dxa"/>
                  </w:tcMar>
                  <w:vAlign w:val="center"/>
                </w:tcPr>
                <w:p>
                  <w:pPr>
                    <w:widowControl/>
                    <w:jc w:val="center"/>
                    <w:textAlignment w:val="center"/>
                    <w:rPr>
                      <w:rFonts w:hint="eastAsia" w:eastAsia="宋体"/>
                      <w:color w:val="auto"/>
                      <w:kern w:val="0"/>
                      <w:sz w:val="20"/>
                      <w:szCs w:val="20"/>
                      <w:highlight w:val="none"/>
                      <w:lang w:val="en-US" w:eastAsia="zh-CN" w:bidi="ar"/>
                    </w:rPr>
                  </w:pPr>
                  <w:r>
                    <w:rPr>
                      <w:rFonts w:hint="eastAsia"/>
                      <w:color w:val="auto"/>
                      <w:kern w:val="0"/>
                      <w:sz w:val="20"/>
                      <w:szCs w:val="20"/>
                      <w:highlight w:val="none"/>
                      <w:lang w:val="en-US" w:eastAsia="zh-CN" w:bidi="ar"/>
                    </w:rPr>
                    <w:t>/</w:t>
                  </w:r>
                </w:p>
              </w:tc>
              <w:tc>
                <w:tcPr>
                  <w:tcW w:w="401" w:type="pct"/>
                  <w:vAlign w:val="center"/>
                </w:tcPr>
                <w:p>
                  <w:pPr>
                    <w:jc w:val="center"/>
                    <w:rPr>
                      <w:rFonts w:hint="default" w:eastAsia="宋体"/>
                      <w:color w:val="auto"/>
                      <w:sz w:val="20"/>
                      <w:szCs w:val="20"/>
                      <w:lang w:val="en-US" w:eastAsia="zh-CN"/>
                    </w:rPr>
                  </w:pPr>
                  <w:r>
                    <w:rPr>
                      <w:rFonts w:hint="eastAsia"/>
                      <w:color w:val="auto"/>
                      <w:sz w:val="20"/>
                      <w:szCs w:val="20"/>
                      <w:lang w:val="en-US" w:eastAsia="zh-CN"/>
                    </w:rPr>
                    <w:t>6-9</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tcMar>
                    <w:left w:w="0" w:type="dxa"/>
                    <w:right w:w="0" w:type="dxa"/>
                  </w:tcMar>
                  <w:vAlign w:val="center"/>
                </w:tcPr>
                <w:p>
                  <w:pPr>
                    <w:jc w:val="center"/>
                    <w:rPr>
                      <w:color w:val="auto"/>
                      <w:sz w:val="20"/>
                      <w:szCs w:val="20"/>
                    </w:rPr>
                  </w:pPr>
                  <w:r>
                    <w:rPr>
                      <w:rFonts w:hint="eastAsia"/>
                      <w:color w:val="auto"/>
                      <w:sz w:val="20"/>
                      <w:szCs w:val="20"/>
                    </w:rPr>
                    <w:t>-</w:t>
                  </w:r>
                </w:p>
              </w:tc>
              <w:tc>
                <w:tcPr>
                  <w:tcW w:w="402"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01"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59"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272" w:type="pct"/>
                  <w:tcMar>
                    <w:left w:w="0" w:type="dxa"/>
                    <w:right w:w="0" w:type="dxa"/>
                  </w:tcMar>
                  <w:vAlign w:val="center"/>
                </w:tcPr>
                <w:p>
                  <w:pPr>
                    <w:jc w:val="center"/>
                    <w:rPr>
                      <w:color w:val="auto"/>
                      <w:sz w:val="20"/>
                      <w:szCs w:val="20"/>
                    </w:rPr>
                  </w:pPr>
                  <w:r>
                    <w:rPr>
                      <w:rFonts w:hint="eastAsia"/>
                      <w:color w:val="auto"/>
                      <w:sz w:val="20"/>
                      <w:szCs w:val="20"/>
                    </w:rPr>
                    <w:t>-</w:t>
                  </w:r>
                </w:p>
              </w:tc>
              <w:tc>
                <w:tcPr>
                  <w:tcW w:w="220"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366" w:type="pct"/>
                  <w:vMerge w:val="continue"/>
                  <w:vAlign w:val="center"/>
                </w:tcPr>
                <w:p>
                  <w:pPr>
                    <w:jc w:val="center"/>
                    <w:rPr>
                      <w:color w:val="auto"/>
                      <w:sz w:val="20"/>
                      <w:szCs w:val="20"/>
                    </w:rPr>
                  </w:pP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COD</w:t>
                  </w:r>
                </w:p>
              </w:tc>
              <w:tc>
                <w:tcPr>
                  <w:tcW w:w="1153" w:type="dxa"/>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58.51</w:t>
                  </w:r>
                </w:p>
              </w:tc>
              <w:tc>
                <w:tcPr>
                  <w:tcW w:w="404" w:type="pct"/>
                  <w:tcMar>
                    <w:left w:w="0" w:type="dxa"/>
                    <w:right w:w="0" w:type="dxa"/>
                  </w:tcMar>
                  <w:vAlign w:val="center"/>
                </w:tcPr>
                <w:p>
                  <w:pPr>
                    <w:widowControl/>
                    <w:jc w:val="center"/>
                    <w:textAlignment w:val="center"/>
                    <w:rPr>
                      <w:rFonts w:hint="default" w:eastAsia="宋体"/>
                      <w:color w:val="auto"/>
                      <w:kern w:val="0"/>
                      <w:sz w:val="20"/>
                      <w:szCs w:val="20"/>
                      <w:highlight w:val="none"/>
                      <w:lang w:val="en-US" w:eastAsia="zh-CN" w:bidi="ar"/>
                    </w:rPr>
                  </w:pPr>
                  <w:r>
                    <w:rPr>
                      <w:rFonts w:hint="eastAsia"/>
                      <w:color w:val="auto"/>
                      <w:kern w:val="0"/>
                      <w:sz w:val="20"/>
                      <w:szCs w:val="20"/>
                      <w:highlight w:val="none"/>
                      <w:lang w:val="en-US" w:eastAsia="zh-CN" w:bidi="ar"/>
                    </w:rPr>
                    <w:t>0.3741</w:t>
                  </w:r>
                </w:p>
              </w:tc>
              <w:tc>
                <w:tcPr>
                  <w:tcW w:w="401" w:type="pct"/>
                  <w:shd w:val="clear" w:color="auto" w:fill="auto"/>
                  <w:vAlign w:val="center"/>
                </w:tcPr>
                <w:p>
                  <w:pPr>
                    <w:jc w:val="center"/>
                    <w:rPr>
                      <w:rFonts w:ascii="Times New Roman" w:hAnsi="Times New Roman" w:eastAsia="宋体" w:cs="Times New Roman"/>
                      <w:color w:val="auto"/>
                      <w:kern w:val="2"/>
                      <w:sz w:val="20"/>
                      <w:szCs w:val="20"/>
                      <w:lang w:val="en-US" w:eastAsia="zh-CN" w:bidi="ar-SA"/>
                    </w:rPr>
                  </w:pPr>
                  <w:r>
                    <w:rPr>
                      <w:rFonts w:hint="eastAsia"/>
                      <w:color w:val="auto"/>
                      <w:sz w:val="20"/>
                      <w:szCs w:val="20"/>
                    </w:rPr>
                    <w:t>500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tcMar>
                    <w:left w:w="0" w:type="dxa"/>
                    <w:right w:w="0" w:type="dxa"/>
                  </w:tcMar>
                  <w:vAlign w:val="center"/>
                </w:tcPr>
                <w:p>
                  <w:pPr>
                    <w:jc w:val="center"/>
                    <w:rPr>
                      <w:color w:val="auto"/>
                      <w:sz w:val="20"/>
                      <w:szCs w:val="20"/>
                    </w:rPr>
                  </w:pPr>
                  <w:r>
                    <w:rPr>
                      <w:rFonts w:hint="eastAsia"/>
                      <w:color w:val="auto"/>
                      <w:sz w:val="20"/>
                      <w:szCs w:val="20"/>
                    </w:rPr>
                    <w:t>-</w:t>
                  </w:r>
                </w:p>
              </w:tc>
              <w:tc>
                <w:tcPr>
                  <w:tcW w:w="402"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01"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59"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272" w:type="pct"/>
                  <w:tcMar>
                    <w:left w:w="0" w:type="dxa"/>
                    <w:right w:w="0" w:type="dxa"/>
                  </w:tcMar>
                  <w:vAlign w:val="center"/>
                </w:tcPr>
                <w:p>
                  <w:pPr>
                    <w:jc w:val="center"/>
                    <w:rPr>
                      <w:color w:val="auto"/>
                      <w:sz w:val="20"/>
                      <w:szCs w:val="20"/>
                    </w:rPr>
                  </w:pPr>
                  <w:r>
                    <w:rPr>
                      <w:rFonts w:hint="eastAsia"/>
                      <w:color w:val="auto"/>
                      <w:sz w:val="20"/>
                      <w:szCs w:val="20"/>
                    </w:rPr>
                    <w:t>-</w:t>
                  </w:r>
                </w:p>
              </w:tc>
              <w:tc>
                <w:tcPr>
                  <w:tcW w:w="220"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366" w:type="pct"/>
                  <w:vMerge w:val="continue"/>
                  <w:vAlign w:val="center"/>
                </w:tcPr>
                <w:p>
                  <w:pPr>
                    <w:jc w:val="center"/>
                    <w:rPr>
                      <w:color w:val="auto"/>
                      <w:sz w:val="20"/>
                      <w:szCs w:val="20"/>
                    </w:rPr>
                  </w:pP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SS</w:t>
                  </w:r>
                </w:p>
              </w:tc>
              <w:tc>
                <w:tcPr>
                  <w:tcW w:w="1153" w:type="dxa"/>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33.56</w:t>
                  </w:r>
                </w:p>
              </w:tc>
              <w:tc>
                <w:tcPr>
                  <w:tcW w:w="404" w:type="pct"/>
                  <w:tcMar>
                    <w:left w:w="0" w:type="dxa"/>
                    <w:right w:w="0" w:type="dxa"/>
                  </w:tcMar>
                  <w:vAlign w:val="center"/>
                </w:tcPr>
                <w:p>
                  <w:pPr>
                    <w:widowControl/>
                    <w:jc w:val="center"/>
                    <w:textAlignment w:val="center"/>
                    <w:rPr>
                      <w:rFonts w:hint="default" w:eastAsia="宋体"/>
                      <w:color w:val="auto"/>
                      <w:kern w:val="0"/>
                      <w:sz w:val="20"/>
                      <w:szCs w:val="20"/>
                      <w:highlight w:val="none"/>
                      <w:lang w:val="en-US" w:eastAsia="zh-CN" w:bidi="ar"/>
                    </w:rPr>
                  </w:pPr>
                  <w:r>
                    <w:rPr>
                      <w:rFonts w:hint="eastAsia"/>
                      <w:color w:val="auto"/>
                      <w:kern w:val="0"/>
                      <w:sz w:val="20"/>
                      <w:szCs w:val="20"/>
                      <w:highlight w:val="none"/>
                      <w:lang w:val="en-US" w:eastAsia="zh-CN" w:bidi="ar"/>
                    </w:rPr>
                    <w:t>0.2146</w:t>
                  </w:r>
                </w:p>
              </w:tc>
              <w:tc>
                <w:tcPr>
                  <w:tcW w:w="401" w:type="pct"/>
                  <w:shd w:val="clear" w:color="auto" w:fill="auto"/>
                  <w:vAlign w:val="center"/>
                </w:tcPr>
                <w:p>
                  <w:pPr>
                    <w:jc w:val="center"/>
                    <w:rPr>
                      <w:rFonts w:ascii="Times New Roman" w:hAnsi="Times New Roman" w:eastAsia="宋体" w:cs="Times New Roman"/>
                      <w:color w:val="auto"/>
                      <w:kern w:val="2"/>
                      <w:sz w:val="20"/>
                      <w:szCs w:val="20"/>
                      <w:lang w:val="en-US" w:eastAsia="zh-CN" w:bidi="ar-SA"/>
                    </w:rPr>
                  </w:pPr>
                  <w:r>
                    <w:rPr>
                      <w:rFonts w:hint="eastAsia"/>
                      <w:color w:val="auto"/>
                      <w:sz w:val="20"/>
                      <w:szCs w:val="20"/>
                    </w:rPr>
                    <w:t>400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tcMar>
                    <w:left w:w="0" w:type="dxa"/>
                    <w:right w:w="0" w:type="dxa"/>
                  </w:tcMar>
                  <w:vAlign w:val="center"/>
                </w:tcPr>
                <w:p>
                  <w:pPr>
                    <w:jc w:val="center"/>
                    <w:rPr>
                      <w:color w:val="auto"/>
                      <w:sz w:val="20"/>
                      <w:szCs w:val="20"/>
                    </w:rPr>
                  </w:pPr>
                  <w:r>
                    <w:rPr>
                      <w:rFonts w:hint="eastAsia"/>
                      <w:color w:val="auto"/>
                      <w:sz w:val="20"/>
                      <w:szCs w:val="20"/>
                    </w:rPr>
                    <w:t>-</w:t>
                  </w:r>
                </w:p>
              </w:tc>
              <w:tc>
                <w:tcPr>
                  <w:tcW w:w="402"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01"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59"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272" w:type="pct"/>
                  <w:tcMar>
                    <w:left w:w="0" w:type="dxa"/>
                    <w:right w:w="0" w:type="dxa"/>
                  </w:tcMar>
                  <w:vAlign w:val="center"/>
                </w:tcPr>
                <w:p>
                  <w:pPr>
                    <w:jc w:val="center"/>
                    <w:rPr>
                      <w:color w:val="auto"/>
                      <w:sz w:val="20"/>
                      <w:szCs w:val="20"/>
                    </w:rPr>
                  </w:pPr>
                  <w:r>
                    <w:rPr>
                      <w:rFonts w:hint="eastAsia"/>
                      <w:color w:val="auto"/>
                      <w:sz w:val="20"/>
                      <w:szCs w:val="20"/>
                    </w:rPr>
                    <w:t>-</w:t>
                  </w:r>
                </w:p>
              </w:tc>
              <w:tc>
                <w:tcPr>
                  <w:tcW w:w="220"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366" w:type="pct"/>
                  <w:vMerge w:val="continue"/>
                  <w:vAlign w:val="center"/>
                </w:tcPr>
                <w:p>
                  <w:pPr>
                    <w:jc w:val="center"/>
                    <w:rPr>
                      <w:color w:val="auto"/>
                      <w:sz w:val="20"/>
                      <w:szCs w:val="20"/>
                    </w:rPr>
                  </w:pP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氨氮</w:t>
                  </w:r>
                </w:p>
              </w:tc>
              <w:tc>
                <w:tcPr>
                  <w:tcW w:w="1153" w:type="dxa"/>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2.75</w:t>
                  </w:r>
                </w:p>
              </w:tc>
              <w:tc>
                <w:tcPr>
                  <w:tcW w:w="404" w:type="pct"/>
                  <w:shd w:val="clear" w:color="auto" w:fill="auto"/>
                  <w:tcMar>
                    <w:left w:w="0" w:type="dxa"/>
                    <w:right w:w="0" w:type="dxa"/>
                  </w:tcMar>
                  <w:vAlign w:val="center"/>
                </w:tcPr>
                <w:p>
                  <w:pPr>
                    <w:jc w:val="center"/>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0.0176</w:t>
                  </w:r>
                </w:p>
              </w:tc>
              <w:tc>
                <w:tcPr>
                  <w:tcW w:w="401" w:type="pct"/>
                  <w:shd w:val="clear" w:color="auto" w:fill="auto"/>
                  <w:vAlign w:val="center"/>
                </w:tcPr>
                <w:p>
                  <w:pPr>
                    <w:jc w:val="center"/>
                    <w:rPr>
                      <w:rFonts w:ascii="Times New Roman" w:hAnsi="Times New Roman" w:eastAsia="宋体" w:cs="Times New Roman"/>
                      <w:color w:val="auto"/>
                      <w:kern w:val="2"/>
                      <w:sz w:val="20"/>
                      <w:szCs w:val="20"/>
                      <w:lang w:val="en-US" w:eastAsia="zh-CN" w:bidi="ar-SA"/>
                    </w:rPr>
                  </w:pPr>
                  <w:r>
                    <w:rPr>
                      <w:rFonts w:hint="eastAsia"/>
                      <w:color w:val="auto"/>
                      <w:sz w:val="20"/>
                      <w:szCs w:val="20"/>
                    </w:rPr>
                    <w:t>45</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tcMar>
                    <w:left w:w="0" w:type="dxa"/>
                    <w:right w:w="0" w:type="dxa"/>
                  </w:tcMar>
                  <w:vAlign w:val="center"/>
                </w:tcPr>
                <w:p>
                  <w:pPr>
                    <w:jc w:val="center"/>
                    <w:rPr>
                      <w:color w:val="auto"/>
                      <w:sz w:val="20"/>
                      <w:szCs w:val="20"/>
                    </w:rPr>
                  </w:pPr>
                  <w:r>
                    <w:rPr>
                      <w:rFonts w:hint="eastAsia"/>
                      <w:color w:val="auto"/>
                      <w:sz w:val="20"/>
                      <w:szCs w:val="20"/>
                    </w:rPr>
                    <w:t>-</w:t>
                  </w:r>
                </w:p>
              </w:tc>
              <w:tc>
                <w:tcPr>
                  <w:tcW w:w="402"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01"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59"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272" w:type="pct"/>
                  <w:tcMar>
                    <w:left w:w="0" w:type="dxa"/>
                    <w:right w:w="0" w:type="dxa"/>
                  </w:tcMar>
                  <w:vAlign w:val="center"/>
                </w:tcPr>
                <w:p>
                  <w:pPr>
                    <w:jc w:val="center"/>
                    <w:rPr>
                      <w:color w:val="auto"/>
                      <w:sz w:val="20"/>
                      <w:szCs w:val="20"/>
                    </w:rPr>
                  </w:pPr>
                  <w:r>
                    <w:rPr>
                      <w:rFonts w:hint="eastAsia"/>
                      <w:color w:val="auto"/>
                      <w:sz w:val="20"/>
                      <w:szCs w:val="20"/>
                    </w:rPr>
                    <w:t>-</w:t>
                  </w:r>
                </w:p>
              </w:tc>
              <w:tc>
                <w:tcPr>
                  <w:tcW w:w="220"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366" w:type="pct"/>
                  <w:vMerge w:val="continue"/>
                  <w:vAlign w:val="center"/>
                </w:tcPr>
                <w:p>
                  <w:pPr>
                    <w:jc w:val="center"/>
                    <w:rPr>
                      <w:color w:val="auto"/>
                      <w:sz w:val="20"/>
                      <w:szCs w:val="20"/>
                    </w:rPr>
                  </w:pP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总氮</w:t>
                  </w:r>
                </w:p>
              </w:tc>
              <w:tc>
                <w:tcPr>
                  <w:tcW w:w="1153" w:type="dxa"/>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4.21</w:t>
                  </w:r>
                </w:p>
              </w:tc>
              <w:tc>
                <w:tcPr>
                  <w:tcW w:w="404" w:type="pct"/>
                  <w:shd w:val="clear" w:color="auto" w:fill="auto"/>
                  <w:tcMar>
                    <w:left w:w="0" w:type="dxa"/>
                    <w:right w:w="0" w:type="dxa"/>
                  </w:tcMar>
                  <w:vAlign w:val="center"/>
                </w:tcPr>
                <w:p>
                  <w:pPr>
                    <w:jc w:val="center"/>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0.0269</w:t>
                  </w:r>
                </w:p>
              </w:tc>
              <w:tc>
                <w:tcPr>
                  <w:tcW w:w="401" w:type="pct"/>
                  <w:shd w:val="clear" w:color="auto" w:fill="auto"/>
                  <w:vAlign w:val="center"/>
                </w:tcPr>
                <w:p>
                  <w:pPr>
                    <w:jc w:val="center"/>
                    <w:rPr>
                      <w:rFonts w:ascii="Times New Roman" w:hAnsi="Times New Roman" w:eastAsia="宋体" w:cs="Times New Roman"/>
                      <w:color w:val="auto"/>
                      <w:kern w:val="2"/>
                      <w:sz w:val="20"/>
                      <w:szCs w:val="20"/>
                      <w:lang w:val="en-US" w:eastAsia="zh-CN" w:bidi="ar-SA"/>
                    </w:rPr>
                  </w:pPr>
                  <w:r>
                    <w:rPr>
                      <w:rFonts w:hint="eastAsia"/>
                      <w:color w:val="auto"/>
                      <w:sz w:val="20"/>
                      <w:szCs w:val="20"/>
                    </w:rPr>
                    <w:t>70</w:t>
                  </w:r>
                </w:p>
              </w:tc>
              <w:tc>
                <w:tcPr>
                  <w:tcW w:w="285" w:type="pct"/>
                  <w:vMerge w:val="continue"/>
                  <w:vAlign w:val="center"/>
                </w:tcPr>
                <w:p>
                  <w:pPr>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20" w:hRule="atLeast"/>
                <w:jc w:val="center"/>
              </w:trPr>
              <w:tc>
                <w:tcPr>
                  <w:tcW w:w="449" w:type="pct"/>
                  <w:vMerge w:val="continue"/>
                  <w:tcMar>
                    <w:left w:w="0" w:type="dxa"/>
                    <w:right w:w="0" w:type="dxa"/>
                  </w:tcMar>
                  <w:vAlign w:val="center"/>
                </w:tcPr>
                <w:p>
                  <w:pPr>
                    <w:jc w:val="center"/>
                    <w:rPr>
                      <w:color w:val="auto"/>
                      <w:sz w:val="20"/>
                      <w:szCs w:val="20"/>
                    </w:rPr>
                  </w:pPr>
                </w:p>
              </w:tc>
              <w:tc>
                <w:tcPr>
                  <w:tcW w:w="422" w:type="pct"/>
                  <w:tcMar>
                    <w:left w:w="0" w:type="dxa"/>
                    <w:right w:w="0" w:type="dxa"/>
                  </w:tcMar>
                  <w:vAlign w:val="center"/>
                </w:tcPr>
                <w:p>
                  <w:pPr>
                    <w:jc w:val="center"/>
                    <w:rPr>
                      <w:color w:val="auto"/>
                      <w:sz w:val="20"/>
                      <w:szCs w:val="20"/>
                    </w:rPr>
                  </w:pPr>
                  <w:r>
                    <w:rPr>
                      <w:rFonts w:hint="eastAsia"/>
                      <w:color w:val="auto"/>
                      <w:sz w:val="20"/>
                      <w:szCs w:val="20"/>
                    </w:rPr>
                    <w:t>-</w:t>
                  </w:r>
                </w:p>
              </w:tc>
              <w:tc>
                <w:tcPr>
                  <w:tcW w:w="402"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01" w:type="pct"/>
                  <w:tcMar>
                    <w:left w:w="0" w:type="dxa"/>
                    <w:right w:w="0" w:type="dxa"/>
                  </w:tcMar>
                  <w:vAlign w:val="center"/>
                </w:tcPr>
                <w:p>
                  <w:pPr>
                    <w:jc w:val="center"/>
                    <w:rPr>
                      <w:rFonts w:eastAsia="等线"/>
                      <w:color w:val="auto"/>
                      <w:sz w:val="20"/>
                      <w:szCs w:val="20"/>
                    </w:rPr>
                  </w:pPr>
                  <w:r>
                    <w:rPr>
                      <w:rFonts w:hint="eastAsia"/>
                      <w:color w:val="auto"/>
                      <w:sz w:val="20"/>
                      <w:szCs w:val="20"/>
                    </w:rPr>
                    <w:t>-</w:t>
                  </w:r>
                </w:p>
              </w:tc>
              <w:tc>
                <w:tcPr>
                  <w:tcW w:w="459"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272" w:type="pct"/>
                  <w:tcMar>
                    <w:left w:w="0" w:type="dxa"/>
                    <w:right w:w="0" w:type="dxa"/>
                  </w:tcMar>
                  <w:vAlign w:val="center"/>
                </w:tcPr>
                <w:p>
                  <w:pPr>
                    <w:jc w:val="center"/>
                    <w:rPr>
                      <w:color w:val="auto"/>
                      <w:sz w:val="20"/>
                      <w:szCs w:val="20"/>
                    </w:rPr>
                  </w:pPr>
                  <w:r>
                    <w:rPr>
                      <w:rFonts w:hint="eastAsia"/>
                      <w:color w:val="auto"/>
                      <w:sz w:val="20"/>
                      <w:szCs w:val="20"/>
                    </w:rPr>
                    <w:t>-</w:t>
                  </w:r>
                </w:p>
              </w:tc>
              <w:tc>
                <w:tcPr>
                  <w:tcW w:w="220" w:type="pct"/>
                  <w:tcMar>
                    <w:left w:w="0" w:type="dxa"/>
                    <w:right w:w="0" w:type="dxa"/>
                  </w:tcMar>
                  <w:vAlign w:val="center"/>
                </w:tcPr>
                <w:p>
                  <w:pPr>
                    <w:widowControl/>
                    <w:jc w:val="center"/>
                    <w:textAlignment w:val="center"/>
                    <w:rPr>
                      <w:color w:val="auto"/>
                      <w:kern w:val="0"/>
                      <w:sz w:val="20"/>
                      <w:szCs w:val="20"/>
                      <w:lang w:bidi="ar"/>
                    </w:rPr>
                  </w:pPr>
                  <w:r>
                    <w:rPr>
                      <w:rFonts w:hint="eastAsia"/>
                      <w:color w:val="auto"/>
                      <w:sz w:val="20"/>
                      <w:szCs w:val="20"/>
                    </w:rPr>
                    <w:t>-</w:t>
                  </w:r>
                </w:p>
              </w:tc>
              <w:tc>
                <w:tcPr>
                  <w:tcW w:w="366" w:type="pct"/>
                  <w:vMerge w:val="continue"/>
                  <w:vAlign w:val="center"/>
                </w:tcPr>
                <w:p>
                  <w:pPr>
                    <w:jc w:val="center"/>
                    <w:rPr>
                      <w:color w:val="auto"/>
                      <w:sz w:val="20"/>
                      <w:szCs w:val="20"/>
                    </w:rPr>
                  </w:pPr>
                </w:p>
              </w:tc>
              <w:tc>
                <w:tcPr>
                  <w:tcW w:w="456" w:type="pct"/>
                  <w:shd w:val="clear" w:color="auto" w:fill="auto"/>
                  <w:tcMar>
                    <w:left w:w="0" w:type="dxa"/>
                    <w:right w:w="0" w:type="dxa"/>
                  </w:tcMar>
                  <w:vAlign w:val="center"/>
                </w:tcPr>
                <w:p>
                  <w:pPr>
                    <w:jc w:val="center"/>
                    <w:rPr>
                      <w:rFonts w:ascii="Times New Roman" w:hAnsi="Times New Roman" w:eastAsia="宋体" w:cs="Times New Roman"/>
                      <w:color w:val="auto"/>
                      <w:kern w:val="2"/>
                      <w:sz w:val="20"/>
                      <w:szCs w:val="20"/>
                      <w:lang w:val="en-US" w:eastAsia="zh-CN" w:bidi="ar-SA"/>
                    </w:rPr>
                  </w:pPr>
                  <w:r>
                    <w:rPr>
                      <w:color w:val="auto"/>
                      <w:sz w:val="20"/>
                      <w:szCs w:val="20"/>
                    </w:rPr>
                    <w:t>总磷</w:t>
                  </w:r>
                </w:p>
              </w:tc>
              <w:tc>
                <w:tcPr>
                  <w:tcW w:w="1153" w:type="dxa"/>
                  <w:vAlign w:val="center"/>
                </w:tcPr>
                <w:p>
                  <w:pPr>
                    <w:widowControl/>
                    <w:jc w:val="center"/>
                    <w:textAlignment w:val="center"/>
                    <w:rPr>
                      <w:rFonts w:hint="default" w:ascii="Times New Roman" w:hAnsi="Times New Roman" w:eastAsia="宋体" w:cs="Times New Roman"/>
                      <w:color w:val="auto"/>
                      <w:kern w:val="0"/>
                      <w:sz w:val="20"/>
                      <w:szCs w:val="20"/>
                      <w:highlight w:val="none"/>
                      <w:lang w:val="en-US" w:eastAsia="zh-CN" w:bidi="ar"/>
                    </w:rPr>
                  </w:pPr>
                  <w:r>
                    <w:rPr>
                      <w:rFonts w:hint="eastAsia" w:ascii="Times New Roman" w:hAnsi="Times New Roman" w:eastAsia="宋体" w:cs="Times New Roman"/>
                      <w:color w:val="auto"/>
                      <w:kern w:val="0"/>
                      <w:sz w:val="20"/>
                      <w:szCs w:val="20"/>
                      <w:highlight w:val="none"/>
                      <w:lang w:val="en-US" w:eastAsia="zh-CN" w:bidi="ar"/>
                    </w:rPr>
                    <w:t>0.41</w:t>
                  </w:r>
                </w:p>
              </w:tc>
              <w:tc>
                <w:tcPr>
                  <w:tcW w:w="404" w:type="pct"/>
                  <w:shd w:val="clear" w:color="auto" w:fill="auto"/>
                  <w:tcMar>
                    <w:left w:w="0" w:type="dxa"/>
                    <w:right w:w="0" w:type="dxa"/>
                  </w:tcMar>
                  <w:vAlign w:val="center"/>
                </w:tcPr>
                <w:p>
                  <w:pPr>
                    <w:jc w:val="center"/>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0.0026</w:t>
                  </w:r>
                </w:p>
              </w:tc>
              <w:tc>
                <w:tcPr>
                  <w:tcW w:w="401" w:type="pct"/>
                  <w:shd w:val="clear" w:color="auto" w:fill="auto"/>
                  <w:vAlign w:val="center"/>
                </w:tcPr>
                <w:p>
                  <w:pPr>
                    <w:jc w:val="center"/>
                    <w:rPr>
                      <w:rFonts w:ascii="Times New Roman" w:hAnsi="Times New Roman" w:eastAsia="宋体" w:cs="Times New Roman"/>
                      <w:color w:val="auto"/>
                      <w:kern w:val="2"/>
                      <w:sz w:val="20"/>
                      <w:szCs w:val="20"/>
                      <w:lang w:val="en-US" w:eastAsia="zh-CN" w:bidi="ar-SA"/>
                    </w:rPr>
                  </w:pPr>
                  <w:r>
                    <w:rPr>
                      <w:rFonts w:hint="eastAsia"/>
                      <w:color w:val="auto"/>
                      <w:sz w:val="20"/>
                      <w:szCs w:val="20"/>
                    </w:rPr>
                    <w:t>8</w:t>
                  </w:r>
                </w:p>
              </w:tc>
              <w:tc>
                <w:tcPr>
                  <w:tcW w:w="285" w:type="pct"/>
                  <w:vMerge w:val="continue"/>
                  <w:vAlign w:val="center"/>
                </w:tcPr>
                <w:p>
                  <w:pPr>
                    <w:jc w:val="center"/>
                    <w:rPr>
                      <w:color w:val="auto"/>
                      <w:sz w:val="20"/>
                      <w:szCs w:val="20"/>
                    </w:rPr>
                  </w:pP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rPr>
                <w:rFonts w:hint="eastAsia" w:eastAsia="宋体"/>
                <w:color w:val="auto"/>
                <w:kern w:val="0"/>
                <w:szCs w:val="21"/>
                <w:lang w:eastAsia="zh-CN"/>
              </w:rPr>
            </w:pPr>
            <w:r>
              <w:rPr>
                <w:color w:val="auto"/>
                <w:kern w:val="0"/>
                <w:szCs w:val="21"/>
              </w:rPr>
              <w:t>本项目废水类别、污染物及污染治理设施信息表见表4-</w:t>
            </w:r>
            <w:r>
              <w:rPr>
                <w:rFonts w:hint="eastAsia"/>
                <w:color w:val="auto"/>
                <w:kern w:val="0"/>
                <w:szCs w:val="21"/>
                <w:lang w:val="en-US" w:eastAsia="zh-CN"/>
              </w:rPr>
              <w:t>18</w:t>
            </w:r>
            <w:r>
              <w:rPr>
                <w:color w:val="auto"/>
                <w:kern w:val="0"/>
                <w:szCs w:val="21"/>
              </w:rPr>
              <w:t>，废水间接排放口基本情况表见表4-</w:t>
            </w:r>
            <w:r>
              <w:rPr>
                <w:rFonts w:hint="eastAsia"/>
                <w:color w:val="auto"/>
                <w:kern w:val="0"/>
                <w:szCs w:val="21"/>
                <w:lang w:val="en-US" w:eastAsia="zh-CN"/>
              </w:rPr>
              <w:t>19.</w:t>
            </w:r>
          </w:p>
          <w:p>
            <w:pPr>
              <w:pStyle w:val="180"/>
              <w:keepNext w:val="0"/>
              <w:keepLines w:val="0"/>
              <w:pageBreakBefore w:val="0"/>
              <w:widowControl w:val="0"/>
              <w:kinsoku/>
              <w:wordWrap/>
              <w:overflowPunct/>
              <w:topLinePunct w:val="0"/>
              <w:bidi w:val="0"/>
              <w:adjustRightInd w:val="0"/>
              <w:snapToGrid w:val="0"/>
              <w:spacing w:line="360" w:lineRule="auto"/>
              <w:rPr>
                <w:b/>
                <w:bCs/>
                <w:color w:val="auto"/>
              </w:rPr>
            </w:pPr>
            <w:r>
              <w:rPr>
                <w:b/>
                <w:bCs/>
                <w:color w:val="auto"/>
              </w:rPr>
              <w:t>表4</w:t>
            </w:r>
            <w:r>
              <w:rPr>
                <w:rFonts w:hint="eastAsia"/>
                <w:b/>
                <w:bCs/>
                <w:color w:val="auto"/>
                <w:lang w:val="en-US"/>
              </w:rPr>
              <w:t>-</w:t>
            </w:r>
            <w:r>
              <w:rPr>
                <w:rFonts w:hint="eastAsia"/>
                <w:b/>
                <w:bCs/>
                <w:color w:val="auto"/>
                <w:lang w:val="en-US" w:eastAsia="zh-CN"/>
              </w:rPr>
              <w:t>18</w:t>
            </w:r>
            <w:r>
              <w:rPr>
                <w:b/>
                <w:bCs/>
                <w:color w:val="auto"/>
              </w:rPr>
              <w:t xml:space="preserve">  废水类别、污染物及污染治理设施信息表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27"/>
              <w:gridCol w:w="876"/>
              <w:gridCol w:w="1279"/>
              <w:gridCol w:w="1050"/>
              <w:gridCol w:w="917"/>
              <w:gridCol w:w="1181"/>
              <w:gridCol w:w="1141"/>
              <w:gridCol w:w="987"/>
              <w:gridCol w:w="1191"/>
              <w:gridCol w:w="1232"/>
              <w:gridCol w:w="21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3" w:hRule="atLeast"/>
                <w:jc w:val="center"/>
              </w:trPr>
              <w:tc>
                <w:tcPr>
                  <w:tcW w:w="248" w:type="pct"/>
                  <w:vMerge w:val="restart"/>
                  <w:tcBorders>
                    <w:tl2br w:val="nil"/>
                    <w:tr2bl w:val="nil"/>
                  </w:tcBorders>
                  <w:noWrap w:val="0"/>
                  <w:vAlign w:val="center"/>
                </w:tcPr>
                <w:p>
                  <w:pPr>
                    <w:jc w:val="center"/>
                    <w:rPr>
                      <w:rFonts w:hint="eastAsia"/>
                      <w:b/>
                      <w:sz w:val="20"/>
                      <w:szCs w:val="20"/>
                    </w:rPr>
                  </w:pPr>
                  <w:r>
                    <w:rPr>
                      <w:rFonts w:hint="eastAsia"/>
                      <w:b/>
                      <w:sz w:val="20"/>
                      <w:szCs w:val="20"/>
                    </w:rPr>
                    <w:t>序号</w:t>
                  </w:r>
                </w:p>
              </w:tc>
              <w:tc>
                <w:tcPr>
                  <w:tcW w:w="347" w:type="pct"/>
                  <w:vMerge w:val="restart"/>
                  <w:tcBorders>
                    <w:tl2br w:val="nil"/>
                    <w:tr2bl w:val="nil"/>
                  </w:tcBorders>
                  <w:noWrap w:val="0"/>
                  <w:vAlign w:val="center"/>
                </w:tcPr>
                <w:p>
                  <w:pPr>
                    <w:jc w:val="center"/>
                    <w:rPr>
                      <w:rFonts w:hint="eastAsia"/>
                      <w:b/>
                      <w:sz w:val="20"/>
                      <w:szCs w:val="20"/>
                    </w:rPr>
                  </w:pPr>
                  <w:r>
                    <w:rPr>
                      <w:rFonts w:hint="eastAsia"/>
                      <w:b/>
                      <w:sz w:val="20"/>
                      <w:szCs w:val="20"/>
                    </w:rPr>
                    <w:t>废水类别</w:t>
                  </w:r>
                </w:p>
              </w:tc>
              <w:tc>
                <w:tcPr>
                  <w:tcW w:w="507" w:type="pct"/>
                  <w:vMerge w:val="restart"/>
                  <w:tcBorders>
                    <w:tl2br w:val="nil"/>
                    <w:tr2bl w:val="nil"/>
                  </w:tcBorders>
                  <w:noWrap w:val="0"/>
                  <w:vAlign w:val="center"/>
                </w:tcPr>
                <w:p>
                  <w:pPr>
                    <w:jc w:val="center"/>
                    <w:rPr>
                      <w:rFonts w:hint="eastAsia"/>
                      <w:b/>
                      <w:sz w:val="20"/>
                      <w:szCs w:val="20"/>
                    </w:rPr>
                  </w:pPr>
                  <w:r>
                    <w:rPr>
                      <w:rFonts w:hint="eastAsia"/>
                      <w:b/>
                      <w:sz w:val="20"/>
                      <w:szCs w:val="20"/>
                    </w:rPr>
                    <w:t>污染物种类</w:t>
                  </w:r>
                </w:p>
              </w:tc>
              <w:tc>
                <w:tcPr>
                  <w:tcW w:w="416" w:type="pct"/>
                  <w:vMerge w:val="restart"/>
                  <w:tcBorders>
                    <w:tl2br w:val="nil"/>
                    <w:tr2bl w:val="nil"/>
                  </w:tcBorders>
                  <w:noWrap w:val="0"/>
                  <w:vAlign w:val="center"/>
                </w:tcPr>
                <w:p>
                  <w:pPr>
                    <w:jc w:val="center"/>
                    <w:rPr>
                      <w:rFonts w:hint="eastAsia"/>
                      <w:b/>
                      <w:sz w:val="20"/>
                      <w:szCs w:val="20"/>
                    </w:rPr>
                  </w:pPr>
                  <w:r>
                    <w:rPr>
                      <w:rFonts w:hint="eastAsia"/>
                      <w:b/>
                      <w:sz w:val="20"/>
                      <w:szCs w:val="20"/>
                    </w:rPr>
                    <w:t>排放去向</w:t>
                  </w:r>
                </w:p>
              </w:tc>
              <w:tc>
                <w:tcPr>
                  <w:tcW w:w="364" w:type="pct"/>
                  <w:vMerge w:val="restart"/>
                  <w:tcBorders>
                    <w:tl2br w:val="nil"/>
                    <w:tr2bl w:val="nil"/>
                  </w:tcBorders>
                  <w:noWrap w:val="0"/>
                  <w:vAlign w:val="center"/>
                </w:tcPr>
                <w:p>
                  <w:pPr>
                    <w:jc w:val="center"/>
                    <w:rPr>
                      <w:rFonts w:hint="eastAsia"/>
                      <w:b/>
                      <w:sz w:val="20"/>
                      <w:szCs w:val="20"/>
                    </w:rPr>
                  </w:pPr>
                  <w:r>
                    <w:rPr>
                      <w:rFonts w:hint="eastAsia"/>
                      <w:b/>
                      <w:sz w:val="20"/>
                      <w:szCs w:val="20"/>
                    </w:rPr>
                    <w:t>排放规律</w:t>
                  </w:r>
                </w:p>
              </w:tc>
              <w:tc>
                <w:tcPr>
                  <w:tcW w:w="1313" w:type="pct"/>
                  <w:gridSpan w:val="3"/>
                  <w:tcBorders>
                    <w:tl2br w:val="nil"/>
                    <w:tr2bl w:val="nil"/>
                  </w:tcBorders>
                  <w:noWrap w:val="0"/>
                  <w:vAlign w:val="center"/>
                </w:tcPr>
                <w:p>
                  <w:pPr>
                    <w:jc w:val="center"/>
                    <w:rPr>
                      <w:rFonts w:hint="eastAsia"/>
                      <w:b/>
                      <w:sz w:val="20"/>
                      <w:szCs w:val="20"/>
                    </w:rPr>
                  </w:pPr>
                  <w:r>
                    <w:rPr>
                      <w:rFonts w:hint="eastAsia"/>
                      <w:b/>
                      <w:sz w:val="20"/>
                      <w:szCs w:val="20"/>
                    </w:rPr>
                    <w:t>污染治理措施</w:t>
                  </w:r>
                </w:p>
              </w:tc>
              <w:tc>
                <w:tcPr>
                  <w:tcW w:w="472" w:type="pct"/>
                  <w:vMerge w:val="restart"/>
                  <w:tcBorders>
                    <w:tl2br w:val="nil"/>
                    <w:tr2bl w:val="nil"/>
                  </w:tcBorders>
                  <w:noWrap w:val="0"/>
                  <w:vAlign w:val="center"/>
                </w:tcPr>
                <w:p>
                  <w:pPr>
                    <w:jc w:val="center"/>
                    <w:rPr>
                      <w:rFonts w:hint="eastAsia"/>
                      <w:b/>
                      <w:sz w:val="20"/>
                      <w:szCs w:val="20"/>
                    </w:rPr>
                  </w:pPr>
                  <w:r>
                    <w:rPr>
                      <w:rFonts w:hint="eastAsia"/>
                      <w:b/>
                      <w:sz w:val="20"/>
                      <w:szCs w:val="20"/>
                    </w:rPr>
                    <w:t>排放口编号</w:t>
                  </w:r>
                </w:p>
              </w:tc>
              <w:tc>
                <w:tcPr>
                  <w:tcW w:w="489" w:type="pct"/>
                  <w:vMerge w:val="restart"/>
                  <w:tcBorders>
                    <w:tl2br w:val="nil"/>
                    <w:tr2bl w:val="nil"/>
                  </w:tcBorders>
                  <w:noWrap w:val="0"/>
                  <w:vAlign w:val="center"/>
                </w:tcPr>
                <w:p>
                  <w:pPr>
                    <w:jc w:val="center"/>
                    <w:rPr>
                      <w:rFonts w:hint="eastAsia"/>
                      <w:b/>
                      <w:sz w:val="20"/>
                      <w:szCs w:val="20"/>
                    </w:rPr>
                  </w:pPr>
                  <w:r>
                    <w:rPr>
                      <w:rFonts w:hint="eastAsia"/>
                      <w:b/>
                      <w:sz w:val="20"/>
                      <w:szCs w:val="20"/>
                    </w:rPr>
                    <w:t>排放口是否符合要求</w:t>
                  </w:r>
                </w:p>
              </w:tc>
              <w:tc>
                <w:tcPr>
                  <w:tcW w:w="838" w:type="pct"/>
                  <w:vMerge w:val="restart"/>
                  <w:tcBorders>
                    <w:tl2br w:val="nil"/>
                    <w:tr2bl w:val="nil"/>
                  </w:tcBorders>
                  <w:noWrap w:val="0"/>
                  <w:vAlign w:val="center"/>
                </w:tcPr>
                <w:p>
                  <w:pPr>
                    <w:jc w:val="center"/>
                    <w:rPr>
                      <w:rFonts w:hint="eastAsia"/>
                      <w:b/>
                      <w:sz w:val="20"/>
                      <w:szCs w:val="20"/>
                    </w:rPr>
                  </w:pPr>
                  <w:r>
                    <w:rPr>
                      <w:rFonts w:hint="eastAsia"/>
                      <w:b/>
                      <w:sz w:val="20"/>
                      <w:szCs w:val="20"/>
                    </w:rPr>
                    <w:t>排口类型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248" w:type="pct"/>
                  <w:vMerge w:val="continue"/>
                  <w:tcBorders>
                    <w:tl2br w:val="nil"/>
                    <w:tr2bl w:val="nil"/>
                  </w:tcBorders>
                  <w:noWrap w:val="0"/>
                  <w:vAlign w:val="center"/>
                </w:tcPr>
                <w:p>
                  <w:pPr>
                    <w:jc w:val="center"/>
                    <w:rPr>
                      <w:rFonts w:hint="eastAsia"/>
                      <w:bCs/>
                      <w:sz w:val="20"/>
                      <w:szCs w:val="20"/>
                    </w:rPr>
                  </w:pPr>
                </w:p>
              </w:tc>
              <w:tc>
                <w:tcPr>
                  <w:tcW w:w="347" w:type="pct"/>
                  <w:vMerge w:val="continue"/>
                  <w:tcBorders>
                    <w:tl2br w:val="nil"/>
                    <w:tr2bl w:val="nil"/>
                  </w:tcBorders>
                  <w:noWrap w:val="0"/>
                  <w:vAlign w:val="center"/>
                </w:tcPr>
                <w:p>
                  <w:pPr>
                    <w:jc w:val="center"/>
                    <w:rPr>
                      <w:rFonts w:hint="eastAsia"/>
                      <w:bCs/>
                      <w:sz w:val="20"/>
                      <w:szCs w:val="20"/>
                    </w:rPr>
                  </w:pPr>
                </w:p>
              </w:tc>
              <w:tc>
                <w:tcPr>
                  <w:tcW w:w="507" w:type="pct"/>
                  <w:vMerge w:val="continue"/>
                  <w:tcBorders>
                    <w:tl2br w:val="nil"/>
                    <w:tr2bl w:val="nil"/>
                  </w:tcBorders>
                  <w:noWrap w:val="0"/>
                  <w:vAlign w:val="center"/>
                </w:tcPr>
                <w:p>
                  <w:pPr>
                    <w:jc w:val="center"/>
                    <w:rPr>
                      <w:rFonts w:hint="eastAsia"/>
                      <w:bCs/>
                      <w:sz w:val="20"/>
                      <w:szCs w:val="20"/>
                    </w:rPr>
                  </w:pPr>
                </w:p>
              </w:tc>
              <w:tc>
                <w:tcPr>
                  <w:tcW w:w="416" w:type="pct"/>
                  <w:vMerge w:val="continue"/>
                  <w:tcBorders>
                    <w:tl2br w:val="nil"/>
                    <w:tr2bl w:val="nil"/>
                  </w:tcBorders>
                  <w:noWrap w:val="0"/>
                  <w:vAlign w:val="center"/>
                </w:tcPr>
                <w:p>
                  <w:pPr>
                    <w:jc w:val="center"/>
                    <w:rPr>
                      <w:rFonts w:hint="eastAsia"/>
                      <w:bCs/>
                      <w:sz w:val="20"/>
                      <w:szCs w:val="20"/>
                    </w:rPr>
                  </w:pPr>
                </w:p>
              </w:tc>
              <w:tc>
                <w:tcPr>
                  <w:tcW w:w="364" w:type="pct"/>
                  <w:vMerge w:val="continue"/>
                  <w:tcBorders>
                    <w:tl2br w:val="nil"/>
                    <w:tr2bl w:val="nil"/>
                  </w:tcBorders>
                  <w:noWrap w:val="0"/>
                  <w:vAlign w:val="center"/>
                </w:tcPr>
                <w:p>
                  <w:pPr>
                    <w:jc w:val="center"/>
                    <w:rPr>
                      <w:rFonts w:hint="eastAsia"/>
                      <w:bCs/>
                      <w:sz w:val="20"/>
                      <w:szCs w:val="20"/>
                    </w:rPr>
                  </w:pPr>
                </w:p>
              </w:tc>
              <w:tc>
                <w:tcPr>
                  <w:tcW w:w="468" w:type="pct"/>
                  <w:tcBorders>
                    <w:tl2br w:val="nil"/>
                    <w:tr2bl w:val="nil"/>
                  </w:tcBorders>
                  <w:noWrap w:val="0"/>
                  <w:vAlign w:val="center"/>
                </w:tcPr>
                <w:p>
                  <w:pPr>
                    <w:jc w:val="center"/>
                    <w:rPr>
                      <w:rFonts w:hint="eastAsia"/>
                      <w:b/>
                      <w:sz w:val="20"/>
                      <w:szCs w:val="20"/>
                    </w:rPr>
                  </w:pPr>
                  <w:r>
                    <w:rPr>
                      <w:rFonts w:hint="eastAsia"/>
                      <w:b/>
                      <w:sz w:val="20"/>
                      <w:szCs w:val="20"/>
                    </w:rPr>
                    <w:t>污染治理设施编号</w:t>
                  </w:r>
                </w:p>
              </w:tc>
              <w:tc>
                <w:tcPr>
                  <w:tcW w:w="453" w:type="pct"/>
                  <w:tcBorders>
                    <w:tl2br w:val="nil"/>
                    <w:tr2bl w:val="nil"/>
                  </w:tcBorders>
                  <w:noWrap w:val="0"/>
                  <w:vAlign w:val="center"/>
                </w:tcPr>
                <w:p>
                  <w:pPr>
                    <w:jc w:val="center"/>
                    <w:rPr>
                      <w:rFonts w:hint="eastAsia"/>
                      <w:b/>
                      <w:sz w:val="20"/>
                      <w:szCs w:val="20"/>
                    </w:rPr>
                  </w:pPr>
                  <w:r>
                    <w:rPr>
                      <w:rFonts w:hint="eastAsia"/>
                      <w:b/>
                      <w:sz w:val="20"/>
                      <w:szCs w:val="20"/>
                    </w:rPr>
                    <w:t>污染治理设施名称</w:t>
                  </w:r>
                </w:p>
              </w:tc>
              <w:tc>
                <w:tcPr>
                  <w:tcW w:w="391" w:type="pct"/>
                  <w:tcBorders>
                    <w:tl2br w:val="nil"/>
                    <w:tr2bl w:val="nil"/>
                  </w:tcBorders>
                  <w:noWrap w:val="0"/>
                  <w:vAlign w:val="center"/>
                </w:tcPr>
                <w:p>
                  <w:pPr>
                    <w:jc w:val="center"/>
                    <w:rPr>
                      <w:rFonts w:hint="eastAsia"/>
                      <w:b/>
                      <w:sz w:val="20"/>
                      <w:szCs w:val="20"/>
                    </w:rPr>
                  </w:pPr>
                  <w:r>
                    <w:rPr>
                      <w:rFonts w:hint="eastAsia"/>
                      <w:b/>
                      <w:sz w:val="20"/>
                      <w:szCs w:val="20"/>
                    </w:rPr>
                    <w:t>污染治理工艺</w:t>
                  </w:r>
                </w:p>
              </w:tc>
              <w:tc>
                <w:tcPr>
                  <w:tcW w:w="472" w:type="pct"/>
                  <w:vMerge w:val="continue"/>
                  <w:tcBorders>
                    <w:tl2br w:val="nil"/>
                    <w:tr2bl w:val="nil"/>
                  </w:tcBorders>
                  <w:noWrap w:val="0"/>
                  <w:vAlign w:val="center"/>
                </w:tcPr>
                <w:p>
                  <w:pPr>
                    <w:jc w:val="center"/>
                    <w:rPr>
                      <w:rFonts w:hint="eastAsia"/>
                      <w:bCs/>
                      <w:sz w:val="20"/>
                      <w:szCs w:val="20"/>
                    </w:rPr>
                  </w:pPr>
                </w:p>
              </w:tc>
              <w:tc>
                <w:tcPr>
                  <w:tcW w:w="489" w:type="pct"/>
                  <w:vMerge w:val="continue"/>
                  <w:tcBorders>
                    <w:tl2br w:val="nil"/>
                    <w:tr2bl w:val="nil"/>
                  </w:tcBorders>
                  <w:noWrap w:val="0"/>
                  <w:vAlign w:val="center"/>
                </w:tcPr>
                <w:p>
                  <w:pPr>
                    <w:jc w:val="center"/>
                    <w:rPr>
                      <w:rFonts w:hint="eastAsia"/>
                      <w:bCs/>
                      <w:sz w:val="20"/>
                      <w:szCs w:val="20"/>
                    </w:rPr>
                  </w:pPr>
                </w:p>
              </w:tc>
              <w:tc>
                <w:tcPr>
                  <w:tcW w:w="838" w:type="pct"/>
                  <w:vMerge w:val="continue"/>
                  <w:tcBorders>
                    <w:tl2br w:val="nil"/>
                    <w:tr2bl w:val="nil"/>
                  </w:tcBorders>
                  <w:noWrap w:val="0"/>
                  <w:vAlign w:val="center"/>
                </w:tcPr>
                <w:p>
                  <w:pPr>
                    <w:jc w:val="center"/>
                    <w:rPr>
                      <w:rFonts w:hint="eastAsia"/>
                      <w:bCs/>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48" w:type="pct"/>
                  <w:tcBorders>
                    <w:tl2br w:val="nil"/>
                    <w:tr2bl w:val="nil"/>
                  </w:tcBorders>
                  <w:noWrap w:val="0"/>
                  <w:vAlign w:val="center"/>
                </w:tcPr>
                <w:p>
                  <w:pPr>
                    <w:jc w:val="center"/>
                    <w:rPr>
                      <w:rFonts w:hint="eastAsia"/>
                      <w:bCs/>
                      <w:sz w:val="20"/>
                      <w:szCs w:val="20"/>
                    </w:rPr>
                  </w:pPr>
                  <w:r>
                    <w:rPr>
                      <w:rFonts w:hint="eastAsia"/>
                      <w:bCs/>
                      <w:sz w:val="20"/>
                      <w:szCs w:val="20"/>
                    </w:rPr>
                    <w:t>1</w:t>
                  </w:r>
                </w:p>
              </w:tc>
              <w:tc>
                <w:tcPr>
                  <w:tcW w:w="347" w:type="pct"/>
                  <w:tcBorders>
                    <w:tl2br w:val="nil"/>
                    <w:tr2bl w:val="nil"/>
                  </w:tcBorders>
                  <w:noWrap w:val="0"/>
                  <w:vAlign w:val="center"/>
                </w:tcPr>
                <w:p>
                  <w:pPr>
                    <w:jc w:val="center"/>
                    <w:rPr>
                      <w:rFonts w:hint="eastAsia"/>
                      <w:bCs/>
                      <w:sz w:val="20"/>
                      <w:szCs w:val="20"/>
                    </w:rPr>
                  </w:pPr>
                  <w:r>
                    <w:rPr>
                      <w:rFonts w:hint="eastAsia"/>
                      <w:bCs/>
                      <w:sz w:val="20"/>
                      <w:szCs w:val="20"/>
                    </w:rPr>
                    <w:t>生活污水</w:t>
                  </w:r>
                </w:p>
              </w:tc>
              <w:tc>
                <w:tcPr>
                  <w:tcW w:w="507" w:type="pct"/>
                  <w:tcBorders>
                    <w:tl2br w:val="nil"/>
                    <w:tr2bl w:val="nil"/>
                  </w:tcBorders>
                  <w:noWrap w:val="0"/>
                  <w:vAlign w:val="center"/>
                </w:tcPr>
                <w:p>
                  <w:pPr>
                    <w:jc w:val="center"/>
                    <w:rPr>
                      <w:rFonts w:hint="default" w:eastAsia="宋体"/>
                      <w:bCs/>
                      <w:sz w:val="20"/>
                      <w:szCs w:val="20"/>
                      <w:lang w:val="en-US" w:eastAsia="zh-CN"/>
                    </w:rPr>
                  </w:pPr>
                  <w:r>
                    <w:rPr>
                      <w:rFonts w:hint="eastAsia"/>
                      <w:bCs/>
                      <w:sz w:val="20"/>
                      <w:szCs w:val="20"/>
                    </w:rPr>
                    <w:t>COD</w:t>
                  </w:r>
                  <w:r>
                    <w:rPr>
                      <w:rFonts w:hint="eastAsia"/>
                      <w:bCs/>
                      <w:sz w:val="20"/>
                      <w:szCs w:val="20"/>
                      <w:lang w:eastAsia="zh-CN"/>
                    </w:rPr>
                    <w:t>、</w:t>
                  </w:r>
                  <w:r>
                    <w:rPr>
                      <w:rFonts w:hint="eastAsia"/>
                      <w:bCs/>
                      <w:sz w:val="20"/>
                      <w:szCs w:val="20"/>
                    </w:rPr>
                    <w:t>SS</w:t>
                  </w:r>
                  <w:r>
                    <w:rPr>
                      <w:rFonts w:hint="eastAsia"/>
                      <w:bCs/>
                      <w:sz w:val="20"/>
                      <w:szCs w:val="20"/>
                      <w:lang w:eastAsia="zh-CN"/>
                    </w:rPr>
                    <w:t>、</w:t>
                  </w:r>
                  <w:r>
                    <w:rPr>
                      <w:rFonts w:hint="eastAsia"/>
                      <w:bCs/>
                      <w:sz w:val="20"/>
                      <w:szCs w:val="20"/>
                    </w:rPr>
                    <w:t>氨氮</w:t>
                  </w:r>
                  <w:r>
                    <w:rPr>
                      <w:rFonts w:hint="eastAsia"/>
                      <w:bCs/>
                      <w:sz w:val="20"/>
                      <w:szCs w:val="20"/>
                      <w:lang w:eastAsia="zh-CN"/>
                    </w:rPr>
                    <w:t>、</w:t>
                  </w:r>
                  <w:r>
                    <w:rPr>
                      <w:rFonts w:hint="eastAsia"/>
                      <w:bCs/>
                      <w:sz w:val="20"/>
                      <w:szCs w:val="20"/>
                    </w:rPr>
                    <w:t>总氮</w:t>
                  </w:r>
                  <w:r>
                    <w:rPr>
                      <w:rFonts w:hint="eastAsia"/>
                      <w:bCs/>
                      <w:sz w:val="20"/>
                      <w:szCs w:val="20"/>
                      <w:lang w:eastAsia="zh-CN"/>
                    </w:rPr>
                    <w:t>、</w:t>
                  </w:r>
                  <w:r>
                    <w:rPr>
                      <w:rFonts w:hint="eastAsia"/>
                      <w:bCs/>
                      <w:sz w:val="20"/>
                      <w:szCs w:val="20"/>
                    </w:rPr>
                    <w:t>总磷</w:t>
                  </w:r>
                  <w:r>
                    <w:rPr>
                      <w:rFonts w:hint="eastAsia"/>
                      <w:bCs/>
                      <w:sz w:val="20"/>
                      <w:szCs w:val="20"/>
                      <w:lang w:eastAsia="zh-CN"/>
                    </w:rPr>
                    <w:t>、</w:t>
                  </w:r>
                  <w:r>
                    <w:rPr>
                      <w:rFonts w:hint="eastAsia"/>
                      <w:bCs/>
                      <w:sz w:val="20"/>
                      <w:szCs w:val="20"/>
                      <w:lang w:val="en-US" w:eastAsia="zh-CN"/>
                    </w:rPr>
                    <w:t>动植物油</w:t>
                  </w:r>
                </w:p>
              </w:tc>
              <w:tc>
                <w:tcPr>
                  <w:tcW w:w="416" w:type="pct"/>
                  <w:vMerge w:val="restart"/>
                  <w:tcBorders>
                    <w:tl2br w:val="nil"/>
                    <w:tr2bl w:val="nil"/>
                  </w:tcBorders>
                  <w:noWrap w:val="0"/>
                  <w:vAlign w:val="center"/>
                </w:tcPr>
                <w:p>
                  <w:pPr>
                    <w:jc w:val="center"/>
                    <w:rPr>
                      <w:rFonts w:hint="eastAsia"/>
                      <w:bCs/>
                      <w:sz w:val="20"/>
                      <w:szCs w:val="20"/>
                    </w:rPr>
                  </w:pPr>
                  <w:r>
                    <w:rPr>
                      <w:rFonts w:hint="eastAsia"/>
                      <w:color w:val="auto"/>
                      <w:sz w:val="20"/>
                      <w:szCs w:val="20"/>
                      <w:lang w:val="en-US" w:eastAsia="zh-CN"/>
                    </w:rPr>
                    <w:t>接管如皋市九华镇污水处理厂</w:t>
                  </w:r>
                </w:p>
              </w:tc>
              <w:tc>
                <w:tcPr>
                  <w:tcW w:w="364" w:type="pct"/>
                  <w:tcBorders>
                    <w:tl2br w:val="nil"/>
                    <w:tr2bl w:val="nil"/>
                  </w:tcBorders>
                  <w:noWrap w:val="0"/>
                  <w:vAlign w:val="center"/>
                </w:tcPr>
                <w:p>
                  <w:pPr>
                    <w:jc w:val="center"/>
                    <w:rPr>
                      <w:rFonts w:hint="eastAsia"/>
                      <w:bCs/>
                      <w:sz w:val="20"/>
                      <w:szCs w:val="20"/>
                    </w:rPr>
                  </w:pPr>
                  <w:r>
                    <w:rPr>
                      <w:rFonts w:hint="eastAsia"/>
                      <w:bCs/>
                      <w:sz w:val="20"/>
                      <w:szCs w:val="20"/>
                    </w:rPr>
                    <w:t>间歇</w:t>
                  </w:r>
                </w:p>
              </w:tc>
              <w:tc>
                <w:tcPr>
                  <w:tcW w:w="468" w:type="pct"/>
                  <w:tcBorders>
                    <w:tl2br w:val="nil"/>
                    <w:tr2bl w:val="nil"/>
                  </w:tcBorders>
                  <w:noWrap w:val="0"/>
                  <w:vAlign w:val="center"/>
                </w:tcPr>
                <w:p>
                  <w:pPr>
                    <w:jc w:val="center"/>
                    <w:rPr>
                      <w:rFonts w:hint="eastAsia"/>
                      <w:bCs/>
                      <w:sz w:val="20"/>
                      <w:szCs w:val="20"/>
                    </w:rPr>
                  </w:pPr>
                  <w:r>
                    <w:rPr>
                      <w:rFonts w:hint="eastAsia"/>
                      <w:bCs/>
                      <w:sz w:val="20"/>
                      <w:szCs w:val="20"/>
                    </w:rPr>
                    <w:t>TW001</w:t>
                  </w:r>
                </w:p>
              </w:tc>
              <w:tc>
                <w:tcPr>
                  <w:tcW w:w="453" w:type="pct"/>
                  <w:tcBorders>
                    <w:tl2br w:val="nil"/>
                    <w:tr2bl w:val="nil"/>
                  </w:tcBorders>
                  <w:noWrap w:val="0"/>
                  <w:vAlign w:val="center"/>
                </w:tcPr>
                <w:p>
                  <w:pPr>
                    <w:jc w:val="center"/>
                    <w:rPr>
                      <w:rFonts w:hint="eastAsia"/>
                      <w:bCs/>
                      <w:sz w:val="20"/>
                      <w:szCs w:val="20"/>
                    </w:rPr>
                  </w:pPr>
                  <w:r>
                    <w:rPr>
                      <w:rFonts w:hint="eastAsia"/>
                      <w:bCs/>
                      <w:sz w:val="20"/>
                      <w:szCs w:val="20"/>
                    </w:rPr>
                    <w:t>化粪池</w:t>
                  </w:r>
                </w:p>
              </w:tc>
              <w:tc>
                <w:tcPr>
                  <w:tcW w:w="391" w:type="pct"/>
                  <w:tcBorders>
                    <w:tl2br w:val="nil"/>
                    <w:tr2bl w:val="nil"/>
                  </w:tcBorders>
                  <w:noWrap w:val="0"/>
                  <w:vAlign w:val="center"/>
                </w:tcPr>
                <w:p>
                  <w:pPr>
                    <w:jc w:val="center"/>
                    <w:rPr>
                      <w:rFonts w:hint="eastAsia"/>
                      <w:bCs/>
                      <w:sz w:val="20"/>
                      <w:szCs w:val="20"/>
                    </w:rPr>
                  </w:pPr>
                  <w:r>
                    <w:rPr>
                      <w:rFonts w:hint="eastAsia"/>
                      <w:bCs/>
                      <w:sz w:val="20"/>
                      <w:szCs w:val="20"/>
                    </w:rPr>
                    <w:t>化粪池处理</w:t>
                  </w:r>
                </w:p>
              </w:tc>
              <w:tc>
                <w:tcPr>
                  <w:tcW w:w="472" w:type="pct"/>
                  <w:vMerge w:val="restart"/>
                  <w:tcBorders>
                    <w:tl2br w:val="nil"/>
                    <w:tr2bl w:val="nil"/>
                  </w:tcBorders>
                  <w:noWrap w:val="0"/>
                  <w:vAlign w:val="center"/>
                </w:tcPr>
                <w:p>
                  <w:pPr>
                    <w:jc w:val="center"/>
                    <w:rPr>
                      <w:rFonts w:hint="eastAsia"/>
                      <w:bCs/>
                      <w:sz w:val="20"/>
                      <w:szCs w:val="20"/>
                    </w:rPr>
                  </w:pPr>
                  <w:r>
                    <w:rPr>
                      <w:rFonts w:hint="eastAsia"/>
                      <w:bCs/>
                      <w:sz w:val="20"/>
                      <w:szCs w:val="20"/>
                    </w:rPr>
                    <w:t>DW001</w:t>
                  </w:r>
                </w:p>
              </w:tc>
              <w:tc>
                <w:tcPr>
                  <w:tcW w:w="489" w:type="pct"/>
                  <w:vMerge w:val="restart"/>
                  <w:tcBorders>
                    <w:tl2br w:val="nil"/>
                    <w:tr2bl w:val="nil"/>
                  </w:tcBorders>
                  <w:noWrap w:val="0"/>
                  <w:vAlign w:val="center"/>
                </w:tcPr>
                <w:p>
                  <w:pPr>
                    <w:jc w:val="center"/>
                    <w:rPr>
                      <w:rFonts w:hint="eastAsia"/>
                      <w:bCs/>
                      <w:sz w:val="20"/>
                      <w:szCs w:val="20"/>
                    </w:rPr>
                  </w:pPr>
                  <w:r>
                    <w:rPr>
                      <w:rFonts w:hint="eastAsia"/>
                      <w:bCs/>
                      <w:sz w:val="20"/>
                      <w:szCs w:val="20"/>
                    </w:rPr>
                    <w:sym w:font="Wingdings 2" w:char="0052"/>
                  </w:r>
                  <w:r>
                    <w:rPr>
                      <w:rFonts w:hint="eastAsia"/>
                      <w:bCs/>
                      <w:sz w:val="20"/>
                      <w:szCs w:val="20"/>
                    </w:rPr>
                    <w:t>是</w:t>
                  </w:r>
                </w:p>
                <w:p>
                  <w:pPr>
                    <w:jc w:val="center"/>
                    <w:rPr>
                      <w:rFonts w:hint="eastAsia"/>
                      <w:bCs/>
                      <w:sz w:val="20"/>
                      <w:szCs w:val="20"/>
                    </w:rPr>
                  </w:pPr>
                  <w:r>
                    <w:rPr>
                      <w:rFonts w:hint="eastAsia"/>
                      <w:bCs/>
                      <w:sz w:val="20"/>
                      <w:szCs w:val="20"/>
                    </w:rPr>
                    <w:sym w:font="Wingdings 2" w:char="00A3"/>
                  </w:r>
                  <w:r>
                    <w:rPr>
                      <w:rFonts w:hint="eastAsia"/>
                      <w:bCs/>
                      <w:sz w:val="20"/>
                      <w:szCs w:val="20"/>
                    </w:rPr>
                    <w:t>否</w:t>
                  </w:r>
                </w:p>
              </w:tc>
              <w:tc>
                <w:tcPr>
                  <w:tcW w:w="838" w:type="pct"/>
                  <w:vMerge w:val="restart"/>
                  <w:tcBorders>
                    <w:tl2br w:val="nil"/>
                    <w:tr2bl w:val="nil"/>
                  </w:tcBorders>
                  <w:noWrap w:val="0"/>
                  <w:vAlign w:val="center"/>
                </w:tcPr>
                <w:p>
                  <w:pPr>
                    <w:jc w:val="center"/>
                    <w:rPr>
                      <w:rFonts w:hint="eastAsia"/>
                      <w:bCs/>
                      <w:sz w:val="20"/>
                      <w:szCs w:val="20"/>
                    </w:rPr>
                  </w:pPr>
                  <w:r>
                    <w:rPr>
                      <w:rFonts w:hint="eastAsia"/>
                      <w:bCs/>
                      <w:sz w:val="20"/>
                      <w:szCs w:val="20"/>
                    </w:rPr>
                    <w:sym w:font="Wingdings 2" w:char="0052"/>
                  </w:r>
                  <w:r>
                    <w:rPr>
                      <w:rFonts w:hint="eastAsia"/>
                      <w:bCs/>
                      <w:sz w:val="20"/>
                      <w:szCs w:val="20"/>
                    </w:rPr>
                    <w:t>企业总排</w:t>
                  </w:r>
                </w:p>
                <w:p>
                  <w:pPr>
                    <w:jc w:val="center"/>
                    <w:rPr>
                      <w:rFonts w:hint="eastAsia"/>
                      <w:bCs/>
                      <w:sz w:val="20"/>
                      <w:szCs w:val="20"/>
                    </w:rPr>
                  </w:pPr>
                  <w:r>
                    <w:rPr>
                      <w:rFonts w:hint="eastAsia"/>
                      <w:bCs/>
                      <w:sz w:val="20"/>
                      <w:szCs w:val="20"/>
                    </w:rPr>
                    <w:sym w:font="Wingdings 2" w:char="00A3"/>
                  </w:r>
                  <w:r>
                    <w:rPr>
                      <w:rFonts w:hint="eastAsia"/>
                      <w:bCs/>
                      <w:sz w:val="20"/>
                      <w:szCs w:val="20"/>
                    </w:rPr>
                    <w:t>雨水排放清净下水排放</w:t>
                  </w:r>
                </w:p>
                <w:p>
                  <w:pPr>
                    <w:jc w:val="center"/>
                    <w:rPr>
                      <w:rFonts w:hint="eastAsia"/>
                      <w:bCs/>
                      <w:sz w:val="20"/>
                      <w:szCs w:val="20"/>
                    </w:rPr>
                  </w:pPr>
                  <w:r>
                    <w:rPr>
                      <w:rFonts w:hint="eastAsia"/>
                      <w:bCs/>
                      <w:sz w:val="20"/>
                      <w:szCs w:val="20"/>
                    </w:rPr>
                    <w:sym w:font="Wingdings 2" w:char="00A3"/>
                  </w:r>
                  <w:r>
                    <w:rPr>
                      <w:rFonts w:hint="eastAsia"/>
                      <w:bCs/>
                      <w:sz w:val="20"/>
                      <w:szCs w:val="20"/>
                    </w:rPr>
                    <w:t>温排水排放</w:t>
                  </w:r>
                </w:p>
                <w:p>
                  <w:pPr>
                    <w:jc w:val="center"/>
                    <w:rPr>
                      <w:rFonts w:hint="eastAsia"/>
                      <w:bCs/>
                      <w:sz w:val="20"/>
                      <w:szCs w:val="20"/>
                    </w:rPr>
                  </w:pPr>
                  <w:r>
                    <w:rPr>
                      <w:rFonts w:hint="eastAsia"/>
                      <w:bCs/>
                      <w:sz w:val="20"/>
                      <w:szCs w:val="20"/>
                    </w:rPr>
                    <w:sym w:font="Wingdings 2" w:char="00A3"/>
                  </w:r>
                  <w:r>
                    <w:rPr>
                      <w:rFonts w:hint="eastAsia"/>
                      <w:bCs/>
                      <w:sz w:val="20"/>
                      <w:szCs w:val="20"/>
                    </w:rPr>
                    <w:t>车间或车间处理设备排放口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48" w:type="pct"/>
                  <w:tcBorders>
                    <w:tl2br w:val="nil"/>
                    <w:tr2bl w:val="nil"/>
                  </w:tcBorders>
                  <w:noWrap w:val="0"/>
                  <w:vAlign w:val="center"/>
                </w:tcPr>
                <w:p>
                  <w:pPr>
                    <w:jc w:val="center"/>
                    <w:rPr>
                      <w:rFonts w:hint="eastAsia"/>
                      <w:bCs/>
                      <w:sz w:val="20"/>
                      <w:szCs w:val="20"/>
                    </w:rPr>
                  </w:pPr>
                  <w:r>
                    <w:rPr>
                      <w:rFonts w:hint="eastAsia"/>
                      <w:bCs/>
                      <w:sz w:val="20"/>
                      <w:szCs w:val="20"/>
                    </w:rPr>
                    <w:t>2</w:t>
                  </w:r>
                </w:p>
              </w:tc>
              <w:tc>
                <w:tcPr>
                  <w:tcW w:w="347" w:type="pct"/>
                  <w:tcBorders>
                    <w:tl2br w:val="nil"/>
                    <w:tr2bl w:val="nil"/>
                  </w:tcBorders>
                  <w:noWrap w:val="0"/>
                  <w:vAlign w:val="center"/>
                </w:tcPr>
                <w:p>
                  <w:pPr>
                    <w:jc w:val="center"/>
                    <w:rPr>
                      <w:rFonts w:hint="default" w:eastAsia="宋体"/>
                      <w:bCs/>
                      <w:sz w:val="20"/>
                      <w:szCs w:val="20"/>
                      <w:lang w:val="en-US" w:eastAsia="zh-CN"/>
                    </w:rPr>
                  </w:pPr>
                  <w:r>
                    <w:rPr>
                      <w:rFonts w:hint="eastAsia"/>
                      <w:bCs/>
                      <w:sz w:val="20"/>
                      <w:szCs w:val="20"/>
                    </w:rPr>
                    <w:t>喷淋废水、</w:t>
                  </w:r>
                  <w:r>
                    <w:rPr>
                      <w:rFonts w:hint="eastAsia"/>
                      <w:bCs/>
                      <w:sz w:val="20"/>
                      <w:szCs w:val="20"/>
                      <w:lang w:val="en-US" w:eastAsia="zh-CN"/>
                    </w:rPr>
                    <w:t>水幕除尘废水</w:t>
                  </w:r>
                </w:p>
              </w:tc>
              <w:tc>
                <w:tcPr>
                  <w:tcW w:w="507" w:type="pct"/>
                  <w:tcBorders>
                    <w:tl2br w:val="nil"/>
                    <w:tr2bl w:val="nil"/>
                  </w:tcBorders>
                  <w:noWrap w:val="0"/>
                  <w:vAlign w:val="center"/>
                </w:tcPr>
                <w:p>
                  <w:pPr>
                    <w:jc w:val="center"/>
                    <w:rPr>
                      <w:rFonts w:hint="eastAsia" w:eastAsia="宋体"/>
                      <w:bCs/>
                      <w:sz w:val="20"/>
                      <w:szCs w:val="20"/>
                      <w:lang w:eastAsia="zh-CN"/>
                    </w:rPr>
                  </w:pPr>
                  <w:r>
                    <w:rPr>
                      <w:rFonts w:hint="eastAsia"/>
                      <w:bCs/>
                      <w:sz w:val="20"/>
                      <w:szCs w:val="20"/>
                    </w:rPr>
                    <w:t>COD</w:t>
                  </w:r>
                  <w:r>
                    <w:rPr>
                      <w:rFonts w:hint="eastAsia"/>
                      <w:bCs/>
                      <w:sz w:val="20"/>
                      <w:szCs w:val="20"/>
                      <w:lang w:eastAsia="zh-CN"/>
                    </w:rPr>
                    <w:t>、</w:t>
                  </w:r>
                  <w:r>
                    <w:rPr>
                      <w:rFonts w:hint="eastAsia"/>
                      <w:bCs/>
                      <w:sz w:val="20"/>
                      <w:szCs w:val="20"/>
                    </w:rPr>
                    <w:t>SS</w:t>
                  </w:r>
                </w:p>
              </w:tc>
              <w:tc>
                <w:tcPr>
                  <w:tcW w:w="416" w:type="pct"/>
                  <w:vMerge w:val="continue"/>
                  <w:tcBorders>
                    <w:tl2br w:val="nil"/>
                    <w:tr2bl w:val="nil"/>
                  </w:tcBorders>
                  <w:noWrap w:val="0"/>
                  <w:vAlign w:val="center"/>
                </w:tcPr>
                <w:p>
                  <w:pPr>
                    <w:jc w:val="center"/>
                    <w:rPr>
                      <w:rFonts w:hint="eastAsia"/>
                      <w:bCs/>
                      <w:sz w:val="20"/>
                      <w:szCs w:val="20"/>
                    </w:rPr>
                  </w:pPr>
                </w:p>
              </w:tc>
              <w:tc>
                <w:tcPr>
                  <w:tcW w:w="364" w:type="pct"/>
                  <w:tcBorders>
                    <w:tl2br w:val="nil"/>
                    <w:tr2bl w:val="nil"/>
                  </w:tcBorders>
                  <w:noWrap w:val="0"/>
                  <w:vAlign w:val="center"/>
                </w:tcPr>
                <w:p>
                  <w:pPr>
                    <w:jc w:val="center"/>
                    <w:rPr>
                      <w:bCs/>
                      <w:sz w:val="20"/>
                      <w:szCs w:val="20"/>
                    </w:rPr>
                  </w:pPr>
                  <w:r>
                    <w:rPr>
                      <w:rFonts w:hint="eastAsia"/>
                      <w:bCs/>
                      <w:sz w:val="20"/>
                      <w:szCs w:val="20"/>
                    </w:rPr>
                    <w:t>间歇</w:t>
                  </w:r>
                </w:p>
              </w:tc>
              <w:tc>
                <w:tcPr>
                  <w:tcW w:w="468" w:type="pct"/>
                  <w:tcBorders>
                    <w:tl2br w:val="nil"/>
                    <w:tr2bl w:val="nil"/>
                  </w:tcBorders>
                  <w:noWrap w:val="0"/>
                  <w:vAlign w:val="center"/>
                </w:tcPr>
                <w:p>
                  <w:pPr>
                    <w:jc w:val="center"/>
                    <w:rPr>
                      <w:rFonts w:hint="eastAsia"/>
                      <w:bCs/>
                      <w:sz w:val="20"/>
                      <w:szCs w:val="20"/>
                    </w:rPr>
                  </w:pPr>
                  <w:r>
                    <w:rPr>
                      <w:rFonts w:hint="eastAsia"/>
                      <w:bCs/>
                      <w:sz w:val="20"/>
                      <w:szCs w:val="20"/>
                    </w:rPr>
                    <w:t>TW002</w:t>
                  </w:r>
                </w:p>
              </w:tc>
              <w:tc>
                <w:tcPr>
                  <w:tcW w:w="453" w:type="pct"/>
                  <w:tcBorders>
                    <w:tl2br w:val="nil"/>
                    <w:tr2bl w:val="nil"/>
                  </w:tcBorders>
                  <w:noWrap w:val="0"/>
                  <w:vAlign w:val="center"/>
                </w:tcPr>
                <w:p>
                  <w:pPr>
                    <w:jc w:val="center"/>
                    <w:rPr>
                      <w:rFonts w:hint="eastAsia" w:eastAsia="宋体"/>
                      <w:bCs/>
                      <w:sz w:val="20"/>
                      <w:szCs w:val="20"/>
                      <w:lang w:eastAsia="zh-CN"/>
                    </w:rPr>
                  </w:pPr>
                  <w:r>
                    <w:rPr>
                      <w:rFonts w:hint="eastAsia"/>
                      <w:bCs/>
                      <w:sz w:val="20"/>
                      <w:szCs w:val="20"/>
                      <w:lang w:val="en-US" w:eastAsia="zh-CN"/>
                    </w:rPr>
                    <w:t>华胜污水处理站</w:t>
                  </w:r>
                </w:p>
              </w:tc>
              <w:tc>
                <w:tcPr>
                  <w:tcW w:w="391" w:type="pct"/>
                  <w:tcBorders>
                    <w:tl2br w:val="nil"/>
                    <w:tr2bl w:val="nil"/>
                  </w:tcBorders>
                  <w:noWrap w:val="0"/>
                  <w:vAlign w:val="center"/>
                </w:tcPr>
                <w:p>
                  <w:pPr>
                    <w:jc w:val="center"/>
                    <w:rPr>
                      <w:rFonts w:hint="default" w:eastAsia="宋体"/>
                      <w:bCs/>
                      <w:color w:val="000000"/>
                      <w:sz w:val="20"/>
                      <w:szCs w:val="20"/>
                      <w:lang w:val="en-US" w:eastAsia="zh-CN"/>
                    </w:rPr>
                  </w:pPr>
                  <w:r>
                    <w:rPr>
                      <w:rFonts w:hint="eastAsia"/>
                      <w:bCs/>
                      <w:color w:val="000000"/>
                      <w:sz w:val="20"/>
                      <w:szCs w:val="20"/>
                      <w:lang w:val="en-US" w:eastAsia="zh-CN"/>
                    </w:rPr>
                    <w:t>调节+</w:t>
                  </w:r>
                  <w:r>
                    <w:rPr>
                      <w:rFonts w:hint="eastAsia"/>
                      <w:bCs/>
                      <w:color w:val="000000"/>
                      <w:sz w:val="20"/>
                      <w:szCs w:val="20"/>
                    </w:rPr>
                    <w:t>混凝沉淀</w:t>
                  </w:r>
                  <w:r>
                    <w:rPr>
                      <w:rFonts w:hint="eastAsia"/>
                      <w:bCs/>
                      <w:color w:val="000000"/>
                      <w:sz w:val="20"/>
                      <w:szCs w:val="20"/>
                      <w:lang w:val="en-US" w:eastAsia="zh-CN"/>
                    </w:rPr>
                    <w:t>+水解酸化+接触氧化池+二沉池+终沉池</w:t>
                  </w:r>
                </w:p>
              </w:tc>
              <w:tc>
                <w:tcPr>
                  <w:tcW w:w="472" w:type="pct"/>
                  <w:vMerge w:val="continue"/>
                  <w:tcBorders>
                    <w:tl2br w:val="nil"/>
                    <w:tr2bl w:val="nil"/>
                  </w:tcBorders>
                  <w:noWrap w:val="0"/>
                  <w:vAlign w:val="center"/>
                </w:tcPr>
                <w:p>
                  <w:pPr>
                    <w:jc w:val="center"/>
                    <w:rPr>
                      <w:rFonts w:hint="eastAsia"/>
                      <w:bCs/>
                      <w:sz w:val="20"/>
                      <w:szCs w:val="20"/>
                    </w:rPr>
                  </w:pPr>
                </w:p>
              </w:tc>
              <w:tc>
                <w:tcPr>
                  <w:tcW w:w="489" w:type="pct"/>
                  <w:vMerge w:val="continue"/>
                  <w:tcBorders>
                    <w:tl2br w:val="nil"/>
                    <w:tr2bl w:val="nil"/>
                  </w:tcBorders>
                  <w:noWrap w:val="0"/>
                  <w:vAlign w:val="center"/>
                </w:tcPr>
                <w:p>
                  <w:pPr>
                    <w:jc w:val="center"/>
                    <w:rPr>
                      <w:rFonts w:hint="eastAsia"/>
                      <w:bCs/>
                      <w:sz w:val="20"/>
                      <w:szCs w:val="20"/>
                    </w:rPr>
                  </w:pPr>
                </w:p>
              </w:tc>
              <w:tc>
                <w:tcPr>
                  <w:tcW w:w="838" w:type="pct"/>
                  <w:vMerge w:val="continue"/>
                  <w:tcBorders>
                    <w:tl2br w:val="nil"/>
                    <w:tr2bl w:val="nil"/>
                  </w:tcBorders>
                  <w:noWrap w:val="0"/>
                  <w:vAlign w:val="center"/>
                </w:tcPr>
                <w:p>
                  <w:pPr>
                    <w:jc w:val="center"/>
                    <w:rPr>
                      <w:rFonts w:hint="eastAsia"/>
                      <w:bCs/>
                      <w:sz w:val="20"/>
                      <w:szCs w:val="20"/>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5" w:hRule="atLeast"/>
                <w:jc w:val="center"/>
              </w:trPr>
              <w:tc>
                <w:tcPr>
                  <w:tcW w:w="248" w:type="pct"/>
                  <w:tcBorders>
                    <w:tl2br w:val="nil"/>
                    <w:tr2bl w:val="nil"/>
                  </w:tcBorders>
                  <w:noWrap w:val="0"/>
                  <w:vAlign w:val="center"/>
                </w:tcPr>
                <w:p>
                  <w:pPr>
                    <w:jc w:val="center"/>
                    <w:rPr>
                      <w:rFonts w:hint="eastAsia"/>
                      <w:bCs/>
                      <w:sz w:val="20"/>
                      <w:szCs w:val="20"/>
                    </w:rPr>
                  </w:pPr>
                  <w:r>
                    <w:rPr>
                      <w:rFonts w:hint="eastAsia"/>
                      <w:bCs/>
                      <w:sz w:val="20"/>
                      <w:szCs w:val="20"/>
                    </w:rPr>
                    <w:t>3</w:t>
                  </w:r>
                </w:p>
              </w:tc>
              <w:tc>
                <w:tcPr>
                  <w:tcW w:w="347" w:type="pct"/>
                  <w:tcBorders>
                    <w:tl2br w:val="nil"/>
                    <w:tr2bl w:val="nil"/>
                  </w:tcBorders>
                  <w:noWrap w:val="0"/>
                  <w:vAlign w:val="center"/>
                </w:tcPr>
                <w:p>
                  <w:pPr>
                    <w:jc w:val="center"/>
                    <w:rPr>
                      <w:rFonts w:hint="default" w:eastAsia="宋体"/>
                      <w:bCs/>
                      <w:sz w:val="20"/>
                      <w:szCs w:val="20"/>
                      <w:lang w:val="en-US" w:eastAsia="zh-CN"/>
                    </w:rPr>
                  </w:pPr>
                  <w:r>
                    <w:rPr>
                      <w:rFonts w:hint="eastAsia"/>
                      <w:bCs/>
                      <w:sz w:val="20"/>
                      <w:szCs w:val="20"/>
                      <w:lang w:val="en-US" w:eastAsia="zh-CN"/>
                    </w:rPr>
                    <w:t>纯水制备废水</w:t>
                  </w:r>
                </w:p>
              </w:tc>
              <w:tc>
                <w:tcPr>
                  <w:tcW w:w="507" w:type="pct"/>
                  <w:tcBorders>
                    <w:tl2br w:val="nil"/>
                    <w:tr2bl w:val="nil"/>
                  </w:tcBorders>
                  <w:noWrap w:val="0"/>
                  <w:vAlign w:val="center"/>
                </w:tcPr>
                <w:p>
                  <w:pPr>
                    <w:jc w:val="center"/>
                    <w:rPr>
                      <w:rFonts w:hint="eastAsia"/>
                      <w:bCs/>
                      <w:sz w:val="20"/>
                      <w:szCs w:val="20"/>
                    </w:rPr>
                  </w:pPr>
                  <w:r>
                    <w:rPr>
                      <w:rFonts w:hint="eastAsia"/>
                      <w:bCs/>
                      <w:sz w:val="20"/>
                      <w:szCs w:val="20"/>
                    </w:rPr>
                    <w:t>COD</w:t>
                  </w:r>
                </w:p>
                <w:p>
                  <w:pPr>
                    <w:jc w:val="center"/>
                    <w:rPr>
                      <w:rFonts w:hint="eastAsia"/>
                      <w:bCs/>
                      <w:sz w:val="20"/>
                      <w:szCs w:val="20"/>
                    </w:rPr>
                  </w:pPr>
                  <w:r>
                    <w:rPr>
                      <w:rFonts w:hint="eastAsia"/>
                      <w:bCs/>
                      <w:sz w:val="20"/>
                      <w:szCs w:val="20"/>
                    </w:rPr>
                    <w:t>SS</w:t>
                  </w:r>
                </w:p>
              </w:tc>
              <w:tc>
                <w:tcPr>
                  <w:tcW w:w="416" w:type="pct"/>
                  <w:vMerge w:val="continue"/>
                  <w:tcBorders>
                    <w:tl2br w:val="nil"/>
                    <w:tr2bl w:val="nil"/>
                  </w:tcBorders>
                  <w:noWrap w:val="0"/>
                  <w:vAlign w:val="center"/>
                </w:tcPr>
                <w:p>
                  <w:pPr>
                    <w:jc w:val="center"/>
                    <w:rPr>
                      <w:rFonts w:hint="eastAsia"/>
                      <w:bCs/>
                      <w:sz w:val="20"/>
                      <w:szCs w:val="20"/>
                    </w:rPr>
                  </w:pPr>
                </w:p>
              </w:tc>
              <w:tc>
                <w:tcPr>
                  <w:tcW w:w="364" w:type="pct"/>
                  <w:tcBorders>
                    <w:tl2br w:val="nil"/>
                    <w:tr2bl w:val="nil"/>
                  </w:tcBorders>
                  <w:noWrap w:val="0"/>
                  <w:vAlign w:val="center"/>
                </w:tcPr>
                <w:p>
                  <w:pPr>
                    <w:jc w:val="center"/>
                    <w:rPr>
                      <w:rFonts w:hint="eastAsia"/>
                      <w:bCs/>
                      <w:sz w:val="20"/>
                      <w:szCs w:val="20"/>
                    </w:rPr>
                  </w:pPr>
                  <w:r>
                    <w:rPr>
                      <w:rFonts w:hint="eastAsia"/>
                      <w:bCs/>
                      <w:sz w:val="20"/>
                      <w:szCs w:val="20"/>
                    </w:rPr>
                    <w:t>间歇</w:t>
                  </w:r>
                </w:p>
              </w:tc>
              <w:tc>
                <w:tcPr>
                  <w:tcW w:w="468" w:type="pct"/>
                  <w:tcBorders>
                    <w:tl2br w:val="nil"/>
                    <w:tr2bl w:val="nil"/>
                  </w:tcBorders>
                  <w:noWrap w:val="0"/>
                  <w:vAlign w:val="center"/>
                </w:tcPr>
                <w:p>
                  <w:pPr>
                    <w:jc w:val="center"/>
                    <w:rPr>
                      <w:rFonts w:hint="eastAsia"/>
                      <w:bCs/>
                      <w:sz w:val="20"/>
                      <w:szCs w:val="20"/>
                    </w:rPr>
                  </w:pPr>
                  <w:r>
                    <w:rPr>
                      <w:rFonts w:hint="eastAsia"/>
                      <w:bCs/>
                      <w:sz w:val="20"/>
                      <w:szCs w:val="20"/>
                    </w:rPr>
                    <w:t>/</w:t>
                  </w:r>
                </w:p>
              </w:tc>
              <w:tc>
                <w:tcPr>
                  <w:tcW w:w="453" w:type="pct"/>
                  <w:tcBorders>
                    <w:tl2br w:val="nil"/>
                    <w:tr2bl w:val="nil"/>
                  </w:tcBorders>
                  <w:noWrap w:val="0"/>
                  <w:vAlign w:val="center"/>
                </w:tcPr>
                <w:p>
                  <w:pPr>
                    <w:jc w:val="center"/>
                    <w:rPr>
                      <w:rFonts w:hint="eastAsia"/>
                      <w:bCs/>
                      <w:sz w:val="20"/>
                      <w:szCs w:val="20"/>
                    </w:rPr>
                  </w:pPr>
                  <w:r>
                    <w:rPr>
                      <w:rFonts w:hint="eastAsia"/>
                      <w:bCs/>
                      <w:sz w:val="20"/>
                      <w:szCs w:val="20"/>
                    </w:rPr>
                    <w:t>/</w:t>
                  </w:r>
                </w:p>
              </w:tc>
              <w:tc>
                <w:tcPr>
                  <w:tcW w:w="391" w:type="pct"/>
                  <w:tcBorders>
                    <w:tl2br w:val="nil"/>
                    <w:tr2bl w:val="nil"/>
                  </w:tcBorders>
                  <w:noWrap w:val="0"/>
                  <w:vAlign w:val="center"/>
                </w:tcPr>
                <w:p>
                  <w:pPr>
                    <w:jc w:val="center"/>
                    <w:rPr>
                      <w:rFonts w:hint="eastAsia"/>
                      <w:bCs/>
                      <w:sz w:val="20"/>
                      <w:szCs w:val="20"/>
                    </w:rPr>
                  </w:pPr>
                  <w:r>
                    <w:rPr>
                      <w:rFonts w:hint="eastAsia"/>
                      <w:bCs/>
                      <w:sz w:val="20"/>
                      <w:szCs w:val="20"/>
                    </w:rPr>
                    <w:t>/</w:t>
                  </w:r>
                </w:p>
              </w:tc>
              <w:tc>
                <w:tcPr>
                  <w:tcW w:w="472" w:type="pct"/>
                  <w:vMerge w:val="continue"/>
                  <w:tcBorders>
                    <w:tl2br w:val="nil"/>
                    <w:tr2bl w:val="nil"/>
                  </w:tcBorders>
                  <w:noWrap w:val="0"/>
                  <w:vAlign w:val="center"/>
                </w:tcPr>
                <w:p>
                  <w:pPr>
                    <w:jc w:val="center"/>
                    <w:rPr>
                      <w:rFonts w:hint="eastAsia"/>
                      <w:bCs/>
                      <w:sz w:val="20"/>
                      <w:szCs w:val="20"/>
                    </w:rPr>
                  </w:pPr>
                </w:p>
              </w:tc>
              <w:tc>
                <w:tcPr>
                  <w:tcW w:w="489" w:type="pct"/>
                  <w:vMerge w:val="continue"/>
                  <w:tcBorders>
                    <w:tl2br w:val="nil"/>
                    <w:tr2bl w:val="nil"/>
                  </w:tcBorders>
                  <w:noWrap w:val="0"/>
                  <w:vAlign w:val="center"/>
                </w:tcPr>
                <w:p>
                  <w:pPr>
                    <w:jc w:val="center"/>
                    <w:rPr>
                      <w:rFonts w:hint="eastAsia"/>
                      <w:bCs/>
                      <w:sz w:val="20"/>
                      <w:szCs w:val="20"/>
                    </w:rPr>
                  </w:pPr>
                </w:p>
              </w:tc>
              <w:tc>
                <w:tcPr>
                  <w:tcW w:w="838" w:type="pct"/>
                  <w:vMerge w:val="continue"/>
                  <w:tcBorders>
                    <w:tl2br w:val="nil"/>
                    <w:tr2bl w:val="nil"/>
                  </w:tcBorders>
                  <w:noWrap w:val="0"/>
                  <w:vAlign w:val="center"/>
                </w:tcPr>
                <w:p>
                  <w:pPr>
                    <w:jc w:val="center"/>
                    <w:rPr>
                      <w:rFonts w:hint="eastAsia"/>
                      <w:bCs/>
                      <w:sz w:val="20"/>
                      <w:szCs w:val="20"/>
                    </w:rPr>
                  </w:pPr>
                </w:p>
              </w:tc>
            </w:tr>
          </w:tbl>
          <w:p>
            <w:pPr>
              <w:autoSpaceDE w:val="0"/>
              <w:autoSpaceDN w:val="0"/>
              <w:adjustRightInd w:val="0"/>
              <w:snapToGrid w:val="0"/>
              <w:spacing w:line="400" w:lineRule="exact"/>
              <w:ind w:firstLine="420" w:firstLineChars="200"/>
              <w:rPr>
                <w:color w:val="auto"/>
                <w:kern w:val="0"/>
                <w:szCs w:val="21"/>
              </w:rPr>
            </w:pPr>
          </w:p>
          <w:p>
            <w:pPr>
              <w:pStyle w:val="180"/>
              <w:spacing w:line="360" w:lineRule="auto"/>
              <w:rPr>
                <w:b/>
                <w:bCs/>
                <w:color w:val="auto"/>
              </w:rPr>
            </w:pPr>
            <w:r>
              <w:rPr>
                <w:rFonts w:hint="eastAsia"/>
                <w:b/>
                <w:bCs/>
                <w:color w:val="auto"/>
              </w:rPr>
              <w:t>表4</w:t>
            </w:r>
            <w:r>
              <w:rPr>
                <w:rFonts w:hint="eastAsia"/>
                <w:b/>
                <w:bCs/>
                <w:color w:val="auto"/>
                <w:lang w:val="en-US"/>
              </w:rPr>
              <w:t>-</w:t>
            </w:r>
            <w:r>
              <w:rPr>
                <w:rFonts w:hint="eastAsia"/>
                <w:b/>
                <w:bCs/>
                <w:color w:val="auto"/>
                <w:lang w:val="en-US" w:eastAsia="zh-CN"/>
              </w:rPr>
              <w:t>19</w:t>
            </w:r>
            <w:r>
              <w:rPr>
                <w:rFonts w:hint="eastAsia"/>
                <w:b/>
                <w:bCs/>
                <w:color w:val="auto"/>
                <w:lang w:val="en-US"/>
              </w:rPr>
              <w:t xml:space="preserve">  </w:t>
            </w:r>
            <w:r>
              <w:rPr>
                <w:b/>
                <w:bCs/>
                <w:color w:val="auto"/>
              </w:rPr>
              <w:t xml:space="preserve"> 废水间接排放口基本情况表</w:t>
            </w:r>
          </w:p>
          <w:tbl>
            <w:tblPr>
              <w:tblStyle w:val="9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1"/>
              <w:gridCol w:w="864"/>
              <w:gridCol w:w="1442"/>
              <w:gridCol w:w="1297"/>
              <w:gridCol w:w="1297"/>
              <w:gridCol w:w="1007"/>
              <w:gridCol w:w="864"/>
              <w:gridCol w:w="1007"/>
              <w:gridCol w:w="1154"/>
              <w:gridCol w:w="1311"/>
              <w:gridCol w:w="18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restart"/>
                  <w:tcBorders>
                    <w:top w:val="single" w:color="auto" w:sz="12" w:space="0"/>
                    <w:left w:val="nil"/>
                    <w:bottom w:val="single" w:color="auto" w:sz="4" w:space="0"/>
                  </w:tcBorders>
                  <w:vAlign w:val="center"/>
                </w:tcPr>
                <w:p>
                  <w:pPr>
                    <w:jc w:val="center"/>
                    <w:rPr>
                      <w:b/>
                      <w:color w:val="auto"/>
                      <w:sz w:val="20"/>
                      <w:szCs w:val="20"/>
                    </w:rPr>
                  </w:pPr>
                  <w:r>
                    <w:rPr>
                      <w:b/>
                      <w:color w:val="auto"/>
                      <w:sz w:val="20"/>
                      <w:szCs w:val="20"/>
                    </w:rPr>
                    <w:t>序号</w:t>
                  </w:r>
                </w:p>
              </w:tc>
              <w:tc>
                <w:tcPr>
                  <w:tcW w:w="343" w:type="pct"/>
                  <w:vMerge w:val="restart"/>
                  <w:tcBorders>
                    <w:top w:val="single" w:color="auto" w:sz="12" w:space="0"/>
                    <w:bottom w:val="single" w:color="auto" w:sz="4" w:space="0"/>
                  </w:tcBorders>
                  <w:vAlign w:val="center"/>
                </w:tcPr>
                <w:p>
                  <w:pPr>
                    <w:jc w:val="center"/>
                    <w:rPr>
                      <w:b/>
                      <w:color w:val="auto"/>
                      <w:sz w:val="20"/>
                      <w:szCs w:val="20"/>
                    </w:rPr>
                  </w:pPr>
                  <w:r>
                    <w:rPr>
                      <w:b/>
                      <w:color w:val="auto"/>
                      <w:sz w:val="20"/>
                      <w:szCs w:val="20"/>
                    </w:rPr>
                    <w:t>排放口编号</w:t>
                  </w:r>
                </w:p>
              </w:tc>
              <w:tc>
                <w:tcPr>
                  <w:tcW w:w="1090" w:type="pct"/>
                  <w:gridSpan w:val="2"/>
                  <w:tcBorders>
                    <w:top w:val="single" w:color="auto" w:sz="12" w:space="0"/>
                    <w:bottom w:val="single" w:color="auto" w:sz="4" w:space="0"/>
                  </w:tcBorders>
                  <w:vAlign w:val="center"/>
                </w:tcPr>
                <w:p>
                  <w:pPr>
                    <w:jc w:val="center"/>
                    <w:rPr>
                      <w:b/>
                      <w:color w:val="auto"/>
                      <w:sz w:val="20"/>
                      <w:szCs w:val="20"/>
                    </w:rPr>
                  </w:pPr>
                  <w:r>
                    <w:rPr>
                      <w:b/>
                      <w:color w:val="auto"/>
                      <w:sz w:val="20"/>
                      <w:szCs w:val="20"/>
                    </w:rPr>
                    <w:t>排放口地理坐标</w:t>
                  </w:r>
                </w:p>
              </w:tc>
              <w:tc>
                <w:tcPr>
                  <w:tcW w:w="516" w:type="pct"/>
                  <w:vMerge w:val="restart"/>
                  <w:tcBorders>
                    <w:top w:val="single" w:color="auto" w:sz="12" w:space="0"/>
                    <w:bottom w:val="single" w:color="auto" w:sz="4" w:space="0"/>
                  </w:tcBorders>
                  <w:vAlign w:val="center"/>
                </w:tcPr>
                <w:p>
                  <w:pPr>
                    <w:jc w:val="center"/>
                    <w:rPr>
                      <w:b/>
                      <w:color w:val="auto"/>
                      <w:sz w:val="20"/>
                      <w:szCs w:val="20"/>
                    </w:rPr>
                  </w:pPr>
                  <w:r>
                    <w:rPr>
                      <w:b/>
                      <w:color w:val="auto"/>
                      <w:sz w:val="20"/>
                      <w:szCs w:val="20"/>
                    </w:rPr>
                    <w:t>废水排放量（万t/a）</w:t>
                  </w:r>
                </w:p>
              </w:tc>
              <w:tc>
                <w:tcPr>
                  <w:tcW w:w="400" w:type="pct"/>
                  <w:vMerge w:val="restart"/>
                  <w:tcBorders>
                    <w:top w:val="single" w:color="auto" w:sz="12" w:space="0"/>
                    <w:bottom w:val="single" w:color="auto" w:sz="4" w:space="0"/>
                  </w:tcBorders>
                  <w:vAlign w:val="center"/>
                </w:tcPr>
                <w:p>
                  <w:pPr>
                    <w:jc w:val="center"/>
                    <w:rPr>
                      <w:b/>
                      <w:color w:val="auto"/>
                      <w:sz w:val="20"/>
                      <w:szCs w:val="20"/>
                    </w:rPr>
                  </w:pPr>
                  <w:r>
                    <w:rPr>
                      <w:b/>
                      <w:color w:val="auto"/>
                      <w:sz w:val="20"/>
                      <w:szCs w:val="20"/>
                    </w:rPr>
                    <w:t>排放去向</w:t>
                  </w:r>
                </w:p>
              </w:tc>
              <w:tc>
                <w:tcPr>
                  <w:tcW w:w="343" w:type="pct"/>
                  <w:vMerge w:val="restart"/>
                  <w:tcBorders>
                    <w:top w:val="single" w:color="auto" w:sz="12" w:space="0"/>
                    <w:bottom w:val="single" w:color="auto" w:sz="4" w:space="0"/>
                  </w:tcBorders>
                  <w:vAlign w:val="center"/>
                </w:tcPr>
                <w:p>
                  <w:pPr>
                    <w:jc w:val="center"/>
                    <w:rPr>
                      <w:b/>
                      <w:color w:val="auto"/>
                      <w:sz w:val="20"/>
                      <w:szCs w:val="20"/>
                    </w:rPr>
                  </w:pPr>
                  <w:r>
                    <w:rPr>
                      <w:b/>
                      <w:color w:val="auto"/>
                      <w:sz w:val="20"/>
                      <w:szCs w:val="20"/>
                    </w:rPr>
                    <w:t>排放规律</w:t>
                  </w:r>
                </w:p>
              </w:tc>
              <w:tc>
                <w:tcPr>
                  <w:tcW w:w="400" w:type="pct"/>
                  <w:vMerge w:val="restart"/>
                  <w:tcBorders>
                    <w:top w:val="single" w:color="auto" w:sz="12" w:space="0"/>
                    <w:bottom w:val="single" w:color="auto" w:sz="4" w:space="0"/>
                  </w:tcBorders>
                  <w:vAlign w:val="center"/>
                </w:tcPr>
                <w:p>
                  <w:pPr>
                    <w:jc w:val="center"/>
                    <w:rPr>
                      <w:b/>
                      <w:color w:val="auto"/>
                      <w:sz w:val="20"/>
                      <w:szCs w:val="20"/>
                    </w:rPr>
                  </w:pPr>
                  <w:r>
                    <w:rPr>
                      <w:b/>
                      <w:color w:val="auto"/>
                      <w:sz w:val="20"/>
                      <w:szCs w:val="20"/>
                    </w:rPr>
                    <w:t>间歇排放时段</w:t>
                  </w:r>
                </w:p>
              </w:tc>
              <w:tc>
                <w:tcPr>
                  <w:tcW w:w="1720" w:type="pct"/>
                  <w:gridSpan w:val="3"/>
                  <w:tcBorders>
                    <w:top w:val="single" w:color="auto" w:sz="12" w:space="0"/>
                    <w:bottom w:val="single" w:color="auto" w:sz="4" w:space="0"/>
                    <w:right w:val="nil"/>
                  </w:tcBorders>
                  <w:vAlign w:val="center"/>
                </w:tcPr>
                <w:p>
                  <w:pPr>
                    <w:jc w:val="center"/>
                    <w:rPr>
                      <w:b/>
                      <w:color w:val="auto"/>
                      <w:sz w:val="20"/>
                      <w:szCs w:val="20"/>
                    </w:rPr>
                  </w:pPr>
                  <w:r>
                    <w:rPr>
                      <w:b/>
                      <w:color w:val="auto"/>
                      <w:sz w:val="20"/>
                      <w:szCs w:val="20"/>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tcBorders>
                    <w:top w:val="single" w:color="auto" w:sz="4" w:space="0"/>
                    <w:left w:val="nil"/>
                    <w:bottom w:val="single" w:color="auto" w:sz="12" w:space="0"/>
                  </w:tcBorders>
                  <w:vAlign w:val="center"/>
                </w:tcPr>
                <w:p>
                  <w:pPr>
                    <w:jc w:val="center"/>
                    <w:rPr>
                      <w:b/>
                      <w:color w:val="auto"/>
                      <w:sz w:val="20"/>
                      <w:szCs w:val="20"/>
                    </w:rPr>
                  </w:pPr>
                </w:p>
              </w:tc>
              <w:tc>
                <w:tcPr>
                  <w:tcW w:w="343" w:type="pct"/>
                  <w:vMerge w:val="continue"/>
                  <w:tcBorders>
                    <w:top w:val="single" w:color="auto" w:sz="4" w:space="0"/>
                    <w:bottom w:val="single" w:color="auto" w:sz="12" w:space="0"/>
                  </w:tcBorders>
                  <w:vAlign w:val="center"/>
                </w:tcPr>
                <w:p>
                  <w:pPr>
                    <w:jc w:val="center"/>
                    <w:rPr>
                      <w:b/>
                      <w:color w:val="auto"/>
                      <w:sz w:val="20"/>
                      <w:szCs w:val="20"/>
                    </w:rPr>
                  </w:pPr>
                </w:p>
              </w:tc>
              <w:tc>
                <w:tcPr>
                  <w:tcW w:w="573" w:type="pct"/>
                  <w:tcBorders>
                    <w:top w:val="single" w:color="auto" w:sz="4" w:space="0"/>
                    <w:bottom w:val="single" w:color="auto" w:sz="12" w:space="0"/>
                  </w:tcBorders>
                  <w:vAlign w:val="center"/>
                </w:tcPr>
                <w:p>
                  <w:pPr>
                    <w:jc w:val="center"/>
                    <w:rPr>
                      <w:b/>
                      <w:color w:val="auto"/>
                      <w:sz w:val="20"/>
                      <w:szCs w:val="20"/>
                    </w:rPr>
                  </w:pPr>
                  <w:r>
                    <w:rPr>
                      <w:b/>
                      <w:color w:val="auto"/>
                      <w:sz w:val="20"/>
                      <w:szCs w:val="20"/>
                    </w:rPr>
                    <w:t>经度</w:t>
                  </w:r>
                </w:p>
              </w:tc>
              <w:tc>
                <w:tcPr>
                  <w:tcW w:w="516" w:type="pct"/>
                  <w:tcBorders>
                    <w:top w:val="single" w:color="auto" w:sz="4" w:space="0"/>
                    <w:bottom w:val="single" w:color="auto" w:sz="12" w:space="0"/>
                  </w:tcBorders>
                  <w:vAlign w:val="center"/>
                </w:tcPr>
                <w:p>
                  <w:pPr>
                    <w:jc w:val="center"/>
                    <w:rPr>
                      <w:b/>
                      <w:color w:val="auto"/>
                      <w:sz w:val="20"/>
                      <w:szCs w:val="20"/>
                    </w:rPr>
                  </w:pPr>
                  <w:r>
                    <w:rPr>
                      <w:b/>
                      <w:color w:val="auto"/>
                      <w:sz w:val="20"/>
                      <w:szCs w:val="20"/>
                    </w:rPr>
                    <w:t>纬度</w:t>
                  </w:r>
                </w:p>
              </w:tc>
              <w:tc>
                <w:tcPr>
                  <w:tcW w:w="516" w:type="pct"/>
                  <w:vMerge w:val="continue"/>
                  <w:tcBorders>
                    <w:top w:val="single" w:color="auto" w:sz="4" w:space="0"/>
                    <w:bottom w:val="single" w:color="auto" w:sz="12" w:space="0"/>
                  </w:tcBorders>
                  <w:vAlign w:val="center"/>
                </w:tcPr>
                <w:p>
                  <w:pPr>
                    <w:jc w:val="center"/>
                    <w:rPr>
                      <w:b/>
                      <w:color w:val="auto"/>
                      <w:sz w:val="20"/>
                      <w:szCs w:val="20"/>
                    </w:rPr>
                  </w:pPr>
                </w:p>
              </w:tc>
              <w:tc>
                <w:tcPr>
                  <w:tcW w:w="400" w:type="pct"/>
                  <w:vMerge w:val="continue"/>
                  <w:tcBorders>
                    <w:top w:val="single" w:color="auto" w:sz="4" w:space="0"/>
                    <w:bottom w:val="single" w:color="auto" w:sz="12" w:space="0"/>
                  </w:tcBorders>
                  <w:vAlign w:val="center"/>
                </w:tcPr>
                <w:p>
                  <w:pPr>
                    <w:jc w:val="center"/>
                    <w:rPr>
                      <w:b/>
                      <w:color w:val="auto"/>
                      <w:sz w:val="20"/>
                      <w:szCs w:val="20"/>
                    </w:rPr>
                  </w:pPr>
                </w:p>
              </w:tc>
              <w:tc>
                <w:tcPr>
                  <w:tcW w:w="343" w:type="pct"/>
                  <w:vMerge w:val="continue"/>
                  <w:tcBorders>
                    <w:top w:val="single" w:color="auto" w:sz="4" w:space="0"/>
                    <w:bottom w:val="single" w:color="auto" w:sz="12" w:space="0"/>
                  </w:tcBorders>
                  <w:vAlign w:val="center"/>
                </w:tcPr>
                <w:p>
                  <w:pPr>
                    <w:jc w:val="center"/>
                    <w:rPr>
                      <w:b/>
                      <w:color w:val="auto"/>
                      <w:sz w:val="20"/>
                      <w:szCs w:val="20"/>
                    </w:rPr>
                  </w:pPr>
                </w:p>
              </w:tc>
              <w:tc>
                <w:tcPr>
                  <w:tcW w:w="400" w:type="pct"/>
                  <w:vMerge w:val="continue"/>
                  <w:tcBorders>
                    <w:top w:val="single" w:color="auto" w:sz="4" w:space="0"/>
                    <w:bottom w:val="single" w:color="auto" w:sz="12" w:space="0"/>
                  </w:tcBorders>
                  <w:vAlign w:val="center"/>
                </w:tcPr>
                <w:p>
                  <w:pPr>
                    <w:jc w:val="center"/>
                    <w:rPr>
                      <w:b/>
                      <w:color w:val="auto"/>
                      <w:sz w:val="20"/>
                      <w:szCs w:val="20"/>
                    </w:rPr>
                  </w:pPr>
                </w:p>
              </w:tc>
              <w:tc>
                <w:tcPr>
                  <w:tcW w:w="459" w:type="pct"/>
                  <w:tcBorders>
                    <w:top w:val="single" w:color="auto" w:sz="4" w:space="0"/>
                    <w:bottom w:val="single" w:color="auto" w:sz="12" w:space="0"/>
                  </w:tcBorders>
                  <w:vAlign w:val="center"/>
                </w:tcPr>
                <w:p>
                  <w:pPr>
                    <w:jc w:val="center"/>
                    <w:rPr>
                      <w:b/>
                      <w:color w:val="auto"/>
                      <w:sz w:val="20"/>
                      <w:szCs w:val="20"/>
                    </w:rPr>
                  </w:pPr>
                  <w:r>
                    <w:rPr>
                      <w:b/>
                      <w:color w:val="auto"/>
                      <w:sz w:val="20"/>
                      <w:szCs w:val="20"/>
                    </w:rPr>
                    <w:t>名称</w:t>
                  </w:r>
                </w:p>
              </w:tc>
              <w:tc>
                <w:tcPr>
                  <w:tcW w:w="521" w:type="pct"/>
                  <w:tcBorders>
                    <w:top w:val="single" w:color="auto" w:sz="4" w:space="0"/>
                    <w:bottom w:val="single" w:color="auto" w:sz="12" w:space="0"/>
                  </w:tcBorders>
                  <w:vAlign w:val="center"/>
                </w:tcPr>
                <w:p>
                  <w:pPr>
                    <w:jc w:val="center"/>
                    <w:rPr>
                      <w:b/>
                      <w:color w:val="auto"/>
                      <w:sz w:val="20"/>
                      <w:szCs w:val="20"/>
                    </w:rPr>
                  </w:pPr>
                  <w:r>
                    <w:rPr>
                      <w:b/>
                      <w:color w:val="auto"/>
                      <w:sz w:val="20"/>
                      <w:szCs w:val="20"/>
                    </w:rPr>
                    <w:t>污染物种类</w:t>
                  </w:r>
                </w:p>
              </w:tc>
              <w:tc>
                <w:tcPr>
                  <w:tcW w:w="739" w:type="pct"/>
                  <w:tcBorders>
                    <w:top w:val="single" w:color="auto" w:sz="4" w:space="0"/>
                    <w:bottom w:val="single" w:color="auto" w:sz="12" w:space="0"/>
                    <w:right w:val="nil"/>
                  </w:tcBorders>
                  <w:vAlign w:val="center"/>
                </w:tcPr>
                <w:p>
                  <w:pPr>
                    <w:jc w:val="center"/>
                    <w:rPr>
                      <w:b/>
                      <w:color w:val="auto"/>
                      <w:sz w:val="20"/>
                      <w:szCs w:val="20"/>
                    </w:rPr>
                  </w:pPr>
                  <w:r>
                    <w:rPr>
                      <w:b/>
                      <w:color w:val="auto"/>
                      <w:sz w:val="20"/>
                      <w:szCs w:val="20"/>
                    </w:rPr>
                    <w:t>国家或地方污染物排放标准浓度限值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restart"/>
                  <w:tcBorders>
                    <w:top w:val="single" w:color="auto" w:sz="12" w:space="0"/>
                    <w:left w:val="nil"/>
                  </w:tcBorders>
                  <w:vAlign w:val="center"/>
                </w:tcPr>
                <w:p>
                  <w:pPr>
                    <w:jc w:val="center"/>
                    <w:rPr>
                      <w:color w:val="auto"/>
                      <w:sz w:val="20"/>
                      <w:szCs w:val="20"/>
                    </w:rPr>
                  </w:pPr>
                  <w:r>
                    <w:rPr>
                      <w:color w:val="auto"/>
                      <w:sz w:val="20"/>
                      <w:szCs w:val="20"/>
                    </w:rPr>
                    <w:t>1</w:t>
                  </w:r>
                </w:p>
              </w:tc>
              <w:tc>
                <w:tcPr>
                  <w:tcW w:w="343" w:type="pct"/>
                  <w:vMerge w:val="restart"/>
                  <w:tcBorders>
                    <w:top w:val="single" w:color="auto" w:sz="12" w:space="0"/>
                  </w:tcBorders>
                  <w:vAlign w:val="center"/>
                </w:tcPr>
                <w:p>
                  <w:pPr>
                    <w:jc w:val="center"/>
                    <w:rPr>
                      <w:color w:val="auto"/>
                      <w:sz w:val="20"/>
                      <w:szCs w:val="20"/>
                    </w:rPr>
                  </w:pPr>
                  <w:r>
                    <w:rPr>
                      <w:color w:val="auto"/>
                      <w:sz w:val="20"/>
                      <w:szCs w:val="20"/>
                    </w:rPr>
                    <w:t>DW001</w:t>
                  </w:r>
                </w:p>
              </w:tc>
              <w:tc>
                <w:tcPr>
                  <w:tcW w:w="573" w:type="pct"/>
                  <w:vMerge w:val="restart"/>
                  <w:tcBorders>
                    <w:top w:val="single" w:color="auto" w:sz="12" w:space="0"/>
                  </w:tcBorders>
                  <w:vAlign w:val="center"/>
                </w:tcPr>
                <w:p>
                  <w:pPr>
                    <w:jc w:val="center"/>
                    <w:rPr>
                      <w:rFonts w:hint="eastAsia"/>
                      <w:color w:val="auto"/>
                      <w:sz w:val="20"/>
                      <w:szCs w:val="20"/>
                      <w:lang w:val="en-US" w:eastAsia="zh-CN"/>
                    </w:rPr>
                  </w:pPr>
                  <w:r>
                    <w:rPr>
                      <w:rFonts w:hint="eastAsia"/>
                      <w:color w:val="auto"/>
                      <w:sz w:val="20"/>
                      <w:szCs w:val="20"/>
                      <w:lang w:val="en-US" w:eastAsia="zh-CN"/>
                    </w:rPr>
                    <w:t>120.891879</w:t>
                  </w:r>
                </w:p>
              </w:tc>
              <w:tc>
                <w:tcPr>
                  <w:tcW w:w="516" w:type="pct"/>
                  <w:vMerge w:val="restart"/>
                  <w:tcBorders>
                    <w:top w:val="single" w:color="auto" w:sz="12" w:space="0"/>
                  </w:tcBorders>
                  <w:vAlign w:val="center"/>
                </w:tcPr>
                <w:p>
                  <w:pPr>
                    <w:jc w:val="center"/>
                    <w:rPr>
                      <w:rFonts w:hint="eastAsia"/>
                      <w:color w:val="auto"/>
                      <w:sz w:val="20"/>
                      <w:szCs w:val="20"/>
                      <w:lang w:val="en-US" w:eastAsia="zh-CN"/>
                    </w:rPr>
                  </w:pPr>
                  <w:r>
                    <w:rPr>
                      <w:rFonts w:hint="eastAsia"/>
                      <w:color w:val="auto"/>
                      <w:sz w:val="20"/>
                      <w:szCs w:val="20"/>
                      <w:lang w:val="en-US" w:eastAsia="zh-CN"/>
                    </w:rPr>
                    <w:t>3</w:t>
                  </w:r>
                  <w:r>
                    <w:rPr>
                      <w:rFonts w:hint="default"/>
                      <w:color w:val="auto"/>
                      <w:sz w:val="20"/>
                      <w:szCs w:val="20"/>
                      <w:lang w:val="en-US" w:eastAsia="zh-CN"/>
                    </w:rPr>
                    <w:t>1.991230</w:t>
                  </w:r>
                </w:p>
              </w:tc>
              <w:tc>
                <w:tcPr>
                  <w:tcW w:w="516" w:type="pct"/>
                  <w:vMerge w:val="restart"/>
                  <w:tcBorders>
                    <w:top w:val="single" w:color="auto" w:sz="12" w:space="0"/>
                  </w:tcBorders>
                  <w:vAlign w:val="center"/>
                </w:tcPr>
                <w:p>
                  <w:pPr>
                    <w:jc w:val="center"/>
                    <w:rPr>
                      <w:rFonts w:hint="default" w:eastAsia="宋体"/>
                      <w:color w:val="auto"/>
                      <w:sz w:val="20"/>
                      <w:szCs w:val="20"/>
                      <w:lang w:val="en-US" w:eastAsia="zh-CN"/>
                    </w:rPr>
                  </w:pPr>
                  <w:r>
                    <w:rPr>
                      <w:rFonts w:hint="eastAsia"/>
                      <w:color w:val="auto"/>
                      <w:sz w:val="20"/>
                      <w:szCs w:val="20"/>
                      <w:lang w:val="en-US" w:eastAsia="zh-CN"/>
                    </w:rPr>
                    <w:t>9.6394</w:t>
                  </w:r>
                </w:p>
              </w:tc>
              <w:tc>
                <w:tcPr>
                  <w:tcW w:w="400" w:type="pct"/>
                  <w:vMerge w:val="restart"/>
                  <w:tcBorders>
                    <w:top w:val="single" w:color="auto" w:sz="12" w:space="0"/>
                  </w:tcBorders>
                  <w:vAlign w:val="center"/>
                </w:tcPr>
                <w:p>
                  <w:pPr>
                    <w:jc w:val="center"/>
                    <w:rPr>
                      <w:color w:val="auto"/>
                      <w:sz w:val="20"/>
                      <w:szCs w:val="20"/>
                    </w:rPr>
                  </w:pPr>
                  <w:r>
                    <w:rPr>
                      <w:rFonts w:hint="eastAsia"/>
                      <w:color w:val="auto"/>
                      <w:sz w:val="20"/>
                      <w:szCs w:val="20"/>
                      <w:lang w:val="en-US" w:eastAsia="zh-CN"/>
                    </w:rPr>
                    <w:t>接管如皋市九华镇污水处理厂</w:t>
                  </w:r>
                </w:p>
              </w:tc>
              <w:tc>
                <w:tcPr>
                  <w:tcW w:w="343" w:type="pct"/>
                  <w:vMerge w:val="restart"/>
                  <w:tcBorders>
                    <w:top w:val="single" w:color="auto" w:sz="12" w:space="0"/>
                  </w:tcBorders>
                  <w:vAlign w:val="center"/>
                </w:tcPr>
                <w:p>
                  <w:pPr>
                    <w:jc w:val="center"/>
                    <w:rPr>
                      <w:color w:val="auto"/>
                      <w:sz w:val="20"/>
                      <w:szCs w:val="20"/>
                    </w:rPr>
                  </w:pPr>
                  <w:r>
                    <w:rPr>
                      <w:rFonts w:hint="eastAsia"/>
                      <w:color w:val="auto"/>
                      <w:kern w:val="0"/>
                      <w:sz w:val="20"/>
                      <w:szCs w:val="20"/>
                    </w:rPr>
                    <w:t>连续排放</w:t>
                  </w:r>
                </w:p>
              </w:tc>
              <w:tc>
                <w:tcPr>
                  <w:tcW w:w="400" w:type="pct"/>
                  <w:vMerge w:val="restart"/>
                  <w:tcBorders>
                    <w:top w:val="single" w:color="auto" w:sz="12" w:space="0"/>
                  </w:tcBorders>
                  <w:vAlign w:val="center"/>
                </w:tcPr>
                <w:p>
                  <w:pPr>
                    <w:jc w:val="center"/>
                    <w:rPr>
                      <w:color w:val="auto"/>
                      <w:sz w:val="20"/>
                      <w:szCs w:val="20"/>
                    </w:rPr>
                  </w:pPr>
                  <w:r>
                    <w:rPr>
                      <w:rFonts w:hint="eastAsia"/>
                      <w:color w:val="auto"/>
                      <w:kern w:val="0"/>
                      <w:sz w:val="20"/>
                      <w:szCs w:val="20"/>
                    </w:rPr>
                    <w:t>/</w:t>
                  </w:r>
                </w:p>
              </w:tc>
              <w:tc>
                <w:tcPr>
                  <w:tcW w:w="459" w:type="pct"/>
                  <w:vMerge w:val="restart"/>
                  <w:tcBorders>
                    <w:top w:val="single" w:color="auto" w:sz="12" w:space="0"/>
                  </w:tcBorders>
                  <w:vAlign w:val="center"/>
                </w:tcPr>
                <w:p>
                  <w:pPr>
                    <w:jc w:val="center"/>
                    <w:rPr>
                      <w:color w:val="auto"/>
                      <w:sz w:val="20"/>
                      <w:szCs w:val="20"/>
                    </w:rPr>
                  </w:pPr>
                  <w:r>
                    <w:rPr>
                      <w:rFonts w:hint="eastAsia"/>
                      <w:color w:val="auto"/>
                      <w:sz w:val="20"/>
                      <w:szCs w:val="20"/>
                      <w:lang w:val="en-US" w:eastAsia="zh-CN"/>
                    </w:rPr>
                    <w:t>如皋市九华镇污水处理厂</w:t>
                  </w:r>
                </w:p>
              </w:tc>
              <w:tc>
                <w:tcPr>
                  <w:tcW w:w="521" w:type="pct"/>
                  <w:tcBorders>
                    <w:top w:val="single" w:color="auto" w:sz="12" w:space="0"/>
                  </w:tcBorders>
                  <w:vAlign w:val="center"/>
                </w:tcPr>
                <w:p>
                  <w:pPr>
                    <w:jc w:val="center"/>
                    <w:rPr>
                      <w:color w:val="auto"/>
                      <w:sz w:val="20"/>
                      <w:szCs w:val="20"/>
                    </w:rPr>
                  </w:pPr>
                  <w:r>
                    <w:rPr>
                      <w:color w:val="auto"/>
                      <w:kern w:val="0"/>
                      <w:sz w:val="20"/>
                      <w:szCs w:val="20"/>
                    </w:rPr>
                    <w:t>pH</w:t>
                  </w:r>
                </w:p>
              </w:tc>
              <w:tc>
                <w:tcPr>
                  <w:tcW w:w="739" w:type="pct"/>
                  <w:tcBorders>
                    <w:top w:val="single" w:color="auto" w:sz="12" w:space="0"/>
                    <w:right w:val="nil"/>
                  </w:tcBorders>
                  <w:vAlign w:val="center"/>
                </w:tcPr>
                <w:p>
                  <w:pPr>
                    <w:jc w:val="center"/>
                    <w:rPr>
                      <w:color w:val="auto"/>
                      <w:sz w:val="20"/>
                      <w:szCs w:val="20"/>
                    </w:rPr>
                  </w:pPr>
                  <w:r>
                    <w:rPr>
                      <w:color w:val="auto"/>
                      <w:kern w:val="0"/>
                      <w:sz w:val="20"/>
                      <w:szCs w:val="20"/>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tcBorders>
                    <w:left w:val="nil"/>
                  </w:tcBorders>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573"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459" w:type="pct"/>
                  <w:vMerge w:val="continue"/>
                  <w:vAlign w:val="center"/>
                </w:tcPr>
                <w:p>
                  <w:pPr>
                    <w:jc w:val="center"/>
                    <w:rPr>
                      <w:color w:val="auto"/>
                      <w:sz w:val="20"/>
                      <w:szCs w:val="20"/>
                    </w:rPr>
                  </w:pPr>
                </w:p>
              </w:tc>
              <w:tc>
                <w:tcPr>
                  <w:tcW w:w="521" w:type="pct"/>
                  <w:vAlign w:val="center"/>
                </w:tcPr>
                <w:p>
                  <w:pPr>
                    <w:widowControl/>
                    <w:jc w:val="center"/>
                    <w:rPr>
                      <w:color w:val="auto"/>
                      <w:sz w:val="20"/>
                      <w:szCs w:val="20"/>
                    </w:rPr>
                  </w:pPr>
                  <w:r>
                    <w:rPr>
                      <w:color w:val="auto"/>
                      <w:kern w:val="0"/>
                      <w:sz w:val="20"/>
                      <w:szCs w:val="20"/>
                    </w:rPr>
                    <w:t>COD</w:t>
                  </w:r>
                </w:p>
              </w:tc>
              <w:tc>
                <w:tcPr>
                  <w:tcW w:w="739" w:type="pct"/>
                  <w:tcBorders>
                    <w:right w:val="nil"/>
                  </w:tcBorders>
                  <w:vAlign w:val="center"/>
                </w:tcPr>
                <w:p>
                  <w:pPr>
                    <w:widowControl/>
                    <w:jc w:val="center"/>
                    <w:rPr>
                      <w:rFonts w:hint="default" w:eastAsia="宋体"/>
                      <w:color w:val="auto"/>
                      <w:sz w:val="20"/>
                      <w:szCs w:val="20"/>
                      <w:lang w:val="en-US" w:eastAsia="zh-CN"/>
                    </w:rPr>
                  </w:pPr>
                  <w:r>
                    <w:rPr>
                      <w:rFonts w:hint="eastAsia"/>
                      <w:color w:val="auto"/>
                      <w:kern w:val="0"/>
                      <w:sz w:val="20"/>
                      <w:szCs w:val="20"/>
                      <w:lang w:val="en-US" w:eastAsia="zh-CN"/>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tcBorders>
                    <w:left w:val="nil"/>
                  </w:tcBorders>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573"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459" w:type="pct"/>
                  <w:vMerge w:val="continue"/>
                  <w:vAlign w:val="center"/>
                </w:tcPr>
                <w:p>
                  <w:pPr>
                    <w:jc w:val="center"/>
                    <w:rPr>
                      <w:color w:val="auto"/>
                      <w:sz w:val="20"/>
                      <w:szCs w:val="20"/>
                    </w:rPr>
                  </w:pPr>
                </w:p>
              </w:tc>
              <w:tc>
                <w:tcPr>
                  <w:tcW w:w="521" w:type="pct"/>
                  <w:vAlign w:val="center"/>
                </w:tcPr>
                <w:p>
                  <w:pPr>
                    <w:widowControl/>
                    <w:jc w:val="center"/>
                    <w:rPr>
                      <w:color w:val="auto"/>
                      <w:kern w:val="0"/>
                      <w:sz w:val="20"/>
                      <w:szCs w:val="20"/>
                    </w:rPr>
                  </w:pPr>
                  <w:r>
                    <w:rPr>
                      <w:color w:val="auto"/>
                      <w:kern w:val="0"/>
                      <w:sz w:val="20"/>
                      <w:szCs w:val="20"/>
                    </w:rPr>
                    <w:t>SS</w:t>
                  </w:r>
                </w:p>
              </w:tc>
              <w:tc>
                <w:tcPr>
                  <w:tcW w:w="739" w:type="pct"/>
                  <w:tcBorders>
                    <w:right w:val="nil"/>
                  </w:tcBorders>
                  <w:vAlign w:val="center"/>
                </w:tcPr>
                <w:p>
                  <w:pPr>
                    <w:widowControl/>
                    <w:jc w:val="center"/>
                    <w:rPr>
                      <w:color w:val="auto"/>
                      <w:kern w:val="0"/>
                      <w:sz w:val="20"/>
                      <w:szCs w:val="20"/>
                    </w:rPr>
                  </w:pPr>
                  <w:r>
                    <w:rPr>
                      <w:color w:val="auto"/>
                      <w:kern w:val="0"/>
                      <w:sz w:val="20"/>
                      <w:szCs w:val="20"/>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tcBorders>
                    <w:left w:val="nil"/>
                  </w:tcBorders>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573"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459" w:type="pct"/>
                  <w:vMerge w:val="continue"/>
                  <w:vAlign w:val="center"/>
                </w:tcPr>
                <w:p>
                  <w:pPr>
                    <w:jc w:val="center"/>
                    <w:rPr>
                      <w:color w:val="auto"/>
                      <w:sz w:val="20"/>
                      <w:szCs w:val="20"/>
                    </w:rPr>
                  </w:pPr>
                </w:p>
              </w:tc>
              <w:tc>
                <w:tcPr>
                  <w:tcW w:w="521" w:type="pct"/>
                  <w:vAlign w:val="center"/>
                </w:tcPr>
                <w:p>
                  <w:pPr>
                    <w:jc w:val="center"/>
                    <w:rPr>
                      <w:color w:val="auto"/>
                      <w:sz w:val="20"/>
                      <w:szCs w:val="20"/>
                    </w:rPr>
                  </w:pPr>
                  <w:r>
                    <w:rPr>
                      <w:color w:val="auto"/>
                      <w:kern w:val="0"/>
                      <w:sz w:val="20"/>
                      <w:szCs w:val="20"/>
                    </w:rPr>
                    <w:t>NH</w:t>
                  </w:r>
                  <w:r>
                    <w:rPr>
                      <w:color w:val="auto"/>
                      <w:kern w:val="0"/>
                      <w:sz w:val="20"/>
                      <w:szCs w:val="20"/>
                      <w:vertAlign w:val="subscript"/>
                    </w:rPr>
                    <w:t>3</w:t>
                  </w:r>
                  <w:r>
                    <w:rPr>
                      <w:color w:val="auto"/>
                      <w:kern w:val="0"/>
                      <w:sz w:val="20"/>
                      <w:szCs w:val="20"/>
                    </w:rPr>
                    <w:t>-N</w:t>
                  </w:r>
                </w:p>
              </w:tc>
              <w:tc>
                <w:tcPr>
                  <w:tcW w:w="739" w:type="pct"/>
                  <w:tcBorders>
                    <w:right w:val="nil"/>
                  </w:tcBorders>
                  <w:vAlign w:val="center"/>
                </w:tcPr>
                <w:p>
                  <w:pPr>
                    <w:jc w:val="center"/>
                    <w:rPr>
                      <w:color w:val="auto"/>
                      <w:sz w:val="20"/>
                      <w:szCs w:val="20"/>
                    </w:rPr>
                  </w:pPr>
                  <w:r>
                    <w:rPr>
                      <w:rFonts w:hint="eastAsia"/>
                      <w:color w:val="auto"/>
                      <w:sz w:val="20"/>
                      <w:szCs w:val="20"/>
                      <w:lang w:val="en-US" w:eastAsia="zh-CN"/>
                    </w:rPr>
                    <w:t>4</w:t>
                  </w:r>
                  <w:r>
                    <w:rPr>
                      <w:color w:val="auto"/>
                      <w:sz w:val="20"/>
                      <w:szCs w:val="20"/>
                      <w:lang w:val="de-DE"/>
                    </w:rPr>
                    <w:t>（</w:t>
                  </w:r>
                  <w:r>
                    <w:rPr>
                      <w:rFonts w:hint="eastAsia"/>
                      <w:color w:val="auto"/>
                      <w:sz w:val="20"/>
                      <w:szCs w:val="20"/>
                      <w:lang w:val="en-US" w:eastAsia="zh-CN"/>
                    </w:rPr>
                    <w:t>6</w:t>
                  </w:r>
                  <w:r>
                    <w:rPr>
                      <w:color w:val="auto"/>
                      <w:sz w:val="20"/>
                      <w:szCs w:val="20"/>
                      <w:lang w:val="de-D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tcBorders>
                    <w:left w:val="nil"/>
                  </w:tcBorders>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573"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459" w:type="pct"/>
                  <w:vMerge w:val="continue"/>
                  <w:vAlign w:val="center"/>
                </w:tcPr>
                <w:p>
                  <w:pPr>
                    <w:jc w:val="center"/>
                    <w:rPr>
                      <w:color w:val="auto"/>
                      <w:sz w:val="20"/>
                      <w:szCs w:val="20"/>
                    </w:rPr>
                  </w:pPr>
                </w:p>
              </w:tc>
              <w:tc>
                <w:tcPr>
                  <w:tcW w:w="521" w:type="pct"/>
                  <w:vAlign w:val="center"/>
                </w:tcPr>
                <w:p>
                  <w:pPr>
                    <w:jc w:val="center"/>
                    <w:rPr>
                      <w:color w:val="auto"/>
                      <w:sz w:val="20"/>
                      <w:szCs w:val="20"/>
                    </w:rPr>
                  </w:pPr>
                  <w:r>
                    <w:rPr>
                      <w:color w:val="auto"/>
                      <w:sz w:val="20"/>
                      <w:szCs w:val="20"/>
                    </w:rPr>
                    <w:t>TN</w:t>
                  </w:r>
                </w:p>
              </w:tc>
              <w:tc>
                <w:tcPr>
                  <w:tcW w:w="739" w:type="pct"/>
                  <w:tcBorders>
                    <w:right w:val="nil"/>
                  </w:tcBorders>
                  <w:vAlign w:val="center"/>
                </w:tcPr>
                <w:p>
                  <w:pPr>
                    <w:jc w:val="center"/>
                    <w:rPr>
                      <w:rFonts w:hint="default" w:eastAsia="宋体"/>
                      <w:color w:val="auto"/>
                      <w:sz w:val="20"/>
                      <w:szCs w:val="20"/>
                      <w:lang w:val="en-US" w:eastAsia="zh-CN"/>
                    </w:rPr>
                  </w:pPr>
                  <w:r>
                    <w:rPr>
                      <w:rFonts w:hint="eastAsia"/>
                      <w:color w:val="auto"/>
                      <w:sz w:val="20"/>
                      <w:szCs w:val="20"/>
                      <w:lang w:val="en-US" w:eastAsia="zh-CN"/>
                    </w:rPr>
                    <w:t>12（15）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tcBorders>
                    <w:left w:val="nil"/>
                  </w:tcBorders>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573"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516"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343" w:type="pct"/>
                  <w:vMerge w:val="continue"/>
                  <w:vAlign w:val="center"/>
                </w:tcPr>
                <w:p>
                  <w:pPr>
                    <w:jc w:val="center"/>
                    <w:rPr>
                      <w:color w:val="auto"/>
                      <w:sz w:val="20"/>
                      <w:szCs w:val="20"/>
                    </w:rPr>
                  </w:pPr>
                </w:p>
              </w:tc>
              <w:tc>
                <w:tcPr>
                  <w:tcW w:w="400" w:type="pct"/>
                  <w:vMerge w:val="continue"/>
                  <w:vAlign w:val="center"/>
                </w:tcPr>
                <w:p>
                  <w:pPr>
                    <w:jc w:val="center"/>
                    <w:rPr>
                      <w:color w:val="auto"/>
                      <w:sz w:val="20"/>
                      <w:szCs w:val="20"/>
                    </w:rPr>
                  </w:pPr>
                </w:p>
              </w:tc>
              <w:tc>
                <w:tcPr>
                  <w:tcW w:w="459" w:type="pct"/>
                  <w:vMerge w:val="continue"/>
                  <w:vAlign w:val="center"/>
                </w:tcPr>
                <w:p>
                  <w:pPr>
                    <w:jc w:val="center"/>
                    <w:rPr>
                      <w:color w:val="auto"/>
                      <w:sz w:val="20"/>
                      <w:szCs w:val="20"/>
                    </w:rPr>
                  </w:pPr>
                </w:p>
              </w:tc>
              <w:tc>
                <w:tcPr>
                  <w:tcW w:w="521" w:type="pct"/>
                  <w:vAlign w:val="center"/>
                </w:tcPr>
                <w:p>
                  <w:pPr>
                    <w:jc w:val="center"/>
                    <w:rPr>
                      <w:color w:val="auto"/>
                      <w:sz w:val="20"/>
                      <w:szCs w:val="20"/>
                    </w:rPr>
                  </w:pPr>
                  <w:r>
                    <w:rPr>
                      <w:color w:val="auto"/>
                      <w:kern w:val="0"/>
                      <w:sz w:val="20"/>
                      <w:szCs w:val="20"/>
                    </w:rPr>
                    <w:t>TP</w:t>
                  </w:r>
                </w:p>
              </w:tc>
              <w:tc>
                <w:tcPr>
                  <w:tcW w:w="739" w:type="pct"/>
                  <w:tcBorders>
                    <w:right w:val="nil"/>
                  </w:tcBorders>
                  <w:vAlign w:val="center"/>
                </w:tcPr>
                <w:p>
                  <w:pPr>
                    <w:jc w:val="center"/>
                    <w:rPr>
                      <w:rFonts w:hint="default" w:eastAsia="宋体"/>
                      <w:color w:val="auto"/>
                      <w:sz w:val="20"/>
                      <w:szCs w:val="20"/>
                      <w:lang w:val="en-US" w:eastAsia="zh-CN"/>
                    </w:rPr>
                  </w:pPr>
                  <w:r>
                    <w:rPr>
                      <w:rFonts w:hint="eastAsia"/>
                      <w:color w:val="auto"/>
                      <w:sz w:val="20"/>
                      <w:szCs w:val="20"/>
                      <w:lang w:val="en-US" w:eastAsia="zh-CN"/>
                    </w:rPr>
                    <w:t>0.5</w:t>
                  </w:r>
                </w:p>
              </w:tc>
            </w:tr>
          </w:tbl>
          <w:p>
            <w:pPr>
              <w:autoSpaceDE w:val="0"/>
              <w:autoSpaceDN w:val="0"/>
              <w:adjustRightInd w:val="0"/>
              <w:snapToGrid w:val="0"/>
              <w:spacing w:line="400" w:lineRule="exact"/>
              <w:jc w:val="left"/>
              <w:rPr>
                <w:color w:val="auto"/>
                <w:kern w:val="0"/>
                <w:szCs w:val="21"/>
              </w:rPr>
            </w:pPr>
          </w:p>
        </w:tc>
      </w:tr>
    </w:tbl>
    <w:p>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69"/>
        <w:gridCol w:w="86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dxa"/>
            <w:tcBorders>
              <w:top w:val="single" w:color="auto" w:sz="8" w:space="0"/>
              <w:left w:val="single" w:color="auto" w:sz="8" w:space="0"/>
              <w:bottom w:val="single" w:color="auto" w:sz="4" w:space="0"/>
              <w:right w:val="single" w:color="auto" w:sz="4" w:space="0"/>
            </w:tcBorders>
            <w:tcMar>
              <w:left w:w="113" w:type="dxa"/>
              <w:right w:w="113"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12576" w:type="dxa"/>
            <w:tcBorders>
              <w:top w:val="single" w:color="auto" w:sz="8" w:space="0"/>
              <w:left w:val="single" w:color="auto" w:sz="4" w:space="0"/>
              <w:bottom w:val="single" w:color="auto" w:sz="4" w:space="0"/>
              <w:right w:val="single" w:color="auto" w:sz="8" w:space="0"/>
            </w:tcBorders>
            <w:vAlign w:val="center"/>
          </w:tcPr>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w:t>
            </w:r>
            <w:r>
              <w:rPr>
                <w:rFonts w:hint="eastAsia"/>
                <w:b/>
                <w:bCs/>
                <w:color w:val="auto"/>
                <w:kern w:val="0"/>
                <w:szCs w:val="21"/>
              </w:rPr>
              <w:t>3</w:t>
            </w:r>
            <w:r>
              <w:rPr>
                <w:b/>
                <w:bCs/>
                <w:color w:val="auto"/>
                <w:kern w:val="0"/>
                <w:szCs w:val="21"/>
              </w:rPr>
              <w:t>）废水污染治理措施技术可行性分析</w:t>
            </w:r>
          </w:p>
          <w:p>
            <w:pPr>
              <w:pStyle w:val="3718"/>
              <w:spacing w:line="400" w:lineRule="exact"/>
              <w:ind w:left="0" w:right="0" w:firstLine="420" w:firstLineChars="200"/>
              <w:jc w:val="both"/>
              <w:rPr>
                <w:rFonts w:hint="eastAsia" w:ascii="Times New Roman" w:hAnsi="Times New Roman" w:eastAsia="宋体" w:cs="Times New Roman"/>
                <w:color w:val="auto"/>
                <w:sz w:val="21"/>
                <w:szCs w:val="16"/>
                <w:lang w:val="en-US" w:eastAsia="zh-CN"/>
              </w:rPr>
            </w:pPr>
            <w:r>
              <w:rPr>
                <w:rFonts w:hint="eastAsia" w:ascii="Times New Roman" w:hAnsi="Times New Roman" w:eastAsia="宋体" w:cs="Times New Roman"/>
                <w:color w:val="auto"/>
                <w:sz w:val="21"/>
                <w:szCs w:val="16"/>
              </w:rPr>
              <w:t>生活污水</w:t>
            </w:r>
            <w:r>
              <w:rPr>
                <w:rFonts w:hint="eastAsia" w:ascii="Times New Roman" w:hAnsi="Times New Roman" w:eastAsia="宋体" w:cs="Times New Roman"/>
                <w:color w:val="auto"/>
                <w:sz w:val="21"/>
                <w:szCs w:val="16"/>
                <w:lang w:val="en-US" w:eastAsia="zh-CN"/>
              </w:rPr>
              <w:t>依托华胜</w:t>
            </w:r>
            <w:r>
              <w:rPr>
                <w:rFonts w:hint="eastAsia" w:ascii="Times New Roman" w:hAnsi="Times New Roman" w:eastAsia="宋体" w:cs="Times New Roman"/>
                <w:color w:val="auto"/>
                <w:sz w:val="21"/>
                <w:szCs w:val="16"/>
              </w:rPr>
              <w:t>化粪池处理</w:t>
            </w:r>
            <w:r>
              <w:rPr>
                <w:rFonts w:hint="eastAsia" w:ascii="Times New Roman" w:hAnsi="Times New Roman" w:eastAsia="宋体" w:cs="Times New Roman"/>
                <w:color w:val="auto"/>
                <w:sz w:val="21"/>
                <w:szCs w:val="16"/>
                <w:lang w:val="en-US" w:eastAsia="zh-CN"/>
              </w:rPr>
              <w:t>与喷淋废水依托华胜污水处理站处理</w:t>
            </w:r>
            <w:r>
              <w:rPr>
                <w:rFonts w:hint="eastAsia" w:ascii="Times New Roman" w:hAnsi="Times New Roman" w:eastAsia="宋体" w:cs="Times New Roman"/>
                <w:color w:val="auto"/>
                <w:sz w:val="21"/>
                <w:szCs w:val="16"/>
              </w:rPr>
              <w:t>达标后</w:t>
            </w:r>
            <w:r>
              <w:rPr>
                <w:rFonts w:hint="eastAsia" w:ascii="Times New Roman" w:hAnsi="Times New Roman" w:eastAsia="宋体" w:cs="Times New Roman"/>
                <w:color w:val="auto"/>
                <w:sz w:val="21"/>
                <w:szCs w:val="16"/>
                <w:lang w:val="en-US" w:eastAsia="zh-CN"/>
              </w:rPr>
              <w:t>和纯水制备废水一并</w:t>
            </w:r>
            <w:r>
              <w:rPr>
                <w:rFonts w:hint="eastAsia" w:ascii="Times New Roman" w:hAnsi="Times New Roman" w:eastAsia="宋体" w:cs="Times New Roman"/>
                <w:color w:val="auto"/>
                <w:sz w:val="21"/>
                <w:szCs w:val="16"/>
              </w:rPr>
              <w:t>接管至</w:t>
            </w:r>
            <w:r>
              <w:rPr>
                <w:rFonts w:hint="eastAsia" w:ascii="Times New Roman" w:hAnsi="Times New Roman" w:eastAsia="宋体" w:cs="Times New Roman"/>
                <w:color w:val="auto"/>
                <w:sz w:val="21"/>
                <w:szCs w:val="16"/>
                <w:lang w:val="en-US" w:eastAsia="zh-CN"/>
              </w:rPr>
              <w:t>如皋市九华镇污水处理厂。</w:t>
            </w:r>
          </w:p>
          <w:p>
            <w:pPr>
              <w:pStyle w:val="3718"/>
              <w:spacing w:line="400" w:lineRule="exact"/>
              <w:ind w:left="0" w:right="0" w:firstLine="422" w:firstLineChars="200"/>
              <w:jc w:val="both"/>
              <w:rPr>
                <w:rFonts w:hint="default" w:ascii="Times New Roman" w:hAnsi="Times New Roman" w:eastAsia="宋体" w:cs="Times New Roman"/>
                <w:b/>
                <w:bCs/>
                <w:color w:val="auto"/>
                <w:sz w:val="21"/>
                <w:szCs w:val="16"/>
                <w:lang w:val="en-US" w:eastAsia="zh-CN"/>
              </w:rPr>
            </w:pPr>
            <w:r>
              <w:rPr>
                <w:rFonts w:hint="eastAsia" w:ascii="Times New Roman" w:hAnsi="Times New Roman" w:cs="Times New Roman"/>
                <w:b/>
                <w:bCs/>
                <w:color w:val="auto"/>
                <w:sz w:val="21"/>
                <w:szCs w:val="16"/>
                <w:lang w:val="en-US" w:eastAsia="zh-CN"/>
              </w:rPr>
              <w:t>华胜污水处理站依托可行性分析：</w:t>
            </w:r>
          </w:p>
          <w:p>
            <w:pPr>
              <w:pStyle w:val="3718"/>
              <w:spacing w:line="400" w:lineRule="exact"/>
              <w:ind w:left="0" w:right="0" w:firstLine="420" w:firstLineChars="200"/>
              <w:jc w:val="both"/>
              <w:rPr>
                <w:rFonts w:ascii="Times New Roman" w:hAnsi="Times New Roman" w:cs="Times New Roman"/>
                <w:color w:val="auto"/>
                <w:sz w:val="21"/>
                <w:szCs w:val="16"/>
              </w:rPr>
            </w:pPr>
            <w:r>
              <w:rPr>
                <w:rFonts w:hint="eastAsia" w:ascii="Times New Roman" w:hAnsi="Times New Roman" w:cs="Times New Roman"/>
                <w:color w:val="auto"/>
                <w:sz w:val="21"/>
                <w:szCs w:val="16"/>
                <w:lang w:val="en-US" w:eastAsia="zh-CN"/>
              </w:rPr>
              <w:t>华胜公司</w:t>
            </w:r>
            <w:r>
              <w:rPr>
                <w:rFonts w:ascii="Times New Roman" w:hAnsi="Times New Roman" w:cs="Times New Roman"/>
                <w:color w:val="auto"/>
                <w:sz w:val="21"/>
                <w:szCs w:val="16"/>
              </w:rPr>
              <w:t>废水处理系统具体处理工艺流程见图4-</w:t>
            </w:r>
            <w:r>
              <w:rPr>
                <w:rFonts w:hint="eastAsia" w:ascii="Times New Roman" w:hAnsi="Times New Roman" w:cs="Times New Roman"/>
                <w:color w:val="auto"/>
                <w:sz w:val="21"/>
                <w:szCs w:val="16"/>
                <w:lang w:val="en-US" w:eastAsia="zh-CN"/>
              </w:rPr>
              <w:t>8</w:t>
            </w:r>
            <w:r>
              <w:rPr>
                <w:rFonts w:ascii="Times New Roman" w:hAnsi="Times New Roman" w:cs="Times New Roman"/>
                <w:color w:val="auto"/>
                <w:sz w:val="21"/>
                <w:szCs w:val="16"/>
              </w:rPr>
              <w:t>。</w:t>
            </w:r>
          </w:p>
          <w:p>
            <w:pPr>
              <w:pStyle w:val="3718"/>
              <w:spacing w:line="240" w:lineRule="auto"/>
              <w:ind w:firstLine="0"/>
              <w:jc w:val="center"/>
              <w:rPr>
                <w:color w:val="auto"/>
              </w:rPr>
            </w:pPr>
            <w:r>
              <w:rPr>
                <w:color w:val="auto"/>
              </w:rPr>
              <w:object>
                <v:shape id="_x0000_i1028" o:spt="75" type="#_x0000_t75" style="height:367pt;width:312.3pt;" o:ole="t" filled="f" o:preferrelative="t" stroked="f" coordsize="21600,21600">
                  <v:path/>
                  <v:fill on="f" focussize="0,0"/>
                  <v:stroke on="f"/>
                  <v:imagedata r:id="rId28" o:title=""/>
                  <o:lock v:ext="edit" aspectratio="f"/>
                  <w10:wrap type="none"/>
                  <w10:anchorlock/>
                </v:shape>
                <o:OLEObject Type="Embed" ProgID="Visio.Drawing.15" ShapeID="_x0000_i1028" DrawAspect="Content" ObjectID="_1468075732" r:id="rId41">
                  <o:LockedField>false</o:LockedField>
                </o:OLEObject>
              </w:object>
            </w:r>
          </w:p>
          <w:p>
            <w:pPr>
              <w:adjustRightInd w:val="0"/>
              <w:snapToGrid w:val="0"/>
              <w:spacing w:before="120" w:beforeLines="50"/>
              <w:jc w:val="center"/>
              <w:rPr>
                <w:b/>
                <w:color w:val="auto"/>
                <w:szCs w:val="21"/>
              </w:rPr>
            </w:pPr>
            <w:r>
              <w:rPr>
                <w:b/>
                <w:color w:val="auto"/>
              </w:rPr>
              <w:t>图4-</w:t>
            </w:r>
            <w:r>
              <w:rPr>
                <w:rFonts w:hint="eastAsia"/>
                <w:b/>
                <w:color w:val="auto"/>
                <w:lang w:val="en-US" w:eastAsia="zh-CN"/>
              </w:rPr>
              <w:t>8</w:t>
            </w:r>
            <w:r>
              <w:rPr>
                <w:b/>
                <w:color w:val="auto"/>
              </w:rPr>
              <w:t xml:space="preserve"> </w:t>
            </w:r>
            <w:r>
              <w:rPr>
                <w:rFonts w:hint="eastAsia"/>
                <w:b/>
                <w:color w:val="auto"/>
              </w:rPr>
              <w:t xml:space="preserve"> </w:t>
            </w:r>
            <w:r>
              <w:rPr>
                <w:rFonts w:hint="eastAsia"/>
                <w:b/>
                <w:color w:val="auto"/>
                <w:lang w:val="en-US" w:eastAsia="zh-CN"/>
              </w:rPr>
              <w:t>华胜公司</w:t>
            </w:r>
            <w:r>
              <w:rPr>
                <w:b/>
                <w:color w:val="auto"/>
              </w:rPr>
              <w:t>废水处理系统工艺流程图</w:t>
            </w:r>
          </w:p>
          <w:p>
            <w:pPr>
              <w:pStyle w:val="3718"/>
              <w:spacing w:line="400" w:lineRule="exact"/>
              <w:ind w:left="0" w:right="0"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1）</w:t>
            </w:r>
            <w:r>
              <w:rPr>
                <w:rFonts w:ascii="Times New Roman" w:hAnsi="Times New Roman" w:cs="Times New Roman"/>
                <w:color w:val="auto"/>
                <w:sz w:val="21"/>
                <w:szCs w:val="21"/>
              </w:rPr>
              <w:t>化粪池：化粪池是一种利用沉淀和厌氧发酵的原理，去除生活污水中悬浮性有机物的处理设施，属于初级的过渡性生活处理</w:t>
            </w:r>
            <w:r>
              <w:rPr>
                <w:color w:val="auto"/>
              </w:rPr>
              <w:fldChar w:fldCharType="begin"/>
            </w:r>
            <w:r>
              <w:rPr>
                <w:color w:val="auto"/>
              </w:rPr>
              <w:instrText xml:space="preserve"> HYPERLINK "https://baike.baidu.com/item/%E6%9E%84%E7%AD%91%E7%89%A9" \t "_blank" </w:instrText>
            </w:r>
            <w:r>
              <w:rPr>
                <w:color w:val="auto"/>
              </w:rPr>
              <w:fldChar w:fldCharType="separate"/>
            </w:r>
            <w:r>
              <w:rPr>
                <w:rFonts w:ascii="Times New Roman" w:hAnsi="Times New Roman" w:cs="Times New Roman"/>
                <w:color w:val="auto"/>
                <w:sz w:val="21"/>
                <w:szCs w:val="21"/>
              </w:rPr>
              <w:t>构筑物</w:t>
            </w:r>
            <w:r>
              <w:rPr>
                <w:rFonts w:ascii="Times New Roman" w:hAnsi="Times New Roman" w:cs="Times New Roman"/>
                <w:color w:val="auto"/>
                <w:sz w:val="21"/>
                <w:szCs w:val="21"/>
              </w:rPr>
              <w:fldChar w:fldCharType="end"/>
            </w:r>
            <w:r>
              <w:rPr>
                <w:rFonts w:ascii="Times New Roman" w:hAnsi="Times New Roman" w:cs="Times New Roman"/>
                <w:color w:val="auto"/>
                <w:sz w:val="21"/>
                <w:szCs w:val="21"/>
              </w:rPr>
              <w:t>。生活污水中含有大量粪便、纸屑、病原虫</w:t>
            </w:r>
            <w:r>
              <w:rPr>
                <w:rFonts w:hint="eastAsia" w:ascii="Times New Roman" w:hAnsi="Times New Roman" w:cs="Times New Roman"/>
                <w:color w:val="auto"/>
                <w:sz w:val="21"/>
                <w:szCs w:val="21"/>
              </w:rPr>
              <w:t>等，</w:t>
            </w:r>
            <w:r>
              <w:rPr>
                <w:rFonts w:ascii="Times New Roman" w:hAnsi="Times New Roman" w:cs="Times New Roman"/>
                <w:color w:val="auto"/>
                <w:sz w:val="21"/>
                <w:szCs w:val="21"/>
              </w:rPr>
              <w:t>悬浮物固体浓度为100~350mg/L，有机物浓度COD</w:t>
            </w:r>
            <w:r>
              <w:rPr>
                <w:rFonts w:ascii="Times New Roman" w:hAnsi="Times New Roman" w:cs="Times New Roman"/>
                <w:color w:val="auto"/>
                <w:sz w:val="21"/>
                <w:szCs w:val="21"/>
                <w:vertAlign w:val="subscript"/>
              </w:rPr>
              <w:t>Cr</w:t>
            </w:r>
            <w:r>
              <w:rPr>
                <w:rFonts w:ascii="Times New Roman" w:hAnsi="Times New Roman" w:cs="Times New Roman"/>
                <w:color w:val="auto"/>
                <w:sz w:val="21"/>
                <w:szCs w:val="21"/>
              </w:rPr>
              <w:t>在100~400mg/L之间，其中悬浮性的有机物浓度BOD</w:t>
            </w:r>
            <w:r>
              <w:rPr>
                <w:rFonts w:ascii="Times New Roman" w:hAnsi="Times New Roman" w:cs="Times New Roman"/>
                <w:color w:val="auto"/>
                <w:sz w:val="21"/>
                <w:szCs w:val="21"/>
                <w:vertAlign w:val="subscript"/>
              </w:rPr>
              <w:t>5</w:t>
            </w:r>
            <w:r>
              <w:rPr>
                <w:rFonts w:ascii="Times New Roman" w:hAnsi="Times New Roman" w:cs="Times New Roman"/>
                <w:color w:val="auto"/>
                <w:sz w:val="21"/>
                <w:szCs w:val="21"/>
              </w:rPr>
              <w:t>为50~200mg/L。污水进入化粪池经过12~24h的沉淀，可去除50%~60%的悬浮物。沉淀下来的污泥经过3个月以上的厌氧发酵分解，使污泥中的有机物分解成稳定的无机物，易腐败的生污泥转化为稳定的熟污泥，改变了污泥的结构，降低了污泥的含水率。</w:t>
            </w:r>
          </w:p>
          <w:p>
            <w:pPr>
              <w:pStyle w:val="3718"/>
              <w:spacing w:line="400" w:lineRule="exact"/>
              <w:ind w:left="0" w:right="0" w:firstLine="420" w:firstLineChars="200"/>
              <w:jc w:val="both"/>
              <w:rPr>
                <w:rFonts w:hint="default" w:ascii="Times New Roman" w:hAnsi="Times New Roman" w:eastAsia="宋体" w:cs="Times New Roman"/>
                <w:color w:val="auto"/>
                <w:sz w:val="21"/>
                <w:szCs w:val="21"/>
                <w:lang w:val="en-US" w:eastAsia="zh-CN"/>
              </w:rPr>
            </w:pPr>
            <w:r>
              <w:rPr>
                <w:rFonts w:ascii="Times New Roman" w:hAnsi="Times New Roman" w:cs="Times New Roman"/>
                <w:color w:val="auto"/>
                <w:sz w:val="21"/>
                <w:szCs w:val="21"/>
              </w:rPr>
              <w:t>本项目生活污水通过</w:t>
            </w:r>
            <w:r>
              <w:rPr>
                <w:rFonts w:hint="eastAsia" w:ascii="Times New Roman" w:hAnsi="Times New Roman" w:cs="Times New Roman"/>
                <w:color w:val="auto"/>
                <w:sz w:val="21"/>
                <w:szCs w:val="21"/>
                <w:lang w:val="en-US" w:eastAsia="zh-CN"/>
              </w:rPr>
              <w:t>华胜公司</w:t>
            </w:r>
            <w:r>
              <w:rPr>
                <w:rFonts w:ascii="Times New Roman" w:hAnsi="Times New Roman" w:cs="Times New Roman"/>
                <w:color w:val="auto"/>
                <w:sz w:val="21"/>
                <w:szCs w:val="21"/>
              </w:rPr>
              <w:t>的化粪池处理后</w:t>
            </w:r>
            <w:r>
              <w:rPr>
                <w:rFonts w:hint="eastAsia" w:ascii="Times New Roman" w:hAnsi="Times New Roman" w:cs="Times New Roman"/>
                <w:color w:val="auto"/>
                <w:sz w:val="21"/>
                <w:szCs w:val="21"/>
                <w:lang w:val="en-US" w:eastAsia="zh-CN"/>
              </w:rPr>
              <w:t>接管如皋市九华镇污水处理厂。</w:t>
            </w:r>
          </w:p>
          <w:p>
            <w:pPr>
              <w:pStyle w:val="3718"/>
              <w:numPr>
                <w:ilvl w:val="0"/>
                <w:numId w:val="31"/>
              </w:numPr>
              <w:spacing w:line="400" w:lineRule="exact"/>
              <w:ind w:left="0" w:right="0"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污水处理系统</w:t>
            </w:r>
            <w:r>
              <w:rPr>
                <w:rFonts w:ascii="Times New Roman" w:hAnsi="Times New Roman" w:cs="Times New Roman"/>
                <w:color w:val="auto"/>
                <w:sz w:val="21"/>
                <w:szCs w:val="21"/>
              </w:rPr>
              <w:t>：</w:t>
            </w:r>
          </w:p>
          <w:p>
            <w:pPr>
              <w:pStyle w:val="3718"/>
              <w:spacing w:line="40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①</w:t>
            </w:r>
            <w:r>
              <w:rPr>
                <w:rFonts w:hint="eastAsia" w:ascii="Times New Roman" w:hAnsi="Times New Roman" w:cs="Times New Roman"/>
                <w:color w:val="auto"/>
                <w:sz w:val="21"/>
                <w:szCs w:val="21"/>
              </w:rPr>
              <w:t>集水池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厂区生产废水进入集水池。</w:t>
            </w:r>
          </w:p>
          <w:p>
            <w:pPr>
              <w:pStyle w:val="3718"/>
              <w:spacing w:line="40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②</w:t>
            </w:r>
            <w:r>
              <w:rPr>
                <w:rFonts w:hint="eastAsia" w:ascii="Times New Roman" w:hAnsi="Times New Roman" w:cs="Times New Roman"/>
                <w:color w:val="auto"/>
                <w:sz w:val="21"/>
                <w:szCs w:val="21"/>
              </w:rPr>
              <w:t>调节池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集水池的水自流进入调节池，调节水量、均匀水质。调节池前端设置格栅井，截留废水中大的悬浮物，防止对水泵、管道、阀门等造成堵塞</w:t>
            </w:r>
          </w:p>
          <w:p>
            <w:pPr>
              <w:pStyle w:val="3718"/>
              <w:spacing w:line="40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③</w:t>
            </w:r>
            <w:r>
              <w:rPr>
                <w:rFonts w:hint="eastAsia" w:ascii="Times New Roman" w:hAnsi="Times New Roman" w:cs="Times New Roman"/>
                <w:color w:val="auto"/>
                <w:sz w:val="21"/>
                <w:szCs w:val="21"/>
              </w:rPr>
              <w:t>混凝沉淀池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调节池中废水用泵提升进入混凝沉淀池，在该池中投加适量高效絮凝脱色剂及混凝剂，去除废水中绝大部分的悬浮物及色度。</w:t>
            </w:r>
          </w:p>
          <w:p>
            <w:pPr>
              <w:pStyle w:val="3718"/>
              <w:spacing w:line="40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④</w:t>
            </w:r>
            <w:r>
              <w:rPr>
                <w:rFonts w:hint="eastAsia" w:ascii="Times New Roman" w:hAnsi="Times New Roman" w:cs="Times New Roman"/>
                <w:color w:val="auto"/>
                <w:sz w:val="21"/>
                <w:szCs w:val="21"/>
              </w:rPr>
              <w:t>水解酸化池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混凝沉淀池出水自流进入水解酸化池，水解酸化池中安装潜水搅拌器以维持污水的混合状态。在此与内回流硝化液充分混合，反硝化菌可在厌氧环境下，利用污水中的有机将内回流硝化液中的NO</w:t>
            </w:r>
            <w:r>
              <w:rPr>
                <w:rFonts w:hint="eastAsia" w:ascii="Times New Roman" w:hAnsi="Times New Roman" w:cs="Times New Roman"/>
                <w:color w:val="auto"/>
                <w:sz w:val="21"/>
                <w:szCs w:val="21"/>
                <w:vertAlign w:val="superscript"/>
                <w:lang w:val="en-US" w:eastAsia="zh-CN"/>
              </w:rPr>
              <w:t>3-</w:t>
            </w:r>
            <w:r>
              <w:rPr>
                <w:rFonts w:hint="eastAsia" w:ascii="Times New Roman" w:hAnsi="Times New Roman" w:cs="Times New Roman"/>
                <w:color w:val="auto"/>
                <w:sz w:val="21"/>
                <w:szCs w:val="21"/>
              </w:rPr>
              <w:t>转化为N</w:t>
            </w:r>
            <w:r>
              <w:rPr>
                <w:rFonts w:hint="eastAsia" w:ascii="Times New Roman" w:hAnsi="Times New Roman" w:cs="Times New Roman"/>
                <w:color w:val="auto"/>
                <w:sz w:val="21"/>
                <w:szCs w:val="21"/>
                <w:vertAlign w:val="subscript"/>
              </w:rPr>
              <w:t>2</w:t>
            </w:r>
            <w:r>
              <w:rPr>
                <w:rFonts w:hint="eastAsia" w:ascii="Times New Roman" w:hAnsi="Times New Roman" w:cs="Times New Roman"/>
                <w:color w:val="auto"/>
                <w:sz w:val="21"/>
                <w:szCs w:val="21"/>
              </w:rPr>
              <w:t>释放，从而完成反硝化过程，实现脱氮的目的。此后，物所有污水及回流污泥进入接触氧化池，在接触氧化池内充氧曝气，为好氧生化反应创造良好的环境条件，保证BOD</w:t>
            </w:r>
            <w:r>
              <w:rPr>
                <w:rFonts w:hint="eastAsia" w:ascii="Times New Roman" w:hAnsi="Times New Roman" w:cs="Times New Roman"/>
                <w:color w:val="auto"/>
                <w:sz w:val="21"/>
                <w:szCs w:val="21"/>
                <w:vertAlign w:val="subscript"/>
              </w:rPr>
              <w:t>5</w:t>
            </w:r>
            <w:r>
              <w:rPr>
                <w:rFonts w:hint="eastAsia" w:ascii="Times New Roman" w:hAnsi="Times New Roman" w:cs="Times New Roman"/>
                <w:color w:val="auto"/>
                <w:sz w:val="21"/>
                <w:szCs w:val="21"/>
              </w:rPr>
              <w:t>、NH</w:t>
            </w:r>
            <w:r>
              <w:rPr>
                <w:rFonts w:hint="eastAsia" w:ascii="Times New Roman" w:hAnsi="Times New Roman" w:cs="Times New Roman"/>
                <w:color w:val="auto"/>
                <w:sz w:val="21"/>
                <w:szCs w:val="21"/>
                <w:vertAlign w:val="subscript"/>
                <w:lang w:val="en-US" w:eastAsia="zh-CN"/>
              </w:rPr>
              <w:t>3</w:t>
            </w:r>
            <w:r>
              <w:rPr>
                <w:rFonts w:hint="eastAsia" w:ascii="Times New Roman" w:hAnsi="Times New Roman" w:cs="Times New Roman"/>
                <w:color w:val="auto"/>
                <w:sz w:val="21"/>
                <w:szCs w:val="21"/>
              </w:rPr>
              <w:t>-N的去除。在曝气池末端设置内回流泵，将池内混合液送至水解酸化，以维持厌氧区内反硝化反应的进行。</w:t>
            </w:r>
          </w:p>
          <w:p>
            <w:pPr>
              <w:pStyle w:val="3718"/>
              <w:spacing w:line="40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⑤</w:t>
            </w:r>
            <w:r>
              <w:rPr>
                <w:rFonts w:hint="eastAsia" w:ascii="Times New Roman" w:hAnsi="Times New Roman" w:cs="Times New Roman"/>
                <w:color w:val="auto"/>
                <w:sz w:val="21"/>
                <w:szCs w:val="21"/>
              </w:rPr>
              <w:t>二沉池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接触氧化池出水自流进入二沉池，进行泥水分离。部分污泥回流至水解酸化池及接触氧化池。</w:t>
            </w:r>
          </w:p>
          <w:p>
            <w:pPr>
              <w:pStyle w:val="3718"/>
              <w:spacing w:line="40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⑥</w:t>
            </w:r>
            <w:r>
              <w:rPr>
                <w:rFonts w:hint="eastAsia" w:ascii="Times New Roman" w:hAnsi="Times New Roman" w:cs="Times New Roman"/>
                <w:color w:val="auto"/>
                <w:sz w:val="21"/>
                <w:szCs w:val="21"/>
              </w:rPr>
              <w:t>终沉池</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rPr>
              <w:t>二沉池出水进入终沉池，进一步加脱色剂，确保废水色度达标。终沉池出水达标排放。</w:t>
            </w:r>
          </w:p>
          <w:p>
            <w:pPr>
              <w:pStyle w:val="3718"/>
              <w:spacing w:line="400" w:lineRule="exact"/>
              <w:ind w:left="0" w:right="0" w:firstLine="420" w:firstLineChars="200"/>
              <w:jc w:val="both"/>
              <w:rPr>
                <w:rFonts w:hint="eastAsia" w:ascii="Times New Roman" w:hAnsi="Times New Roman" w:cs="Times New Roman"/>
                <w:color w:val="auto"/>
                <w:sz w:val="21"/>
                <w:szCs w:val="21"/>
              </w:rPr>
            </w:pPr>
            <w:r>
              <w:rPr>
                <w:rFonts w:hint="eastAsia" w:ascii="Times New Roman" w:hAnsi="Times New Roman" w:cs="Times New Roman"/>
                <w:color w:val="auto"/>
                <w:sz w:val="21"/>
                <w:szCs w:val="21"/>
              </w:rPr>
              <w:t>混凝沉淀池、水解酸化池、接触氧化池、二沉池及终沉池中的剩余污泥排至污泥浓缩池，浓缩后的污泥排至污泥浓缩池，浓缩后的污泥通过板框压滤机处理后外运按规定处理。污泥浓缩池的上清液及机械脱水的滤液回至调节池，参加后续处理。</w:t>
            </w:r>
          </w:p>
          <w:p>
            <w:pPr>
              <w:pStyle w:val="3718"/>
              <w:spacing w:line="400" w:lineRule="exact"/>
              <w:ind w:left="0" w:right="0" w:firstLine="420" w:firstLineChars="200"/>
              <w:jc w:val="both"/>
              <w:rPr>
                <w:rFonts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3</w:t>
            </w:r>
            <w:r>
              <w:rPr>
                <w:rFonts w:ascii="Times New Roman" w:hAnsi="Times New Roman" w:cs="Times New Roman"/>
                <w:color w:val="auto"/>
                <w:sz w:val="21"/>
                <w:szCs w:val="21"/>
              </w:rPr>
              <w:t>）处理效果分析</w:t>
            </w:r>
          </w:p>
          <w:p>
            <w:pPr>
              <w:pStyle w:val="3718"/>
              <w:spacing w:line="400" w:lineRule="exact"/>
              <w:ind w:left="0" w:right="0" w:firstLine="420" w:firstLineChars="200"/>
              <w:jc w:val="both"/>
              <w:rPr>
                <w:rFonts w:ascii="Times New Roman" w:hAnsi="Times New Roman" w:cs="Times New Roman"/>
                <w:color w:val="auto"/>
                <w:sz w:val="21"/>
                <w:szCs w:val="21"/>
              </w:rPr>
            </w:pPr>
            <w:r>
              <w:rPr>
                <w:rFonts w:ascii="Times New Roman" w:hAnsi="Times New Roman" w:cs="Times New Roman"/>
                <w:color w:val="auto"/>
                <w:sz w:val="21"/>
                <w:szCs w:val="21"/>
              </w:rPr>
              <w:t>本项目废水</w:t>
            </w:r>
            <w:r>
              <w:rPr>
                <w:rFonts w:hint="eastAsia" w:ascii="Times New Roman" w:hAnsi="Times New Roman" w:cs="Times New Roman"/>
                <w:color w:val="auto"/>
                <w:sz w:val="21"/>
                <w:szCs w:val="21"/>
              </w:rPr>
              <w:t>依托</w:t>
            </w:r>
            <w:r>
              <w:rPr>
                <w:rFonts w:hint="eastAsia" w:ascii="Times New Roman" w:hAnsi="Times New Roman" w:cs="Times New Roman"/>
                <w:color w:val="auto"/>
                <w:sz w:val="21"/>
                <w:szCs w:val="21"/>
                <w:lang w:val="en-US" w:eastAsia="zh-CN"/>
              </w:rPr>
              <w:t>华胜</w:t>
            </w:r>
            <w:r>
              <w:rPr>
                <w:rFonts w:ascii="Times New Roman" w:hAnsi="Times New Roman" w:cs="Times New Roman"/>
                <w:color w:val="auto"/>
                <w:sz w:val="21"/>
                <w:szCs w:val="21"/>
              </w:rPr>
              <w:t>污水处理系统处</w:t>
            </w:r>
            <w:r>
              <w:rPr>
                <w:rFonts w:hint="eastAsia" w:ascii="Times New Roman" w:hAnsi="Times New Roman" w:eastAsia="宋体" w:cs="Times New Roman"/>
                <w:color w:val="auto"/>
                <w:sz w:val="21"/>
                <w:szCs w:val="21"/>
              </w:rPr>
              <w:t>理后，能够满足</w:t>
            </w:r>
            <w:r>
              <w:rPr>
                <w:rFonts w:hint="eastAsia" w:ascii="Times New Roman" w:hAnsi="Times New Roman" w:eastAsia="宋体" w:cs="Times New Roman"/>
                <w:color w:val="auto"/>
                <w:sz w:val="21"/>
                <w:szCs w:val="21"/>
                <w:lang w:val="en-US" w:eastAsia="zh-CN"/>
              </w:rPr>
              <w:t>如皋市九华镇污水处理厂接管标准</w:t>
            </w:r>
            <w:r>
              <w:rPr>
                <w:rFonts w:hint="eastAsia" w:ascii="Times New Roman" w:hAnsi="Times New Roman" w:eastAsia="宋体" w:cs="Times New Roman"/>
                <w:color w:val="auto"/>
                <w:sz w:val="21"/>
                <w:szCs w:val="21"/>
              </w:rPr>
              <w:t>要求。</w:t>
            </w:r>
            <w:r>
              <w:rPr>
                <w:rFonts w:ascii="Times New Roman" w:hAnsi="Times New Roman" w:cs="Times New Roman"/>
                <w:color w:val="auto"/>
                <w:sz w:val="21"/>
                <w:szCs w:val="21"/>
              </w:rPr>
              <w:t>废水处理站各处理单元处理效果见表4-</w:t>
            </w:r>
            <w:r>
              <w:rPr>
                <w:rFonts w:hint="eastAsia" w:ascii="Times New Roman" w:hAnsi="Times New Roman" w:cs="Times New Roman"/>
                <w:color w:val="auto"/>
                <w:sz w:val="21"/>
                <w:szCs w:val="21"/>
                <w:lang w:val="en-US" w:eastAsia="zh-CN"/>
              </w:rPr>
              <w:t>20</w:t>
            </w:r>
            <w:r>
              <w:rPr>
                <w:rFonts w:ascii="Times New Roman" w:hAnsi="Times New Roman" w:cs="Times New Roman"/>
                <w:color w:val="auto"/>
                <w:sz w:val="21"/>
                <w:szCs w:val="21"/>
              </w:rPr>
              <w:t>。</w:t>
            </w:r>
          </w:p>
          <w:p>
            <w:pPr>
              <w:adjustRightInd w:val="0"/>
              <w:snapToGrid w:val="0"/>
              <w:spacing w:before="120" w:beforeLines="50"/>
              <w:jc w:val="center"/>
              <w:rPr>
                <w:b/>
                <w:color w:val="auto"/>
              </w:rPr>
            </w:pPr>
            <w:r>
              <w:rPr>
                <w:b/>
                <w:color w:val="auto"/>
              </w:rPr>
              <w:t>表4-</w:t>
            </w:r>
            <w:r>
              <w:rPr>
                <w:rFonts w:hint="eastAsia"/>
                <w:b/>
                <w:color w:val="auto"/>
                <w:lang w:val="en-US" w:eastAsia="zh-CN"/>
              </w:rPr>
              <w:t>20</w:t>
            </w:r>
            <w:r>
              <w:rPr>
                <w:rFonts w:hint="eastAsia"/>
                <w:b/>
                <w:color w:val="auto"/>
              </w:rPr>
              <w:t xml:space="preserve"> </w:t>
            </w:r>
            <w:r>
              <w:rPr>
                <w:b/>
                <w:color w:val="auto"/>
              </w:rPr>
              <w:t xml:space="preserve"> </w:t>
            </w:r>
            <w:r>
              <w:rPr>
                <w:rFonts w:hint="eastAsia"/>
                <w:b/>
                <w:color w:val="auto"/>
              </w:rPr>
              <w:t>生产</w:t>
            </w:r>
            <w:r>
              <w:rPr>
                <w:b/>
                <w:color w:val="auto"/>
              </w:rPr>
              <w:t>废水预处理情况</w:t>
            </w:r>
            <w:r>
              <w:rPr>
                <w:rFonts w:hint="eastAsia"/>
                <w:b/>
                <w:color w:val="auto"/>
              </w:rPr>
              <w:t>一览</w:t>
            </w:r>
            <w:r>
              <w:rPr>
                <w:b/>
                <w:color w:val="auto"/>
              </w:rPr>
              <w:t>表</w:t>
            </w:r>
          </w:p>
          <w:tbl>
            <w:tblPr>
              <w:tblStyle w:val="90"/>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2420"/>
              <w:gridCol w:w="2428"/>
              <w:gridCol w:w="1816"/>
              <w:gridCol w:w="1817"/>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tcBorders>
                    <w:bottom w:val="single" w:color="000000" w:sz="12" w:space="0"/>
                  </w:tcBorders>
                  <w:vAlign w:val="center"/>
                </w:tcPr>
                <w:p>
                  <w:pPr>
                    <w:widowControl/>
                    <w:adjustRightInd w:val="0"/>
                    <w:snapToGrid w:val="0"/>
                    <w:ind w:left="-63" w:leftChars="-30" w:right="-63" w:rightChars="-30"/>
                    <w:jc w:val="center"/>
                    <w:textAlignment w:val="center"/>
                    <w:rPr>
                      <w:b/>
                      <w:bCs/>
                      <w:color w:val="auto"/>
                      <w:sz w:val="20"/>
                      <w:szCs w:val="20"/>
                    </w:rPr>
                  </w:pPr>
                  <w:r>
                    <w:rPr>
                      <w:b/>
                      <w:bCs/>
                      <w:color w:val="auto"/>
                      <w:kern w:val="0"/>
                      <w:sz w:val="20"/>
                      <w:szCs w:val="20"/>
                      <w:lang w:bidi="ar"/>
                    </w:rPr>
                    <w:t>工艺</w:t>
                  </w:r>
                </w:p>
              </w:tc>
              <w:tc>
                <w:tcPr>
                  <w:tcW w:w="1431" w:type="pct"/>
                  <w:tcBorders>
                    <w:bottom w:val="single" w:color="000000" w:sz="12" w:space="0"/>
                  </w:tcBorders>
                  <w:vAlign w:val="center"/>
                </w:tcPr>
                <w:p>
                  <w:pPr>
                    <w:widowControl/>
                    <w:adjustRightInd w:val="0"/>
                    <w:snapToGrid w:val="0"/>
                    <w:ind w:left="-63" w:leftChars="-30" w:right="-63" w:rightChars="-30"/>
                    <w:jc w:val="center"/>
                    <w:textAlignment w:val="center"/>
                    <w:rPr>
                      <w:b/>
                      <w:bCs/>
                      <w:color w:val="auto"/>
                      <w:sz w:val="20"/>
                      <w:szCs w:val="20"/>
                    </w:rPr>
                  </w:pPr>
                  <w:r>
                    <w:rPr>
                      <w:b/>
                      <w:bCs/>
                      <w:color w:val="auto"/>
                      <w:kern w:val="0"/>
                      <w:sz w:val="20"/>
                      <w:szCs w:val="20"/>
                      <w:lang w:bidi="ar"/>
                    </w:rPr>
                    <w:t>项目</w:t>
                  </w:r>
                </w:p>
              </w:tc>
              <w:tc>
                <w:tcPr>
                  <w:tcW w:w="1070" w:type="pct"/>
                  <w:tcBorders>
                    <w:bottom w:val="single" w:color="000000" w:sz="12" w:space="0"/>
                  </w:tcBorders>
                  <w:noWrap/>
                  <w:vAlign w:val="center"/>
                </w:tcPr>
                <w:p>
                  <w:pPr>
                    <w:widowControl/>
                    <w:adjustRightInd w:val="0"/>
                    <w:snapToGrid w:val="0"/>
                    <w:ind w:left="-63" w:leftChars="-30" w:right="-63" w:rightChars="-30"/>
                    <w:jc w:val="center"/>
                    <w:textAlignment w:val="center"/>
                    <w:rPr>
                      <w:b/>
                      <w:bCs/>
                      <w:color w:val="auto"/>
                      <w:sz w:val="20"/>
                      <w:szCs w:val="20"/>
                    </w:rPr>
                  </w:pPr>
                  <w:r>
                    <w:rPr>
                      <w:b/>
                      <w:bCs/>
                      <w:color w:val="auto"/>
                      <w:kern w:val="0"/>
                      <w:sz w:val="20"/>
                      <w:szCs w:val="20"/>
                      <w:lang w:bidi="ar"/>
                    </w:rPr>
                    <w:t>COD</w:t>
                  </w:r>
                </w:p>
              </w:tc>
              <w:tc>
                <w:tcPr>
                  <w:tcW w:w="1071" w:type="pct"/>
                  <w:tcBorders>
                    <w:bottom w:val="single" w:color="000000" w:sz="12" w:space="0"/>
                  </w:tcBorders>
                  <w:vAlign w:val="center"/>
                </w:tcPr>
                <w:p>
                  <w:pPr>
                    <w:widowControl/>
                    <w:adjustRightInd w:val="0"/>
                    <w:snapToGrid w:val="0"/>
                    <w:ind w:left="-63" w:leftChars="-30" w:right="-63" w:rightChars="-30"/>
                    <w:jc w:val="center"/>
                    <w:textAlignment w:val="center"/>
                    <w:rPr>
                      <w:b/>
                      <w:bCs/>
                      <w:color w:val="auto"/>
                      <w:sz w:val="20"/>
                      <w:szCs w:val="20"/>
                    </w:rPr>
                  </w:pPr>
                  <w:r>
                    <w:rPr>
                      <w:b/>
                      <w:bCs/>
                      <w:color w:val="auto"/>
                      <w:kern w:val="0"/>
                      <w:sz w:val="20"/>
                      <w:szCs w:val="20"/>
                      <w:lang w:bidi="ar"/>
                    </w:rPr>
                    <w:t>SS</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restart"/>
                  <w:tcBorders>
                    <w:top w:val="single" w:color="000000" w:sz="12" w:space="0"/>
                  </w:tcBorders>
                  <w:vAlign w:val="center"/>
                </w:tcPr>
                <w:p>
                  <w:pPr>
                    <w:adjustRightInd w:val="0"/>
                    <w:snapToGrid w:val="0"/>
                    <w:ind w:left="-63" w:leftChars="-30" w:right="-63" w:rightChars="-30"/>
                    <w:jc w:val="center"/>
                    <w:rPr>
                      <w:rFonts w:hint="eastAsia" w:eastAsia="宋体"/>
                      <w:color w:val="auto"/>
                      <w:sz w:val="20"/>
                      <w:szCs w:val="20"/>
                      <w:lang w:eastAsia="zh-CN"/>
                    </w:rPr>
                  </w:pPr>
                  <w:r>
                    <w:rPr>
                      <w:rFonts w:hint="eastAsia"/>
                      <w:color w:val="auto"/>
                      <w:kern w:val="0"/>
                      <w:sz w:val="20"/>
                      <w:szCs w:val="20"/>
                      <w:lang w:val="en-US" w:eastAsia="zh-CN" w:bidi="ar"/>
                    </w:rPr>
                    <w:t>调节池</w:t>
                  </w:r>
                </w:p>
              </w:tc>
              <w:tc>
                <w:tcPr>
                  <w:tcW w:w="1431" w:type="pct"/>
                  <w:tcBorders>
                    <w:top w:val="single" w:color="000000" w:sz="12" w:space="0"/>
                  </w:tcBorders>
                  <w:vAlign w:val="center"/>
                </w:tcPr>
                <w:p>
                  <w:pPr>
                    <w:widowControl/>
                    <w:adjustRightInd w:val="0"/>
                    <w:snapToGrid w:val="0"/>
                    <w:ind w:left="-63" w:leftChars="-30" w:right="-63" w:rightChars="-30"/>
                    <w:jc w:val="center"/>
                    <w:textAlignment w:val="center"/>
                    <w:rPr>
                      <w:color w:val="auto"/>
                      <w:kern w:val="0"/>
                      <w:sz w:val="20"/>
                      <w:szCs w:val="20"/>
                      <w:lang w:bidi="ar"/>
                    </w:rPr>
                  </w:pPr>
                  <w:r>
                    <w:rPr>
                      <w:color w:val="auto"/>
                      <w:kern w:val="0"/>
                      <w:sz w:val="20"/>
                      <w:szCs w:val="20"/>
                      <w:lang w:bidi="ar"/>
                    </w:rPr>
                    <w:t>进水水质</w:t>
                  </w:r>
                </w:p>
              </w:tc>
              <w:tc>
                <w:tcPr>
                  <w:tcW w:w="1070" w:type="pct"/>
                  <w:tcBorders>
                    <w:top w:val="single" w:color="000000" w:sz="12" w:space="0"/>
                  </w:tcBorders>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100</w:t>
                  </w:r>
                </w:p>
              </w:tc>
              <w:tc>
                <w:tcPr>
                  <w:tcW w:w="1071" w:type="pct"/>
                  <w:tcBorders>
                    <w:top w:val="single" w:color="000000" w:sz="12" w:space="0"/>
                  </w:tcBorders>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67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kern w:val="0"/>
                      <w:sz w:val="20"/>
                      <w:szCs w:val="20"/>
                      <w:lang w:bidi="ar"/>
                    </w:rPr>
                  </w:pPr>
                  <w:r>
                    <w:rPr>
                      <w:color w:val="auto"/>
                      <w:kern w:val="0"/>
                      <w:sz w:val="20"/>
                      <w:szCs w:val="20"/>
                      <w:lang w:bidi="ar"/>
                    </w:rPr>
                    <w:t>去除率%</w:t>
                  </w:r>
                </w:p>
              </w:tc>
              <w:tc>
                <w:tcPr>
                  <w:tcW w:w="1070" w:type="pct"/>
                  <w:vAlign w:val="center"/>
                </w:tcPr>
                <w:p>
                  <w:pPr>
                    <w:widowControl/>
                    <w:adjustRightInd w:val="0"/>
                    <w:snapToGrid w:val="0"/>
                    <w:ind w:left="-63" w:leftChars="-30" w:right="-63" w:rightChars="-30"/>
                    <w:jc w:val="center"/>
                    <w:textAlignment w:val="center"/>
                    <w:rPr>
                      <w:rFonts w:hint="eastAsia" w:eastAsia="宋体"/>
                      <w:color w:val="auto"/>
                      <w:kern w:val="0"/>
                      <w:sz w:val="20"/>
                      <w:szCs w:val="20"/>
                      <w:lang w:val="en-US" w:eastAsia="zh-CN" w:bidi="ar"/>
                    </w:rPr>
                  </w:pPr>
                  <w:r>
                    <w:rPr>
                      <w:rFonts w:hint="eastAsia"/>
                      <w:color w:val="auto"/>
                      <w:kern w:val="0"/>
                      <w:sz w:val="20"/>
                      <w:szCs w:val="20"/>
                      <w:lang w:val="en-US" w:eastAsia="zh-CN" w:bidi="ar"/>
                    </w:rPr>
                    <w:t>/</w:t>
                  </w:r>
                </w:p>
              </w:tc>
              <w:tc>
                <w:tcPr>
                  <w:tcW w:w="1071" w:type="pct"/>
                  <w:vAlign w:val="center"/>
                </w:tcPr>
                <w:p>
                  <w:pPr>
                    <w:widowControl/>
                    <w:adjustRightInd w:val="0"/>
                    <w:snapToGrid w:val="0"/>
                    <w:ind w:left="-63" w:leftChars="-30" w:right="-63" w:rightChars="-30"/>
                    <w:jc w:val="center"/>
                    <w:textAlignment w:val="center"/>
                    <w:rPr>
                      <w:rFonts w:hint="eastAsia" w:eastAsia="宋体"/>
                      <w:color w:val="auto"/>
                      <w:kern w:val="0"/>
                      <w:sz w:val="20"/>
                      <w:szCs w:val="20"/>
                      <w:lang w:val="en-US" w:eastAsia="zh-CN" w:bidi="ar"/>
                    </w:rPr>
                  </w:pPr>
                  <w:r>
                    <w:rPr>
                      <w:rFonts w:hint="eastAsia"/>
                      <w:color w:val="auto"/>
                      <w:kern w:val="0"/>
                      <w:sz w:val="20"/>
                      <w:szCs w:val="20"/>
                      <w:lang w:val="en-US" w:eastAsia="zh-CN" w:bidi="ar"/>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kern w:val="0"/>
                      <w:sz w:val="20"/>
                      <w:szCs w:val="20"/>
                      <w:lang w:bidi="ar"/>
                    </w:rPr>
                  </w:pPr>
                  <w:r>
                    <w:rPr>
                      <w:color w:val="auto"/>
                      <w:kern w:val="0"/>
                      <w:sz w:val="20"/>
                      <w:szCs w:val="20"/>
                      <w:lang w:bidi="ar"/>
                    </w:rPr>
                    <w:t>出水水质</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100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67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restart"/>
                  <w:vAlign w:val="center"/>
                </w:tcPr>
                <w:p>
                  <w:pPr>
                    <w:adjustRightInd w:val="0"/>
                    <w:snapToGrid w:val="0"/>
                    <w:jc w:val="center"/>
                    <w:rPr>
                      <w:rFonts w:hint="default" w:eastAsia="宋体"/>
                      <w:color w:val="auto"/>
                      <w:kern w:val="0"/>
                      <w:sz w:val="20"/>
                      <w:szCs w:val="20"/>
                      <w:lang w:val="en-US" w:eastAsia="zh-CN" w:bidi="ar"/>
                    </w:rPr>
                  </w:pPr>
                  <w:r>
                    <w:rPr>
                      <w:rFonts w:hint="eastAsia"/>
                      <w:color w:val="auto"/>
                      <w:kern w:val="0"/>
                      <w:sz w:val="20"/>
                      <w:szCs w:val="20"/>
                      <w:lang w:val="en-US" w:eastAsia="zh-CN" w:bidi="ar"/>
                    </w:rPr>
                    <w:t>混凝沉淀池</w:t>
                  </w:r>
                </w:p>
              </w:tc>
              <w:tc>
                <w:tcPr>
                  <w:tcW w:w="1431" w:type="pct"/>
                  <w:vAlign w:val="center"/>
                </w:tcPr>
                <w:p>
                  <w:pPr>
                    <w:widowControl/>
                    <w:adjustRightInd w:val="0"/>
                    <w:snapToGrid w:val="0"/>
                    <w:ind w:left="-63" w:leftChars="-30" w:right="-63" w:rightChars="-30"/>
                    <w:jc w:val="center"/>
                    <w:textAlignment w:val="center"/>
                    <w:rPr>
                      <w:color w:val="auto"/>
                      <w:kern w:val="0"/>
                      <w:sz w:val="20"/>
                      <w:szCs w:val="20"/>
                      <w:lang w:bidi="ar"/>
                    </w:rPr>
                  </w:pPr>
                  <w:r>
                    <w:rPr>
                      <w:color w:val="auto"/>
                      <w:kern w:val="0"/>
                      <w:sz w:val="20"/>
                      <w:szCs w:val="20"/>
                      <w:lang w:bidi="ar"/>
                    </w:rPr>
                    <w:t>进水水质</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100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67</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kern w:val="0"/>
                      <w:sz w:val="20"/>
                      <w:szCs w:val="20"/>
                      <w:lang w:bidi="ar"/>
                    </w:rPr>
                  </w:pPr>
                  <w:r>
                    <w:rPr>
                      <w:color w:val="auto"/>
                      <w:kern w:val="0"/>
                      <w:sz w:val="20"/>
                      <w:szCs w:val="20"/>
                      <w:lang w:bidi="ar"/>
                    </w:rPr>
                    <w:t>去除率%</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30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50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kern w:val="0"/>
                      <w:sz w:val="20"/>
                      <w:szCs w:val="20"/>
                      <w:lang w:bidi="ar"/>
                    </w:rPr>
                  </w:pPr>
                  <w:r>
                    <w:rPr>
                      <w:color w:val="auto"/>
                      <w:kern w:val="0"/>
                      <w:sz w:val="20"/>
                      <w:szCs w:val="20"/>
                      <w:lang w:bidi="ar"/>
                    </w:rPr>
                    <w:t>出水水质</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70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kern w:val="0"/>
                      <w:sz w:val="20"/>
                      <w:szCs w:val="20"/>
                      <w:lang w:val="en-US" w:eastAsia="zh-CN" w:bidi="ar"/>
                    </w:rPr>
                  </w:pPr>
                  <w:r>
                    <w:rPr>
                      <w:rFonts w:hint="eastAsia"/>
                      <w:color w:val="auto"/>
                      <w:kern w:val="0"/>
                      <w:sz w:val="20"/>
                      <w:szCs w:val="20"/>
                      <w:lang w:val="en-US" w:eastAsia="zh-CN" w:bidi="ar"/>
                    </w:rPr>
                    <w:t>35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restart"/>
                  <w:vAlign w:val="center"/>
                </w:tcPr>
                <w:p>
                  <w:pPr>
                    <w:widowControl/>
                    <w:adjustRightInd w:val="0"/>
                    <w:snapToGrid w:val="0"/>
                    <w:ind w:left="-63" w:leftChars="-30" w:right="-63" w:rightChars="-30"/>
                    <w:jc w:val="center"/>
                    <w:textAlignment w:val="center"/>
                    <w:rPr>
                      <w:rFonts w:hint="eastAsia" w:eastAsia="宋体"/>
                      <w:color w:val="auto"/>
                      <w:sz w:val="20"/>
                      <w:szCs w:val="20"/>
                      <w:lang w:eastAsia="zh-CN"/>
                    </w:rPr>
                  </w:pPr>
                  <w:r>
                    <w:rPr>
                      <w:rFonts w:hint="eastAsia"/>
                      <w:color w:val="auto"/>
                      <w:kern w:val="0"/>
                      <w:sz w:val="20"/>
                      <w:szCs w:val="20"/>
                      <w:lang w:val="en-US" w:eastAsia="zh-CN" w:bidi="ar"/>
                    </w:rPr>
                    <w:t>水解酸化池</w:t>
                  </w:r>
                </w:p>
              </w:tc>
              <w:tc>
                <w:tcPr>
                  <w:tcW w:w="1431" w:type="pct"/>
                  <w:vAlign w:val="center"/>
                </w:tcPr>
                <w:p>
                  <w:pPr>
                    <w:widowControl/>
                    <w:adjustRightInd w:val="0"/>
                    <w:snapToGrid w:val="0"/>
                    <w:ind w:left="-63" w:leftChars="-30" w:right="-63" w:rightChars="-30"/>
                    <w:jc w:val="center"/>
                    <w:textAlignment w:val="center"/>
                    <w:rPr>
                      <w:color w:val="auto"/>
                      <w:sz w:val="20"/>
                      <w:szCs w:val="20"/>
                    </w:rPr>
                  </w:pPr>
                  <w:r>
                    <w:rPr>
                      <w:color w:val="auto"/>
                      <w:kern w:val="0"/>
                      <w:sz w:val="20"/>
                      <w:szCs w:val="20"/>
                      <w:lang w:bidi="ar"/>
                    </w:rPr>
                    <w:t>进水水质</w:t>
                  </w:r>
                </w:p>
              </w:tc>
              <w:tc>
                <w:tcPr>
                  <w:tcW w:w="1816" w:type="dxa"/>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kern w:val="0"/>
                      <w:sz w:val="20"/>
                      <w:szCs w:val="20"/>
                      <w:lang w:val="en-US" w:eastAsia="zh-CN" w:bidi="ar"/>
                    </w:rPr>
                    <w:t>70</w:t>
                  </w:r>
                </w:p>
              </w:tc>
              <w:tc>
                <w:tcPr>
                  <w:tcW w:w="1817" w:type="dxa"/>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kern w:val="0"/>
                      <w:sz w:val="20"/>
                      <w:szCs w:val="20"/>
                      <w:lang w:val="en-US" w:eastAsia="zh-CN" w:bidi="ar"/>
                    </w:rPr>
                    <w:t>35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sz w:val="20"/>
                      <w:szCs w:val="20"/>
                    </w:rPr>
                  </w:pPr>
                  <w:r>
                    <w:rPr>
                      <w:color w:val="auto"/>
                      <w:kern w:val="0"/>
                      <w:sz w:val="20"/>
                      <w:szCs w:val="20"/>
                      <w:lang w:bidi="ar"/>
                    </w:rPr>
                    <w:t>去除率%</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sz w:val="20"/>
                      <w:szCs w:val="20"/>
                      <w:lang w:val="en-US" w:eastAsia="zh-CN"/>
                    </w:rPr>
                    <w:t>15</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sz w:val="20"/>
                      <w:szCs w:val="20"/>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sz w:val="20"/>
                      <w:szCs w:val="20"/>
                    </w:rPr>
                  </w:pPr>
                  <w:r>
                    <w:rPr>
                      <w:color w:val="auto"/>
                      <w:kern w:val="0"/>
                      <w:sz w:val="20"/>
                      <w:szCs w:val="20"/>
                      <w:lang w:bidi="ar"/>
                    </w:rPr>
                    <w:t>出水水质</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sz w:val="20"/>
                      <w:szCs w:val="20"/>
                      <w:lang w:val="en-US" w:eastAsia="zh-CN"/>
                    </w:rPr>
                    <w:t>60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sz w:val="20"/>
                      <w:szCs w:val="20"/>
                      <w:lang w:val="en-US" w:eastAsia="zh-CN"/>
                    </w:rPr>
                    <w:t>35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restart"/>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kern w:val="0"/>
                      <w:sz w:val="20"/>
                      <w:szCs w:val="20"/>
                      <w:lang w:val="en-US" w:eastAsia="zh-CN" w:bidi="ar"/>
                    </w:rPr>
                    <w:t>接触氧化池+二沉池</w:t>
                  </w:r>
                </w:p>
              </w:tc>
              <w:tc>
                <w:tcPr>
                  <w:tcW w:w="1431" w:type="pct"/>
                  <w:vAlign w:val="center"/>
                </w:tcPr>
                <w:p>
                  <w:pPr>
                    <w:widowControl/>
                    <w:adjustRightInd w:val="0"/>
                    <w:snapToGrid w:val="0"/>
                    <w:ind w:left="-63" w:leftChars="-30" w:right="-63" w:rightChars="-30"/>
                    <w:jc w:val="center"/>
                    <w:textAlignment w:val="center"/>
                    <w:rPr>
                      <w:color w:val="auto"/>
                      <w:sz w:val="20"/>
                      <w:szCs w:val="20"/>
                    </w:rPr>
                  </w:pPr>
                  <w:r>
                    <w:rPr>
                      <w:color w:val="auto"/>
                      <w:kern w:val="0"/>
                      <w:sz w:val="20"/>
                      <w:szCs w:val="20"/>
                      <w:lang w:bidi="ar"/>
                    </w:rPr>
                    <w:t>进水水质</w:t>
                  </w:r>
                </w:p>
              </w:tc>
              <w:tc>
                <w:tcPr>
                  <w:tcW w:w="1816" w:type="dxa"/>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sz w:val="20"/>
                      <w:szCs w:val="20"/>
                      <w:lang w:val="en-US" w:eastAsia="zh-CN"/>
                    </w:rPr>
                    <w:t>60</w:t>
                  </w:r>
                </w:p>
              </w:tc>
              <w:tc>
                <w:tcPr>
                  <w:tcW w:w="1817" w:type="dxa"/>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sz w:val="20"/>
                      <w:szCs w:val="20"/>
                      <w:lang w:val="en-US" w:eastAsia="zh-CN"/>
                    </w:rPr>
                    <w:t>35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sz w:val="20"/>
                      <w:szCs w:val="20"/>
                    </w:rPr>
                  </w:pPr>
                  <w:r>
                    <w:rPr>
                      <w:color w:val="auto"/>
                      <w:kern w:val="0"/>
                      <w:sz w:val="20"/>
                      <w:szCs w:val="20"/>
                      <w:lang w:bidi="ar"/>
                    </w:rPr>
                    <w:t>去除率%</w:t>
                  </w:r>
                </w:p>
              </w:tc>
              <w:tc>
                <w:tcPr>
                  <w:tcW w:w="1070" w:type="pct"/>
                  <w:shd w:val="clear" w:color="auto" w:fill="auto"/>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10</w:t>
                  </w:r>
                </w:p>
              </w:tc>
              <w:tc>
                <w:tcPr>
                  <w:tcW w:w="1071" w:type="pct"/>
                  <w:shd w:val="clear" w:color="auto" w:fill="auto"/>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30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adjustRightInd w:val="0"/>
                    <w:snapToGrid w:val="0"/>
                    <w:ind w:left="-63" w:leftChars="-30" w:right="-63" w:rightChars="-30"/>
                    <w:jc w:val="center"/>
                    <w:rPr>
                      <w:color w:val="auto"/>
                      <w:sz w:val="20"/>
                      <w:szCs w:val="20"/>
                    </w:rPr>
                  </w:pPr>
                </w:p>
              </w:tc>
              <w:tc>
                <w:tcPr>
                  <w:tcW w:w="1431" w:type="pct"/>
                  <w:vAlign w:val="center"/>
                </w:tcPr>
                <w:p>
                  <w:pPr>
                    <w:widowControl/>
                    <w:adjustRightInd w:val="0"/>
                    <w:snapToGrid w:val="0"/>
                    <w:ind w:left="-63" w:leftChars="-30" w:right="-63" w:rightChars="-30"/>
                    <w:jc w:val="center"/>
                    <w:textAlignment w:val="center"/>
                    <w:rPr>
                      <w:color w:val="auto"/>
                      <w:sz w:val="20"/>
                      <w:szCs w:val="20"/>
                    </w:rPr>
                  </w:pPr>
                  <w:r>
                    <w:rPr>
                      <w:color w:val="auto"/>
                      <w:kern w:val="0"/>
                      <w:sz w:val="20"/>
                      <w:szCs w:val="20"/>
                      <w:lang w:bidi="ar"/>
                    </w:rPr>
                    <w:t>出水水质</w:t>
                  </w:r>
                </w:p>
              </w:tc>
              <w:tc>
                <w:tcPr>
                  <w:tcW w:w="1070" w:type="pct"/>
                  <w:vAlign w:val="center"/>
                </w:tcPr>
                <w:p>
                  <w:pPr>
                    <w:widowControl/>
                    <w:adjustRightInd w:val="0"/>
                    <w:snapToGrid w:val="0"/>
                    <w:ind w:left="-63" w:leftChars="-30" w:right="-63" w:rightChars="-30"/>
                    <w:jc w:val="center"/>
                    <w:textAlignment w:val="center"/>
                    <w:rPr>
                      <w:rFonts w:hint="default"/>
                      <w:color w:val="auto"/>
                      <w:sz w:val="20"/>
                      <w:szCs w:val="20"/>
                      <w:lang w:val="en-US"/>
                    </w:rPr>
                  </w:pPr>
                  <w:r>
                    <w:rPr>
                      <w:rFonts w:hint="eastAsia"/>
                      <w:color w:val="auto"/>
                      <w:sz w:val="20"/>
                      <w:szCs w:val="20"/>
                      <w:lang w:val="en-US" w:eastAsia="zh-CN"/>
                    </w:rPr>
                    <w:t>54</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sz w:val="20"/>
                      <w:szCs w:val="20"/>
                      <w:lang w:val="en-US" w:eastAsia="zh-CN"/>
                    </w:rPr>
                  </w:pPr>
                  <w:r>
                    <w:rPr>
                      <w:rFonts w:hint="eastAsia"/>
                      <w:color w:val="auto"/>
                      <w:sz w:val="20"/>
                      <w:szCs w:val="20"/>
                      <w:lang w:val="en-US" w:eastAsia="zh-CN"/>
                    </w:rPr>
                    <w:t>25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restart"/>
                  <w:vAlign w:val="center"/>
                </w:tcPr>
                <w:p>
                  <w:pPr>
                    <w:widowControl/>
                    <w:jc w:val="center"/>
                    <w:textAlignment w:val="center"/>
                    <w:rPr>
                      <w:rFonts w:hint="eastAsia" w:eastAsia="宋体"/>
                      <w:color w:val="auto"/>
                      <w:sz w:val="20"/>
                      <w:szCs w:val="20"/>
                      <w:highlight w:val="none"/>
                      <w:lang w:eastAsia="zh-CN"/>
                    </w:rPr>
                  </w:pPr>
                  <w:r>
                    <w:rPr>
                      <w:rFonts w:hint="eastAsia"/>
                      <w:color w:val="auto"/>
                      <w:kern w:val="0"/>
                      <w:sz w:val="20"/>
                      <w:szCs w:val="20"/>
                      <w:highlight w:val="none"/>
                      <w:lang w:val="en-US" w:eastAsia="zh-CN" w:bidi="ar"/>
                    </w:rPr>
                    <w:t>终沉池</w:t>
                  </w:r>
                </w:p>
              </w:tc>
              <w:tc>
                <w:tcPr>
                  <w:tcW w:w="1431" w:type="pct"/>
                  <w:vAlign w:val="center"/>
                </w:tcPr>
                <w:p>
                  <w:pPr>
                    <w:widowControl/>
                    <w:jc w:val="center"/>
                    <w:textAlignment w:val="center"/>
                    <w:rPr>
                      <w:color w:val="auto"/>
                      <w:kern w:val="0"/>
                      <w:sz w:val="20"/>
                      <w:szCs w:val="20"/>
                      <w:highlight w:val="none"/>
                      <w:lang w:bidi="ar"/>
                    </w:rPr>
                  </w:pPr>
                  <w:r>
                    <w:rPr>
                      <w:color w:val="auto"/>
                      <w:kern w:val="0"/>
                      <w:sz w:val="20"/>
                      <w:szCs w:val="20"/>
                      <w:highlight w:val="none"/>
                      <w:lang w:bidi="ar"/>
                    </w:rPr>
                    <w:t>进水水质</w:t>
                  </w:r>
                </w:p>
              </w:tc>
              <w:tc>
                <w:tcPr>
                  <w:tcW w:w="1816" w:type="dxa"/>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lang w:val="en-US" w:eastAsia="zh-CN"/>
                    </w:rPr>
                    <w:t>54</w:t>
                  </w:r>
                </w:p>
              </w:tc>
              <w:tc>
                <w:tcPr>
                  <w:tcW w:w="1817" w:type="dxa"/>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lang w:val="en-US" w:eastAsia="zh-CN"/>
                    </w:rPr>
                    <w:t>25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jc w:val="center"/>
                    <w:rPr>
                      <w:color w:val="auto"/>
                      <w:sz w:val="20"/>
                      <w:szCs w:val="20"/>
                      <w:highlight w:val="none"/>
                    </w:rPr>
                  </w:pPr>
                </w:p>
              </w:tc>
              <w:tc>
                <w:tcPr>
                  <w:tcW w:w="1431" w:type="pct"/>
                  <w:vAlign w:val="center"/>
                </w:tcPr>
                <w:p>
                  <w:pPr>
                    <w:widowControl/>
                    <w:jc w:val="center"/>
                    <w:textAlignment w:val="center"/>
                    <w:rPr>
                      <w:color w:val="auto"/>
                      <w:kern w:val="0"/>
                      <w:sz w:val="20"/>
                      <w:szCs w:val="20"/>
                      <w:highlight w:val="none"/>
                      <w:lang w:bidi="ar"/>
                    </w:rPr>
                  </w:pPr>
                  <w:r>
                    <w:rPr>
                      <w:color w:val="auto"/>
                      <w:kern w:val="0"/>
                      <w:sz w:val="20"/>
                      <w:szCs w:val="20"/>
                      <w:highlight w:val="none"/>
                      <w:lang w:bidi="ar"/>
                    </w:rPr>
                    <w:t>去除率%</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10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40</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1426" w:type="pct"/>
                  <w:vMerge w:val="continue"/>
                  <w:vAlign w:val="center"/>
                </w:tcPr>
                <w:p>
                  <w:pPr>
                    <w:jc w:val="center"/>
                    <w:rPr>
                      <w:color w:val="auto"/>
                      <w:sz w:val="20"/>
                      <w:szCs w:val="20"/>
                      <w:highlight w:val="none"/>
                    </w:rPr>
                  </w:pPr>
                </w:p>
              </w:tc>
              <w:tc>
                <w:tcPr>
                  <w:tcW w:w="1431" w:type="pct"/>
                  <w:vAlign w:val="center"/>
                </w:tcPr>
                <w:p>
                  <w:pPr>
                    <w:widowControl/>
                    <w:jc w:val="center"/>
                    <w:textAlignment w:val="center"/>
                    <w:rPr>
                      <w:color w:val="auto"/>
                      <w:kern w:val="0"/>
                      <w:sz w:val="20"/>
                      <w:szCs w:val="20"/>
                      <w:highlight w:val="none"/>
                      <w:lang w:bidi="ar"/>
                    </w:rPr>
                  </w:pPr>
                  <w:r>
                    <w:rPr>
                      <w:color w:val="auto"/>
                      <w:kern w:val="0"/>
                      <w:sz w:val="20"/>
                      <w:szCs w:val="20"/>
                      <w:highlight w:val="none"/>
                      <w:lang w:bidi="ar"/>
                    </w:rPr>
                    <w:t>出水水质</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50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15</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jc w:val="center"/>
              </w:trPr>
              <w:tc>
                <w:tcPr>
                  <w:tcW w:w="2858" w:type="pct"/>
                  <w:gridSpan w:val="2"/>
                  <w:vAlign w:val="center"/>
                </w:tcPr>
                <w:p>
                  <w:pPr>
                    <w:widowControl/>
                    <w:jc w:val="center"/>
                    <w:textAlignment w:val="center"/>
                    <w:rPr>
                      <w:rFonts w:hint="eastAsia"/>
                      <w:color w:val="auto"/>
                      <w:kern w:val="0"/>
                      <w:sz w:val="20"/>
                      <w:szCs w:val="20"/>
                      <w:highlight w:val="none"/>
                      <w:lang w:val="en-US" w:eastAsia="zh-CN" w:bidi="ar"/>
                    </w:rPr>
                  </w:pPr>
                  <w:r>
                    <w:rPr>
                      <w:rFonts w:hint="eastAsia"/>
                      <w:color w:val="auto"/>
                      <w:kern w:val="0"/>
                      <w:sz w:val="20"/>
                      <w:szCs w:val="20"/>
                      <w:highlight w:val="none"/>
                      <w:lang w:val="en-US" w:eastAsia="zh-CN" w:bidi="ar"/>
                    </w:rPr>
                    <w:t>接管标准</w:t>
                  </w:r>
                </w:p>
              </w:tc>
              <w:tc>
                <w:tcPr>
                  <w:tcW w:w="1070" w:type="pct"/>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500</w:t>
                  </w:r>
                </w:p>
              </w:tc>
              <w:tc>
                <w:tcPr>
                  <w:tcW w:w="1071" w:type="pct"/>
                  <w:vAlign w:val="center"/>
                </w:tcPr>
                <w:p>
                  <w:pPr>
                    <w:widowControl/>
                    <w:adjustRightInd w:val="0"/>
                    <w:snapToGrid w:val="0"/>
                    <w:ind w:left="-63" w:leftChars="-30" w:right="-63" w:rightChars="-30"/>
                    <w:jc w:val="center"/>
                    <w:textAlignment w:val="center"/>
                    <w:rPr>
                      <w:rFonts w:hint="default" w:eastAsia="宋体"/>
                      <w:color w:val="auto"/>
                      <w:sz w:val="20"/>
                      <w:szCs w:val="20"/>
                      <w:highlight w:val="none"/>
                      <w:lang w:val="en-US" w:eastAsia="zh-CN"/>
                    </w:rPr>
                  </w:pPr>
                  <w:r>
                    <w:rPr>
                      <w:rFonts w:hint="eastAsia"/>
                      <w:color w:val="auto"/>
                      <w:sz w:val="20"/>
                      <w:szCs w:val="20"/>
                      <w:highlight w:val="none"/>
                      <w:lang w:val="en-US" w:eastAsia="zh-CN"/>
                    </w:rPr>
                    <w:t>400</w:t>
                  </w:r>
                </w:p>
              </w:tc>
            </w:tr>
          </w:tbl>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color w:val="FF0000"/>
                <w:kern w:val="0"/>
                <w:szCs w:val="21"/>
                <w:lang w:val="en-US" w:eastAsia="zh-CN"/>
              </w:rPr>
            </w:pPr>
            <w:r>
              <w:rPr>
                <w:rFonts w:hint="eastAsia"/>
                <w:color w:val="FF0000"/>
                <w:kern w:val="0"/>
                <w:szCs w:val="21"/>
                <w:lang w:val="en-US" w:eastAsia="zh-CN"/>
              </w:rPr>
              <w:t>4）依托可行性分析</w:t>
            </w:r>
          </w:p>
          <w:p>
            <w:pPr>
              <w:keepNext w:val="0"/>
              <w:keepLines w:val="0"/>
              <w:pageBreakBefore w:val="0"/>
              <w:widowControl w:val="0"/>
              <w:kinsoku/>
              <w:wordWrap/>
              <w:overflowPunct/>
              <w:topLinePunct w:val="0"/>
              <w:bidi w:val="0"/>
              <w:adjustRightInd w:val="0"/>
              <w:snapToGrid w:val="0"/>
              <w:spacing w:line="360" w:lineRule="auto"/>
              <w:ind w:firstLine="420"/>
              <w:textAlignment w:val="auto"/>
              <w:rPr>
                <w:rFonts w:hint="eastAsia"/>
                <w:color w:val="FF0000"/>
                <w:kern w:val="0"/>
                <w:szCs w:val="21"/>
                <w:lang w:eastAsia="zh-CN"/>
              </w:rPr>
            </w:pPr>
            <w:r>
              <w:rPr>
                <w:rFonts w:hint="eastAsia"/>
                <w:color w:val="FF0000"/>
                <w:kern w:val="0"/>
                <w:szCs w:val="21"/>
                <w:lang w:val="en-US" w:eastAsia="zh-CN"/>
              </w:rPr>
              <w:t>华胜公司</w:t>
            </w:r>
            <w:r>
              <w:rPr>
                <w:rFonts w:hint="eastAsia"/>
                <w:color w:val="FF0000"/>
                <w:kern w:val="0"/>
                <w:szCs w:val="21"/>
              </w:rPr>
              <w:t>厂区污水处理站处理能力为500t</w:t>
            </w:r>
            <w:r>
              <w:rPr>
                <w:rFonts w:hint="eastAsia"/>
                <w:color w:val="FF0000"/>
                <w:kern w:val="0"/>
                <w:szCs w:val="21"/>
                <w:lang w:val="en-US" w:eastAsia="zh-CN"/>
              </w:rPr>
              <w:t>/</w:t>
            </w:r>
            <w:r>
              <w:rPr>
                <w:rFonts w:hint="eastAsia"/>
                <w:color w:val="FF0000"/>
                <w:kern w:val="0"/>
                <w:szCs w:val="21"/>
              </w:rPr>
              <w:t>d，</w:t>
            </w:r>
            <w:r>
              <w:rPr>
                <w:rFonts w:hint="eastAsia"/>
                <w:color w:val="FF0000"/>
                <w:kern w:val="0"/>
                <w:szCs w:val="21"/>
                <w:lang w:val="en-US" w:eastAsia="zh-CN"/>
              </w:rPr>
              <w:t>目前</w:t>
            </w:r>
            <w:r>
              <w:rPr>
                <w:rFonts w:hint="eastAsia"/>
                <w:color w:val="FF0000"/>
                <w:kern w:val="0"/>
                <w:szCs w:val="21"/>
              </w:rPr>
              <w:t>废水产生量共计</w:t>
            </w:r>
            <w:r>
              <w:rPr>
                <w:rFonts w:hint="eastAsia"/>
                <w:color w:val="FF0000"/>
                <w:kern w:val="0"/>
                <w:szCs w:val="21"/>
                <w:lang w:val="en-US" w:eastAsia="zh-CN"/>
              </w:rPr>
              <w:t>300</w:t>
            </w:r>
            <w:r>
              <w:rPr>
                <w:rFonts w:hint="eastAsia"/>
                <w:color w:val="FF0000"/>
                <w:kern w:val="0"/>
                <w:szCs w:val="21"/>
              </w:rPr>
              <w:t>t/d</w:t>
            </w:r>
            <w:r>
              <w:rPr>
                <w:rFonts w:hint="eastAsia"/>
                <w:color w:val="FF0000"/>
                <w:kern w:val="0"/>
                <w:szCs w:val="21"/>
                <w:lang w:eastAsia="zh-CN"/>
              </w:rPr>
              <w:t>（</w:t>
            </w:r>
            <w:r>
              <w:rPr>
                <w:rFonts w:hint="eastAsia"/>
                <w:color w:val="FF0000"/>
                <w:kern w:val="0"/>
                <w:szCs w:val="21"/>
                <w:lang w:val="en-US" w:eastAsia="zh-CN"/>
              </w:rPr>
              <w:t>90000</w:t>
            </w:r>
            <w:r>
              <w:rPr>
                <w:rFonts w:hint="eastAsia"/>
                <w:color w:val="FF0000"/>
                <w:kern w:val="0"/>
                <w:szCs w:val="21"/>
              </w:rPr>
              <w:t>t/a</w:t>
            </w:r>
            <w:r>
              <w:rPr>
                <w:rFonts w:hint="eastAsia"/>
                <w:color w:val="FF0000"/>
                <w:kern w:val="0"/>
                <w:szCs w:val="21"/>
                <w:lang w:eastAsia="zh-CN"/>
              </w:rPr>
              <w:t>）</w:t>
            </w:r>
            <w:r>
              <w:rPr>
                <w:rFonts w:hint="eastAsia"/>
                <w:color w:val="FF0000"/>
                <w:kern w:val="0"/>
                <w:szCs w:val="21"/>
              </w:rPr>
              <w:t>，</w:t>
            </w:r>
            <w:r>
              <w:rPr>
                <w:rFonts w:hint="eastAsia"/>
                <w:color w:val="FF0000"/>
                <w:kern w:val="0"/>
                <w:szCs w:val="21"/>
                <w:lang w:val="en-US" w:eastAsia="zh-CN"/>
              </w:rPr>
              <w:t>剩余200t/d处理能力，本项目需依托华胜污水处理站处理的废水量为9.6</w:t>
            </w:r>
            <w:r>
              <w:rPr>
                <w:rFonts w:hint="eastAsia"/>
                <w:color w:val="FF0000"/>
                <w:kern w:val="0"/>
                <w:szCs w:val="21"/>
              </w:rPr>
              <w:t>t/d</w:t>
            </w:r>
            <w:r>
              <w:rPr>
                <w:rFonts w:hint="eastAsia"/>
                <w:color w:val="FF0000"/>
                <w:kern w:val="0"/>
                <w:szCs w:val="21"/>
                <w:lang w:val="en-US" w:eastAsia="zh-CN"/>
              </w:rPr>
              <w:t>，</w:t>
            </w:r>
            <w:r>
              <w:rPr>
                <w:rFonts w:hint="eastAsia"/>
                <w:color w:val="FF0000"/>
                <w:kern w:val="0"/>
                <w:szCs w:val="21"/>
              </w:rPr>
              <w:t>可以满足本项目废水处理的需要</w:t>
            </w:r>
            <w:r>
              <w:rPr>
                <w:rFonts w:hint="eastAsia"/>
                <w:color w:val="FF0000"/>
                <w:kern w:val="0"/>
                <w:szCs w:val="21"/>
                <w:lang w:eastAsia="zh-CN"/>
              </w:rPr>
              <w:t>。</w:t>
            </w:r>
          </w:p>
          <w:p>
            <w:pPr>
              <w:keepNext w:val="0"/>
              <w:keepLines w:val="0"/>
              <w:pageBreakBefore w:val="0"/>
              <w:widowControl w:val="0"/>
              <w:kinsoku/>
              <w:wordWrap/>
              <w:overflowPunct/>
              <w:topLinePunct w:val="0"/>
              <w:bidi w:val="0"/>
              <w:adjustRightInd w:val="0"/>
              <w:snapToGrid w:val="0"/>
              <w:spacing w:line="360" w:lineRule="auto"/>
              <w:ind w:firstLine="420"/>
              <w:textAlignment w:val="auto"/>
              <w:rPr>
                <w:rFonts w:hint="eastAsia" w:ascii="Times New Roman" w:hAnsi="Times New Roman" w:eastAsia="宋体" w:cs="Times New Roman"/>
                <w:color w:val="FF0000"/>
                <w:kern w:val="0"/>
                <w:szCs w:val="21"/>
              </w:rPr>
            </w:pPr>
            <w:r>
              <w:rPr>
                <w:rFonts w:hint="eastAsia" w:ascii="Times New Roman" w:hAnsi="Times New Roman" w:eastAsia="宋体" w:cs="Times New Roman"/>
                <w:color w:val="FF0000"/>
                <w:kern w:val="0"/>
                <w:szCs w:val="21"/>
                <w:lang w:val="en-US" w:eastAsia="zh-CN"/>
              </w:rPr>
              <w:t>本项目建成后</w:t>
            </w:r>
            <w:r>
              <w:rPr>
                <w:rFonts w:hint="eastAsia" w:ascii="Times New Roman" w:hAnsi="Times New Roman" w:eastAsia="宋体" w:cs="Times New Roman"/>
                <w:color w:val="FF0000"/>
                <w:kern w:val="0"/>
                <w:szCs w:val="21"/>
              </w:rPr>
              <w:t>全厂污水处理站</w:t>
            </w:r>
            <w:r>
              <w:rPr>
                <w:rFonts w:hint="eastAsia" w:ascii="Times New Roman" w:hAnsi="Times New Roman" w:eastAsia="宋体" w:cs="Times New Roman"/>
                <w:color w:val="FF0000"/>
                <w:kern w:val="0"/>
                <w:szCs w:val="21"/>
                <w:lang w:eastAsia="zh-CN"/>
              </w:rPr>
              <w:t>（</w:t>
            </w:r>
            <w:r>
              <w:rPr>
                <w:rFonts w:hint="eastAsia" w:ascii="Times New Roman" w:hAnsi="Times New Roman" w:eastAsia="宋体" w:cs="Times New Roman"/>
                <w:color w:val="FF0000"/>
                <w:kern w:val="0"/>
                <w:szCs w:val="21"/>
                <w:lang w:val="en-US" w:eastAsia="zh-CN"/>
              </w:rPr>
              <w:t>包含华胜废水</w:t>
            </w:r>
            <w:r>
              <w:rPr>
                <w:rFonts w:hint="eastAsia" w:ascii="Times New Roman" w:hAnsi="Times New Roman" w:eastAsia="宋体" w:cs="Times New Roman"/>
                <w:color w:val="FF0000"/>
                <w:kern w:val="0"/>
                <w:szCs w:val="21"/>
                <w:lang w:eastAsia="zh-CN"/>
              </w:rPr>
              <w:t>）</w:t>
            </w:r>
            <w:r>
              <w:rPr>
                <w:rFonts w:hint="eastAsia" w:ascii="Times New Roman" w:hAnsi="Times New Roman" w:eastAsia="宋体" w:cs="Times New Roman"/>
                <w:color w:val="FF0000"/>
                <w:kern w:val="0"/>
                <w:szCs w:val="21"/>
              </w:rPr>
              <w:t>处理后效果如下表所示。</w:t>
            </w:r>
          </w:p>
          <w:p>
            <w:pPr>
              <w:keepNext w:val="0"/>
              <w:keepLines w:val="0"/>
              <w:pageBreakBefore w:val="0"/>
              <w:widowControl w:val="0"/>
              <w:kinsoku/>
              <w:wordWrap/>
              <w:overflowPunct/>
              <w:topLinePunct w:val="0"/>
              <w:bidi w:val="0"/>
              <w:adjustRightInd w:val="0"/>
              <w:snapToGrid w:val="0"/>
              <w:spacing w:line="360" w:lineRule="auto"/>
              <w:jc w:val="center"/>
              <w:textAlignment w:val="auto"/>
              <w:rPr>
                <w:rFonts w:hint="eastAsia" w:ascii="Times New Roman" w:hAnsi="Times New Roman" w:eastAsia="宋体" w:cs="Times New Roman"/>
                <w:b/>
                <w:bCs/>
                <w:color w:val="FF0000"/>
                <w:kern w:val="0"/>
                <w:szCs w:val="21"/>
              </w:rPr>
            </w:pPr>
            <w:r>
              <w:rPr>
                <w:rFonts w:hint="eastAsia" w:ascii="Times New Roman" w:hAnsi="Times New Roman" w:eastAsia="宋体" w:cs="Times New Roman"/>
                <w:b/>
                <w:bCs/>
                <w:color w:val="FF0000"/>
                <w:kern w:val="0"/>
                <w:szCs w:val="21"/>
              </w:rPr>
              <w:t>表4-</w:t>
            </w:r>
            <w:r>
              <w:rPr>
                <w:rFonts w:hint="eastAsia" w:ascii="Times New Roman" w:hAnsi="Times New Roman" w:eastAsia="宋体" w:cs="Times New Roman"/>
                <w:b/>
                <w:bCs/>
                <w:color w:val="FF0000"/>
                <w:kern w:val="0"/>
                <w:szCs w:val="21"/>
                <w:lang w:val="en-US" w:eastAsia="zh-CN"/>
              </w:rPr>
              <w:t>21</w:t>
            </w:r>
            <w:r>
              <w:rPr>
                <w:rFonts w:hint="eastAsia" w:ascii="Times New Roman" w:hAnsi="Times New Roman" w:eastAsia="宋体" w:cs="Times New Roman"/>
                <w:b/>
                <w:bCs/>
                <w:color w:val="FF0000"/>
                <w:kern w:val="0"/>
                <w:szCs w:val="21"/>
              </w:rPr>
              <w:t xml:space="preserve">  本项目建成后</w:t>
            </w:r>
            <w:r>
              <w:rPr>
                <w:rFonts w:hint="eastAsia" w:ascii="Times New Roman" w:hAnsi="Times New Roman" w:eastAsia="宋体" w:cs="Times New Roman"/>
                <w:b/>
                <w:bCs/>
                <w:color w:val="FF0000"/>
                <w:kern w:val="0"/>
                <w:szCs w:val="21"/>
                <w:lang w:val="en-US" w:eastAsia="zh-CN"/>
              </w:rPr>
              <w:t>污水处理站</w:t>
            </w:r>
            <w:r>
              <w:rPr>
                <w:rFonts w:hint="eastAsia" w:ascii="Times New Roman" w:hAnsi="Times New Roman" w:eastAsia="宋体" w:cs="Times New Roman"/>
                <w:b/>
                <w:bCs/>
                <w:color w:val="FF0000"/>
                <w:kern w:val="0"/>
                <w:szCs w:val="21"/>
              </w:rPr>
              <w:t>废水排放达标分析表</w:t>
            </w:r>
          </w:p>
          <w:tbl>
            <w:tblPr>
              <w:tblStyle w:val="90"/>
              <w:tblW w:w="0" w:type="auto"/>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27"/>
              <w:gridCol w:w="1056"/>
              <w:gridCol w:w="1022"/>
              <w:gridCol w:w="1100"/>
              <w:gridCol w:w="1025"/>
              <w:gridCol w:w="1049"/>
              <w:gridCol w:w="1122"/>
              <w:gridCol w:w="924"/>
              <w:gridCol w:w="669"/>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vMerge w:val="restart"/>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序号</w:t>
                  </w:r>
                </w:p>
              </w:tc>
              <w:tc>
                <w:tcPr>
                  <w:tcW w:w="1056" w:type="dxa"/>
                  <w:vMerge w:val="restart"/>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污染物</w:t>
                  </w:r>
                </w:p>
              </w:tc>
              <w:tc>
                <w:tcPr>
                  <w:tcW w:w="1022" w:type="dxa"/>
                  <w:vMerge w:val="restart"/>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现有华胜排放量（t/a）</w:t>
                  </w:r>
                </w:p>
              </w:tc>
              <w:tc>
                <w:tcPr>
                  <w:tcW w:w="1100" w:type="dxa"/>
                  <w:vMerge w:val="restart"/>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本项目新增排放量（t/a）</w:t>
                  </w:r>
                </w:p>
              </w:tc>
              <w:tc>
                <w:tcPr>
                  <w:tcW w:w="1025" w:type="dxa"/>
                  <w:vMerge w:val="restart"/>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以新带老削减（t/a）</w:t>
                  </w:r>
                </w:p>
              </w:tc>
              <w:tc>
                <w:tcPr>
                  <w:tcW w:w="2171" w:type="dxa"/>
                  <w:gridSpan w:val="2"/>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全厂排放情况</w:t>
                  </w:r>
                </w:p>
              </w:tc>
              <w:tc>
                <w:tcPr>
                  <w:tcW w:w="924" w:type="dxa"/>
                  <w:vMerge w:val="restart"/>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浓度执行标准</w:t>
                  </w:r>
                </w:p>
              </w:tc>
              <w:tc>
                <w:tcPr>
                  <w:tcW w:w="669" w:type="dxa"/>
                  <w:vMerge w:val="restart"/>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是否达标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vMerge w:val="continue"/>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p>
              </w:tc>
              <w:tc>
                <w:tcPr>
                  <w:tcW w:w="1056" w:type="dxa"/>
                  <w:vMerge w:val="continue"/>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p>
              </w:tc>
              <w:tc>
                <w:tcPr>
                  <w:tcW w:w="1022" w:type="dxa"/>
                  <w:vMerge w:val="continue"/>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p>
              </w:tc>
              <w:tc>
                <w:tcPr>
                  <w:tcW w:w="1100" w:type="dxa"/>
                  <w:vMerge w:val="continue"/>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p>
              </w:tc>
              <w:tc>
                <w:tcPr>
                  <w:tcW w:w="1025" w:type="dxa"/>
                  <w:vMerge w:val="continue"/>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p>
              </w:tc>
              <w:tc>
                <w:tcPr>
                  <w:tcW w:w="1049"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排放量（t/a）</w:t>
                  </w:r>
                </w:p>
              </w:tc>
              <w:tc>
                <w:tcPr>
                  <w:tcW w:w="1122"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b/>
                      <w:bCs/>
                      <w:color w:val="FF0000"/>
                      <w:sz w:val="20"/>
                      <w:szCs w:val="20"/>
                      <w:highlight w:val="none"/>
                      <w:lang w:val="en-US" w:eastAsia="zh-CN"/>
                    </w:rPr>
                  </w:pPr>
                  <w:r>
                    <w:rPr>
                      <w:rFonts w:hint="eastAsia" w:ascii="Times New Roman" w:hAnsi="Times New Roman" w:eastAsia="宋体" w:cs="Times New Roman"/>
                      <w:b/>
                      <w:bCs/>
                      <w:color w:val="FF0000"/>
                      <w:sz w:val="20"/>
                      <w:szCs w:val="20"/>
                      <w:highlight w:val="none"/>
                      <w:lang w:val="en-US" w:eastAsia="zh-CN"/>
                    </w:rPr>
                    <w:t>排放浓度（mg/L）</w:t>
                  </w:r>
                </w:p>
              </w:tc>
              <w:tc>
                <w:tcPr>
                  <w:tcW w:w="924" w:type="dxa"/>
                  <w:vMerge w:val="continue"/>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p>
              </w:tc>
              <w:tc>
                <w:tcPr>
                  <w:tcW w:w="669" w:type="dxa"/>
                  <w:vMerge w:val="continue"/>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1</w:t>
                  </w:r>
                </w:p>
              </w:tc>
              <w:tc>
                <w:tcPr>
                  <w:tcW w:w="1056"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废水量（m</w:t>
                  </w:r>
                  <w:r>
                    <w:rPr>
                      <w:rFonts w:hint="eastAsia" w:ascii="Times New Roman" w:hAnsi="Times New Roman" w:eastAsia="宋体" w:cs="Times New Roman"/>
                      <w:color w:val="FF0000"/>
                      <w:sz w:val="20"/>
                      <w:szCs w:val="20"/>
                      <w:highlight w:val="none"/>
                      <w:vertAlign w:val="superscript"/>
                      <w:lang w:val="en-US" w:eastAsia="zh-CN"/>
                    </w:rPr>
                    <w:t>3</w:t>
                  </w:r>
                  <w:r>
                    <w:rPr>
                      <w:rFonts w:hint="eastAsia" w:ascii="Times New Roman" w:hAnsi="Times New Roman" w:eastAsia="宋体" w:cs="Times New Roman"/>
                      <w:color w:val="FF0000"/>
                      <w:sz w:val="20"/>
                      <w:szCs w:val="20"/>
                      <w:highlight w:val="none"/>
                      <w:lang w:val="en-US" w:eastAsia="zh-CN"/>
                    </w:rPr>
                    <w:t>/a）</w:t>
                  </w:r>
                </w:p>
              </w:tc>
              <w:tc>
                <w:tcPr>
                  <w:tcW w:w="1022"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90000</w:t>
                  </w:r>
                </w:p>
              </w:tc>
              <w:tc>
                <w:tcPr>
                  <w:tcW w:w="1100"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cs="Times New Roman"/>
                      <w:color w:val="FF0000"/>
                      <w:sz w:val="20"/>
                      <w:szCs w:val="20"/>
                      <w:highlight w:val="none"/>
                      <w:lang w:val="en-US" w:eastAsia="zh-CN"/>
                    </w:rPr>
                    <w:t>6394</w:t>
                  </w:r>
                </w:p>
              </w:tc>
              <w:tc>
                <w:tcPr>
                  <w:tcW w:w="1025"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c>
                <w:tcPr>
                  <w:tcW w:w="1049"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cs="Times New Roman"/>
                      <w:color w:val="FF0000"/>
                      <w:sz w:val="20"/>
                      <w:szCs w:val="20"/>
                      <w:highlight w:val="none"/>
                      <w:lang w:val="en-US" w:eastAsia="zh-CN"/>
                    </w:rPr>
                    <w:t>96394</w:t>
                  </w:r>
                </w:p>
              </w:tc>
              <w:tc>
                <w:tcPr>
                  <w:tcW w:w="1122"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c>
                <w:tcPr>
                  <w:tcW w:w="924"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c>
                <w:tcPr>
                  <w:tcW w:w="669"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2</w:t>
                  </w:r>
                </w:p>
              </w:tc>
              <w:tc>
                <w:tcPr>
                  <w:tcW w:w="1056"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COD</w:t>
                  </w:r>
                </w:p>
              </w:tc>
              <w:tc>
                <w:tcPr>
                  <w:tcW w:w="1022"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22.29</w:t>
                  </w:r>
                </w:p>
              </w:tc>
              <w:tc>
                <w:tcPr>
                  <w:tcW w:w="1100"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cs="Times New Roman"/>
                      <w:color w:val="FF0000"/>
                      <w:sz w:val="20"/>
                      <w:szCs w:val="20"/>
                      <w:highlight w:val="none"/>
                      <w:lang w:val="en-US" w:eastAsia="zh-CN"/>
                    </w:rPr>
                    <w:t>0.3741</w:t>
                  </w:r>
                </w:p>
              </w:tc>
              <w:tc>
                <w:tcPr>
                  <w:tcW w:w="1025"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c>
                <w:tcPr>
                  <w:tcW w:w="1049"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22.6641</w:t>
                  </w:r>
                </w:p>
              </w:tc>
              <w:tc>
                <w:tcPr>
                  <w:tcW w:w="1122"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 xml:space="preserve">235.119 </w:t>
                  </w:r>
                </w:p>
              </w:tc>
              <w:tc>
                <w:tcPr>
                  <w:tcW w:w="924"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500</w:t>
                  </w:r>
                </w:p>
              </w:tc>
              <w:tc>
                <w:tcPr>
                  <w:tcW w:w="669"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3</w:t>
                  </w:r>
                </w:p>
              </w:tc>
              <w:tc>
                <w:tcPr>
                  <w:tcW w:w="1056"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BOD</w:t>
                  </w:r>
                  <w:r>
                    <w:rPr>
                      <w:rFonts w:hint="eastAsia" w:ascii="Times New Roman" w:hAnsi="Times New Roman" w:eastAsia="宋体" w:cs="Times New Roman"/>
                      <w:color w:val="FF0000"/>
                      <w:sz w:val="20"/>
                      <w:szCs w:val="20"/>
                      <w:highlight w:val="none"/>
                      <w:vertAlign w:val="subscript"/>
                      <w:lang w:val="en-US" w:eastAsia="zh-CN"/>
                    </w:rPr>
                    <w:t>5</w:t>
                  </w:r>
                </w:p>
              </w:tc>
              <w:tc>
                <w:tcPr>
                  <w:tcW w:w="1022"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4.038</w:t>
                  </w:r>
                </w:p>
              </w:tc>
              <w:tc>
                <w:tcPr>
                  <w:tcW w:w="1100"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c>
                <w:tcPr>
                  <w:tcW w:w="1025"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c>
                <w:tcPr>
                  <w:tcW w:w="1049"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4.038</w:t>
                  </w:r>
                </w:p>
              </w:tc>
              <w:tc>
                <w:tcPr>
                  <w:tcW w:w="1122"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 xml:space="preserve">41.891 </w:t>
                  </w:r>
                </w:p>
              </w:tc>
              <w:tc>
                <w:tcPr>
                  <w:tcW w:w="924" w:type="dxa"/>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300</w:t>
                  </w:r>
                </w:p>
              </w:tc>
              <w:tc>
                <w:tcPr>
                  <w:tcW w:w="669"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4</w:t>
                  </w:r>
                </w:p>
              </w:tc>
              <w:tc>
                <w:tcPr>
                  <w:tcW w:w="1056"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SS</w:t>
                  </w:r>
                </w:p>
              </w:tc>
              <w:tc>
                <w:tcPr>
                  <w:tcW w:w="1022"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1.68</w:t>
                  </w:r>
                </w:p>
              </w:tc>
              <w:tc>
                <w:tcPr>
                  <w:tcW w:w="1100"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kern w:val="2"/>
                      <w:sz w:val="20"/>
                      <w:szCs w:val="20"/>
                      <w:highlight w:val="none"/>
                      <w:lang w:val="en-US" w:eastAsia="zh-CN" w:bidi="ar-SA"/>
                    </w:rPr>
                  </w:pPr>
                  <w:r>
                    <w:rPr>
                      <w:rFonts w:hint="eastAsia" w:cs="Times New Roman"/>
                      <w:color w:val="FF0000"/>
                      <w:kern w:val="2"/>
                      <w:sz w:val="20"/>
                      <w:szCs w:val="20"/>
                      <w:highlight w:val="none"/>
                      <w:lang w:val="en-US" w:eastAsia="zh-CN" w:bidi="ar-SA"/>
                    </w:rPr>
                    <w:t>0.2146</w:t>
                  </w:r>
                </w:p>
              </w:tc>
              <w:tc>
                <w:tcPr>
                  <w:tcW w:w="1025"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w:t>
                  </w:r>
                </w:p>
              </w:tc>
              <w:tc>
                <w:tcPr>
                  <w:tcW w:w="1049"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1.8946</w:t>
                  </w:r>
                </w:p>
              </w:tc>
              <w:tc>
                <w:tcPr>
                  <w:tcW w:w="1122"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 xml:space="preserve">19.655 </w:t>
                  </w:r>
                </w:p>
              </w:tc>
              <w:tc>
                <w:tcPr>
                  <w:tcW w:w="924"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400</w:t>
                  </w:r>
                </w:p>
              </w:tc>
              <w:tc>
                <w:tcPr>
                  <w:tcW w:w="66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5</w:t>
                  </w:r>
                </w:p>
              </w:tc>
              <w:tc>
                <w:tcPr>
                  <w:tcW w:w="1056"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NH</w:t>
                  </w:r>
                  <w:r>
                    <w:rPr>
                      <w:rFonts w:hint="eastAsia" w:ascii="Times New Roman" w:hAnsi="Times New Roman" w:eastAsia="宋体" w:cs="Times New Roman"/>
                      <w:color w:val="FF0000"/>
                      <w:sz w:val="20"/>
                      <w:szCs w:val="20"/>
                      <w:highlight w:val="none"/>
                      <w:vertAlign w:val="subscript"/>
                      <w:lang w:val="en-US" w:eastAsia="zh-CN"/>
                    </w:rPr>
                    <w:t>3</w:t>
                  </w:r>
                  <w:r>
                    <w:rPr>
                      <w:rFonts w:hint="eastAsia" w:ascii="Times New Roman" w:hAnsi="Times New Roman" w:eastAsia="宋体" w:cs="Times New Roman"/>
                      <w:color w:val="FF0000"/>
                      <w:sz w:val="20"/>
                      <w:szCs w:val="20"/>
                      <w:highlight w:val="none"/>
                      <w:lang w:val="en-US" w:eastAsia="zh-CN"/>
                    </w:rPr>
                    <w:t>-N</w:t>
                  </w:r>
                </w:p>
              </w:tc>
              <w:tc>
                <w:tcPr>
                  <w:tcW w:w="1022"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0.143</w:t>
                  </w:r>
                </w:p>
              </w:tc>
              <w:tc>
                <w:tcPr>
                  <w:tcW w:w="1100"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kern w:val="2"/>
                      <w:sz w:val="20"/>
                      <w:szCs w:val="20"/>
                      <w:highlight w:val="none"/>
                      <w:lang w:val="en-US" w:eastAsia="zh-CN" w:bidi="ar-SA"/>
                    </w:rPr>
                  </w:pPr>
                  <w:r>
                    <w:rPr>
                      <w:rFonts w:hint="eastAsia" w:cs="Times New Roman"/>
                      <w:color w:val="FF0000"/>
                      <w:kern w:val="2"/>
                      <w:sz w:val="20"/>
                      <w:szCs w:val="20"/>
                      <w:highlight w:val="none"/>
                      <w:lang w:val="en-US" w:eastAsia="zh-CN" w:bidi="ar-SA"/>
                    </w:rPr>
                    <w:t>0.0176</w:t>
                  </w:r>
                </w:p>
              </w:tc>
              <w:tc>
                <w:tcPr>
                  <w:tcW w:w="1025"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w:t>
                  </w:r>
                </w:p>
              </w:tc>
              <w:tc>
                <w:tcPr>
                  <w:tcW w:w="104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0.1606</w:t>
                  </w:r>
                </w:p>
              </w:tc>
              <w:tc>
                <w:tcPr>
                  <w:tcW w:w="1122"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 xml:space="preserve">1.666 </w:t>
                  </w:r>
                </w:p>
              </w:tc>
              <w:tc>
                <w:tcPr>
                  <w:tcW w:w="924"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45</w:t>
                  </w:r>
                </w:p>
              </w:tc>
              <w:tc>
                <w:tcPr>
                  <w:tcW w:w="66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6</w:t>
                  </w:r>
                </w:p>
              </w:tc>
              <w:tc>
                <w:tcPr>
                  <w:tcW w:w="1056"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TP</w:t>
                  </w:r>
                </w:p>
              </w:tc>
              <w:tc>
                <w:tcPr>
                  <w:tcW w:w="1022"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0.0088</w:t>
                  </w:r>
                </w:p>
              </w:tc>
              <w:tc>
                <w:tcPr>
                  <w:tcW w:w="1100"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0.0</w:t>
                  </w:r>
                  <w:r>
                    <w:rPr>
                      <w:rFonts w:hint="eastAsia" w:cs="Times New Roman"/>
                      <w:color w:val="FF0000"/>
                      <w:kern w:val="2"/>
                      <w:sz w:val="20"/>
                      <w:szCs w:val="20"/>
                      <w:highlight w:val="none"/>
                      <w:lang w:val="en-US" w:eastAsia="zh-CN" w:bidi="ar-SA"/>
                    </w:rPr>
                    <w:t>026</w:t>
                  </w:r>
                </w:p>
              </w:tc>
              <w:tc>
                <w:tcPr>
                  <w:tcW w:w="1025"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w:t>
                  </w:r>
                </w:p>
              </w:tc>
              <w:tc>
                <w:tcPr>
                  <w:tcW w:w="104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0.0114</w:t>
                  </w:r>
                </w:p>
              </w:tc>
              <w:tc>
                <w:tcPr>
                  <w:tcW w:w="1122"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 xml:space="preserve">0.118 </w:t>
                  </w:r>
                </w:p>
              </w:tc>
              <w:tc>
                <w:tcPr>
                  <w:tcW w:w="924"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8</w:t>
                  </w:r>
                </w:p>
              </w:tc>
              <w:tc>
                <w:tcPr>
                  <w:tcW w:w="66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7</w:t>
                  </w:r>
                </w:p>
              </w:tc>
              <w:tc>
                <w:tcPr>
                  <w:tcW w:w="1056"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TN</w:t>
                  </w:r>
                </w:p>
              </w:tc>
              <w:tc>
                <w:tcPr>
                  <w:tcW w:w="1022"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0.289</w:t>
                  </w:r>
                </w:p>
              </w:tc>
              <w:tc>
                <w:tcPr>
                  <w:tcW w:w="1100" w:type="dxa"/>
                  <w:shd w:val="clear" w:color="auto" w:fill="auto"/>
                  <w:noWrap w:val="0"/>
                  <w:vAlign w:val="center"/>
                </w:tcPr>
                <w:p>
                  <w:pPr>
                    <w:widowControl/>
                    <w:adjustRightInd w:val="0"/>
                    <w:snapToGrid w:val="0"/>
                    <w:ind w:left="-63" w:leftChars="-30" w:right="-63" w:rightChars="-30"/>
                    <w:jc w:val="center"/>
                    <w:textAlignment w:val="center"/>
                    <w:rPr>
                      <w:rFonts w:hint="default"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0.0</w:t>
                  </w:r>
                  <w:r>
                    <w:rPr>
                      <w:rFonts w:hint="eastAsia" w:cs="Times New Roman"/>
                      <w:color w:val="FF0000"/>
                      <w:kern w:val="2"/>
                      <w:sz w:val="20"/>
                      <w:szCs w:val="20"/>
                      <w:highlight w:val="none"/>
                      <w:lang w:val="en-US" w:eastAsia="zh-CN" w:bidi="ar-SA"/>
                    </w:rPr>
                    <w:t>269</w:t>
                  </w:r>
                </w:p>
              </w:tc>
              <w:tc>
                <w:tcPr>
                  <w:tcW w:w="1025"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w:t>
                  </w:r>
                </w:p>
              </w:tc>
              <w:tc>
                <w:tcPr>
                  <w:tcW w:w="104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0.3159</w:t>
                  </w:r>
                </w:p>
              </w:tc>
              <w:tc>
                <w:tcPr>
                  <w:tcW w:w="1122"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 xml:space="preserve">3.277 </w:t>
                  </w:r>
                </w:p>
              </w:tc>
              <w:tc>
                <w:tcPr>
                  <w:tcW w:w="924"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70</w:t>
                  </w:r>
                </w:p>
              </w:tc>
              <w:tc>
                <w:tcPr>
                  <w:tcW w:w="66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27" w:type="dxa"/>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8</w:t>
                  </w:r>
                </w:p>
              </w:tc>
              <w:tc>
                <w:tcPr>
                  <w:tcW w:w="1056"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动植物油</w:t>
                  </w:r>
                </w:p>
              </w:tc>
              <w:tc>
                <w:tcPr>
                  <w:tcW w:w="1022" w:type="dxa"/>
                  <w:shd w:val="clear" w:color="auto" w:fill="auto"/>
                  <w:noWrap w:val="0"/>
                  <w:vAlign w:val="center"/>
                </w:tcPr>
                <w:p>
                  <w:pPr>
                    <w:adjustRightInd w:val="0"/>
                    <w:snapToGrid w:val="0"/>
                    <w:jc w:val="center"/>
                    <w:rPr>
                      <w:rFonts w:hint="default" w:ascii="Times New Roman" w:hAnsi="Times New Roman" w:eastAsia="宋体" w:cs="Times New Roman"/>
                      <w:color w:val="FF0000"/>
                      <w:kern w:val="2"/>
                      <w:sz w:val="20"/>
                      <w:szCs w:val="20"/>
                      <w:highlight w:val="none"/>
                      <w:lang w:val="en-US" w:eastAsia="zh-CN" w:bidi="ar-SA"/>
                    </w:rPr>
                  </w:pPr>
                  <w:r>
                    <w:rPr>
                      <w:rFonts w:hint="eastAsia" w:cs="Times New Roman"/>
                      <w:color w:val="FF0000"/>
                      <w:spacing w:val="-1"/>
                      <w:sz w:val="21"/>
                      <w:szCs w:val="21"/>
                      <w:highlight w:val="none"/>
                      <w:lang w:val="en-US" w:eastAsia="zh-CN"/>
                    </w:rPr>
                    <w:t>/</w:t>
                  </w:r>
                </w:p>
              </w:tc>
              <w:tc>
                <w:tcPr>
                  <w:tcW w:w="1100"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w:t>
                  </w:r>
                </w:p>
              </w:tc>
              <w:tc>
                <w:tcPr>
                  <w:tcW w:w="1025"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w:t>
                  </w:r>
                </w:p>
              </w:tc>
              <w:tc>
                <w:tcPr>
                  <w:tcW w:w="104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sz w:val="20"/>
                      <w:szCs w:val="20"/>
                      <w:highlight w:val="none"/>
                      <w:lang w:val="en-US" w:eastAsia="zh-CN"/>
                    </w:rPr>
                  </w:pPr>
                  <w:r>
                    <w:rPr>
                      <w:rFonts w:hint="eastAsia" w:ascii="Times New Roman" w:hAnsi="Times New Roman" w:eastAsia="宋体" w:cs="Times New Roman"/>
                      <w:color w:val="FF0000"/>
                      <w:sz w:val="20"/>
                      <w:szCs w:val="20"/>
                      <w:highlight w:val="none"/>
                      <w:lang w:val="en-US" w:eastAsia="zh-CN"/>
                    </w:rPr>
                    <w:t>/</w:t>
                  </w:r>
                </w:p>
              </w:tc>
              <w:tc>
                <w:tcPr>
                  <w:tcW w:w="1122"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kern w:val="2"/>
                      <w:sz w:val="20"/>
                      <w:szCs w:val="20"/>
                      <w:highlight w:val="none"/>
                      <w:lang w:val="en-US" w:eastAsia="zh-CN" w:bidi="ar-SA"/>
                    </w:rPr>
                    <w:t>/</w:t>
                  </w:r>
                </w:p>
              </w:tc>
              <w:tc>
                <w:tcPr>
                  <w:tcW w:w="924"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100</w:t>
                  </w:r>
                </w:p>
              </w:tc>
              <w:tc>
                <w:tcPr>
                  <w:tcW w:w="669" w:type="dxa"/>
                  <w:shd w:val="clear" w:color="auto" w:fill="auto"/>
                  <w:noWrap w:val="0"/>
                  <w:vAlign w:val="center"/>
                </w:tcPr>
                <w:p>
                  <w:pPr>
                    <w:widowControl/>
                    <w:adjustRightInd w:val="0"/>
                    <w:snapToGrid w:val="0"/>
                    <w:ind w:left="-63" w:leftChars="-30" w:right="-63" w:rightChars="-30"/>
                    <w:jc w:val="center"/>
                    <w:textAlignment w:val="center"/>
                    <w:rPr>
                      <w:rFonts w:hint="eastAsia" w:ascii="Times New Roman" w:hAnsi="Times New Roman" w:eastAsia="宋体" w:cs="Times New Roman"/>
                      <w:color w:val="FF0000"/>
                      <w:kern w:val="2"/>
                      <w:sz w:val="20"/>
                      <w:szCs w:val="20"/>
                      <w:highlight w:val="none"/>
                      <w:lang w:val="en-US" w:eastAsia="zh-CN" w:bidi="ar-SA"/>
                    </w:rPr>
                  </w:pPr>
                  <w:r>
                    <w:rPr>
                      <w:rFonts w:hint="eastAsia" w:ascii="Times New Roman" w:hAnsi="Times New Roman" w:eastAsia="宋体" w:cs="Times New Roman"/>
                      <w:color w:val="FF0000"/>
                      <w:sz w:val="20"/>
                      <w:szCs w:val="20"/>
                      <w:highlight w:val="none"/>
                      <w:lang w:val="en-US" w:eastAsia="zh-CN"/>
                    </w:rPr>
                    <w:t>达标</w:t>
                  </w:r>
                </w:p>
              </w:tc>
            </w:tr>
          </w:tbl>
          <w:p>
            <w:pPr>
              <w:keepNext w:val="0"/>
              <w:keepLines w:val="0"/>
              <w:pageBreakBefore w:val="0"/>
              <w:widowControl w:val="0"/>
              <w:kinsoku/>
              <w:wordWrap/>
              <w:overflowPunct/>
              <w:topLinePunct w:val="0"/>
              <w:bidi w:val="0"/>
              <w:adjustRightInd w:val="0"/>
              <w:snapToGrid w:val="0"/>
              <w:spacing w:line="360" w:lineRule="auto"/>
              <w:ind w:firstLine="420"/>
              <w:textAlignment w:val="auto"/>
              <w:rPr>
                <w:color w:val="FF0000"/>
              </w:rPr>
            </w:pPr>
            <w:r>
              <w:rPr>
                <w:rFonts w:hint="eastAsia" w:ascii="Times New Roman" w:hAnsi="Times New Roman" w:eastAsia="宋体" w:cs="Times New Roman"/>
                <w:color w:val="FF0000"/>
                <w:kern w:val="0"/>
                <w:szCs w:val="21"/>
              </w:rPr>
              <w:t>综上，</w:t>
            </w:r>
            <w:r>
              <w:rPr>
                <w:rFonts w:hint="eastAsia" w:ascii="Times New Roman" w:hAnsi="Times New Roman" w:eastAsia="宋体" w:cs="Times New Roman"/>
                <w:color w:val="FF0000"/>
                <w:kern w:val="0"/>
                <w:szCs w:val="21"/>
                <w:lang w:val="en-US" w:eastAsia="zh-CN"/>
              </w:rPr>
              <w:t>本项目废水和华胜废水一并</w:t>
            </w:r>
            <w:r>
              <w:rPr>
                <w:rFonts w:hint="eastAsia" w:ascii="Times New Roman" w:hAnsi="Times New Roman" w:eastAsia="宋体" w:cs="Times New Roman"/>
                <w:color w:val="FF0000"/>
                <w:kern w:val="0"/>
                <w:szCs w:val="21"/>
              </w:rPr>
              <w:t>经</w:t>
            </w:r>
            <w:r>
              <w:rPr>
                <w:rFonts w:hint="eastAsia" w:ascii="Times New Roman" w:hAnsi="Times New Roman" w:eastAsia="宋体" w:cs="Times New Roman"/>
                <w:color w:val="FF0000"/>
                <w:kern w:val="0"/>
                <w:szCs w:val="21"/>
                <w:lang w:val="en-US" w:eastAsia="zh-CN"/>
              </w:rPr>
              <w:t>污水处理站</w:t>
            </w:r>
            <w:r>
              <w:rPr>
                <w:rFonts w:hint="eastAsia" w:ascii="Times New Roman" w:hAnsi="Times New Roman" w:eastAsia="宋体" w:cs="Times New Roman"/>
                <w:color w:val="FF0000"/>
                <w:kern w:val="0"/>
                <w:szCs w:val="21"/>
              </w:rPr>
              <w:t>处理后能达到《污水综合排放标准》（GB8978-1996）表4中三级标准及《污水排入城市下水道水质标准》（GB/T31962-2015）表1中B等级标准。</w:t>
            </w:r>
          </w:p>
          <w:p>
            <w:pPr>
              <w:keepNext w:val="0"/>
              <w:keepLines w:val="0"/>
              <w:pageBreakBefore w:val="0"/>
              <w:widowControl w:val="0"/>
              <w:kinsoku/>
              <w:wordWrap/>
              <w:overflowPunct/>
              <w:topLinePunct w:val="0"/>
              <w:bidi w:val="0"/>
              <w:adjustRightInd w:val="0"/>
              <w:snapToGrid w:val="0"/>
              <w:spacing w:line="360" w:lineRule="auto"/>
              <w:ind w:firstLine="420"/>
              <w:textAlignment w:val="auto"/>
              <w:rPr>
                <w:rFonts w:hint="eastAsia" w:eastAsia="宋体"/>
                <w:color w:val="FF0000"/>
                <w:kern w:val="0"/>
                <w:szCs w:val="21"/>
                <w:lang w:val="en-US" w:eastAsia="zh-CN"/>
              </w:rPr>
            </w:pPr>
            <w:r>
              <w:rPr>
                <w:color w:val="FF0000"/>
              </w:rPr>
              <w:t>本项目全厂废水主要污染物为COD、SS、TP、氨氮、TN，水质简单，不涉及特征污染物，不会影响城</w:t>
            </w:r>
            <w:r>
              <w:rPr>
                <w:rFonts w:hint="eastAsia"/>
                <w:color w:val="FF0000"/>
                <w:kern w:val="0"/>
                <w:szCs w:val="21"/>
                <w:lang w:val="en-US" w:eastAsia="zh-CN"/>
              </w:rPr>
              <w:t>华胜现有废水</w:t>
            </w:r>
            <w:r>
              <w:rPr>
                <w:color w:val="FF0000"/>
              </w:rPr>
              <w:t>的稳定运行和达标排排放</w:t>
            </w:r>
            <w:r>
              <w:rPr>
                <w:rFonts w:hint="eastAsia"/>
                <w:color w:val="FF0000"/>
                <w:lang w:eastAsia="zh-CN"/>
              </w:rPr>
              <w:t>。</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b/>
                <w:bCs/>
                <w:color w:val="auto"/>
                <w:kern w:val="0"/>
                <w:szCs w:val="21"/>
              </w:rPr>
            </w:pPr>
            <w:r>
              <w:rPr>
                <w:b/>
                <w:bCs/>
                <w:color w:val="auto"/>
                <w:kern w:val="0"/>
                <w:szCs w:val="21"/>
                <w:highlight w:val="none"/>
              </w:rPr>
              <w:t>（</w:t>
            </w:r>
            <w:r>
              <w:rPr>
                <w:rFonts w:hint="eastAsia"/>
                <w:b/>
                <w:bCs/>
                <w:color w:val="auto"/>
                <w:kern w:val="0"/>
                <w:szCs w:val="21"/>
                <w:highlight w:val="none"/>
                <w:lang w:val="en-US" w:eastAsia="zh-CN"/>
              </w:rPr>
              <w:t>4</w:t>
            </w:r>
            <w:r>
              <w:rPr>
                <w:b/>
                <w:bCs/>
                <w:color w:val="auto"/>
                <w:kern w:val="0"/>
                <w:szCs w:val="21"/>
                <w:highlight w:val="none"/>
              </w:rPr>
              <w:t>）</w:t>
            </w:r>
            <w:r>
              <w:rPr>
                <w:b/>
                <w:bCs/>
                <w:color w:val="auto"/>
                <w:kern w:val="0"/>
                <w:szCs w:val="21"/>
              </w:rPr>
              <w:t>接管可行性分析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Cs w:val="21"/>
              </w:rPr>
            </w:pPr>
            <w:r>
              <w:rPr>
                <w:rFonts w:hint="eastAsia"/>
                <w:color w:val="auto"/>
                <w:kern w:val="0"/>
                <w:szCs w:val="21"/>
              </w:rPr>
              <w:t>①</w:t>
            </w:r>
            <w:r>
              <w:rPr>
                <w:color w:val="auto"/>
                <w:kern w:val="0"/>
                <w:szCs w:val="21"/>
              </w:rPr>
              <w:t>污水处理厂简介</w:t>
            </w:r>
          </w:p>
          <w:p>
            <w:pPr>
              <w:keepNext w:val="0"/>
              <w:keepLines w:val="0"/>
              <w:pageBreakBefore w:val="0"/>
              <w:widowControl w:val="0"/>
              <w:kinsoku/>
              <w:wordWrap/>
              <w:overflowPunct/>
              <w:topLinePunct w:val="0"/>
              <w:bidi w:val="0"/>
              <w:adjustRightInd w:val="0"/>
              <w:snapToGrid w:val="0"/>
              <w:spacing w:line="360" w:lineRule="auto"/>
              <w:ind w:firstLine="420"/>
              <w:textAlignment w:val="auto"/>
              <w:rPr>
                <w:color w:val="000000"/>
              </w:rPr>
            </w:pPr>
            <w:r>
              <w:rPr>
                <w:color w:val="FF0000"/>
                <w:kern w:val="0"/>
                <w:szCs w:val="21"/>
              </w:rPr>
              <w:t>九华镇污水处理厂</w:t>
            </w:r>
            <w:r>
              <w:rPr>
                <w:rFonts w:hint="eastAsia"/>
                <w:color w:val="FF0000"/>
                <w:lang w:val="en-US" w:eastAsia="zh-CN"/>
              </w:rPr>
              <w:t>属于工业污水处理厂，</w:t>
            </w:r>
            <w:r>
              <w:rPr>
                <w:color w:val="auto"/>
                <w:kern w:val="0"/>
                <w:szCs w:val="21"/>
              </w:rPr>
              <w:t>现有污水处理规模为0.3万m</w:t>
            </w:r>
            <w:r>
              <w:rPr>
                <w:color w:val="auto"/>
                <w:kern w:val="0"/>
                <w:szCs w:val="21"/>
                <w:vertAlign w:val="superscript"/>
              </w:rPr>
              <w:t>3</w:t>
            </w:r>
            <w:r>
              <w:rPr>
                <w:color w:val="auto"/>
                <w:kern w:val="0"/>
                <w:szCs w:val="21"/>
              </w:rPr>
              <w:t>/d，采用“调节池+混凝沉淀池+厌氧池+缺氧池+好氧池+二沉池+高密度沉淀滤布滤池+紫外消毒渠”，污水管网已覆盖北至 204 国道（规划改线），西至洋港河，南至沪陕高速，东至老 204国道，主要处理区内居民生活污水和企业生产废水；目前污水处理厂污水处理量为0.3万 t/d。出水标准：满足尾水水质达到《</w:t>
            </w:r>
            <w:r>
              <w:rPr>
                <w:color w:val="000000"/>
              </w:rPr>
              <w:t>城镇污水处理厂污染物排放标准》</w:t>
            </w:r>
            <w:r>
              <w:rPr>
                <w:rFonts w:hint="eastAsia" w:eastAsia="宋体"/>
                <w:lang w:val="en-US" w:eastAsia="zh-CN"/>
              </w:rPr>
              <w:t>（DB32/4440-2022）</w:t>
            </w:r>
            <w:r>
              <w:rPr>
                <w:rFonts w:hint="eastAsia"/>
                <w:lang w:val="en-US" w:eastAsia="zh-CN"/>
              </w:rPr>
              <w:t>表1中C</w:t>
            </w:r>
            <w:r>
              <w:t>标准</w:t>
            </w:r>
            <w:r>
              <w:rPr>
                <w:color w:val="000000"/>
              </w:rPr>
              <w:t>。</w:t>
            </w:r>
          </w:p>
          <w:p>
            <w:pPr>
              <w:keepNext w:val="0"/>
              <w:keepLines w:val="0"/>
              <w:pageBreakBefore w:val="0"/>
              <w:widowControl w:val="0"/>
              <w:kinsoku/>
              <w:wordWrap/>
              <w:overflowPunct/>
              <w:topLinePunct w:val="0"/>
              <w:bidi w:val="0"/>
              <w:adjustRightInd w:val="0"/>
              <w:snapToGrid w:val="0"/>
              <w:spacing w:line="360" w:lineRule="auto"/>
              <w:ind w:firstLine="420"/>
              <w:textAlignment w:val="auto"/>
              <w:rPr>
                <w:color w:val="000000"/>
              </w:rPr>
            </w:pPr>
            <w:r>
              <w:rPr>
                <w:rFonts w:hint="eastAsia"/>
                <w:color w:val="000000"/>
              </w:rPr>
              <w:t>②</w:t>
            </w:r>
            <w:r>
              <w:rPr>
                <w:color w:val="000000"/>
              </w:rPr>
              <w:t>水量接管可行性：如皋市九华镇污水处理厂接管废水总量3000t/d，目前已建成投产，已接废水量2400t/d，剩余处理废水量600t/d。根据工程分析，</w:t>
            </w:r>
            <w:r>
              <w:rPr>
                <w:rFonts w:hint="eastAsia"/>
                <w:color w:val="000000"/>
                <w:lang w:val="en-US" w:eastAsia="zh-CN"/>
              </w:rPr>
              <w:t>本</w:t>
            </w:r>
            <w:r>
              <w:rPr>
                <w:color w:val="000000"/>
              </w:rPr>
              <w:t>项目建成后产生的日污水量约为</w:t>
            </w:r>
            <w:r>
              <w:rPr>
                <w:rFonts w:hint="eastAsia"/>
                <w:color w:val="000000"/>
                <w:lang w:val="en-US" w:eastAsia="zh-CN"/>
              </w:rPr>
              <w:t>9.6</w:t>
            </w:r>
            <w:r>
              <w:rPr>
                <w:color w:val="000000"/>
              </w:rPr>
              <w:t>m</w:t>
            </w:r>
            <w:r>
              <w:rPr>
                <w:color w:val="000000"/>
                <w:vertAlign w:val="superscript"/>
              </w:rPr>
              <w:t>3</w:t>
            </w:r>
            <w:r>
              <w:rPr>
                <w:color w:val="000000"/>
              </w:rPr>
              <w:t>/d，占剩余日处理能力的</w:t>
            </w:r>
            <w:r>
              <w:rPr>
                <w:rFonts w:hint="eastAsia"/>
                <w:color w:val="000000"/>
                <w:lang w:val="en-US" w:eastAsia="zh-CN"/>
              </w:rPr>
              <w:t>1.6</w:t>
            </w:r>
            <w:r>
              <w:rPr>
                <w:color w:val="000000"/>
              </w:rPr>
              <w:t>%。因此从水量上来讲，本项目接管进入如皋市九华镇污水处理厂处理是可行的。</w:t>
            </w:r>
          </w:p>
          <w:p>
            <w:pPr>
              <w:adjustRightInd w:val="0"/>
              <w:snapToGrid w:val="0"/>
              <w:spacing w:line="360" w:lineRule="auto"/>
              <w:ind w:firstLine="420"/>
              <w:rPr>
                <w:color w:val="000000"/>
              </w:rPr>
            </w:pPr>
            <w:r>
              <w:rPr>
                <w:rFonts w:hint="eastAsia"/>
                <w:color w:val="000000"/>
                <w:lang w:val="en-US" w:eastAsia="zh-CN"/>
              </w:rPr>
              <w:t>③</w:t>
            </w:r>
            <w:r>
              <w:rPr>
                <w:color w:val="000000"/>
              </w:rPr>
              <w:t>水质接管可行性：</w:t>
            </w:r>
            <w:r>
              <w:t>本项目全厂废水主要污染物为COD、SS、TP、氨氮、TN，废水量为</w:t>
            </w:r>
            <w:r>
              <w:rPr>
                <w:rFonts w:hint="eastAsia"/>
                <w:bCs/>
                <w:szCs w:val="21"/>
                <w:lang w:val="en-US" w:eastAsia="zh-CN"/>
              </w:rPr>
              <w:t>6376</w:t>
            </w:r>
            <w:r>
              <w:t>t/a，水质简单，纳管后不会影响城镇污水处理厂的稳定运行和达标排排放，对九华镇污水处理厂的冲击负荷影响较小，</w:t>
            </w:r>
            <w:r>
              <w:rPr>
                <w:rFonts w:hint="eastAsia"/>
                <w:lang w:val="en-US" w:eastAsia="zh-CN"/>
              </w:rPr>
              <w:t>根据表1-8相符性分析可知，</w:t>
            </w:r>
            <w:r>
              <w:t>符合省生态环境厅省住房城乡建设厅关于印发《江苏省工业废水与生活污水分质处理工作推进方案》的通知（苏环办〔2023〕144号）文件要求，排放浓度符合《污水综合排放标准》（GB8978-1996）表4中三级标准、《污水排入城镇下水道水质标准》（GB/T31962-2015）标准表1</w:t>
            </w:r>
            <w:r>
              <w:rPr>
                <w:rFonts w:hint="eastAsia"/>
                <w:lang w:val="en-US" w:eastAsia="zh-CN"/>
              </w:rPr>
              <w:t xml:space="preserve"> </w:t>
            </w:r>
            <w:r>
              <w:t>B标准，经九华镇污水处理厂处理后，尾水排放浓度符合《城镇污水处理厂污染物排放标准》</w:t>
            </w:r>
            <w:r>
              <w:rPr>
                <w:rFonts w:hint="eastAsia" w:eastAsia="宋体"/>
                <w:lang w:val="en-US" w:eastAsia="zh-CN"/>
              </w:rPr>
              <w:t>（DB32/4440-2022）</w:t>
            </w:r>
            <w:r>
              <w:rPr>
                <w:rFonts w:hint="eastAsia"/>
                <w:lang w:val="en-US" w:eastAsia="zh-CN"/>
              </w:rPr>
              <w:t>表1中C</w:t>
            </w:r>
            <w:r>
              <w:t>标准，不会明显增加受纳水体的污染负荷。</w:t>
            </w:r>
            <w:r>
              <w:rPr>
                <w:color w:val="000000"/>
              </w:rPr>
              <w:t>因此，从水质上来讲，本公司生活污水接管至九华镇污水处理厂是可行的。</w:t>
            </w:r>
          </w:p>
          <w:p>
            <w:pPr>
              <w:adjustRightInd w:val="0"/>
              <w:snapToGrid w:val="0"/>
              <w:spacing w:line="360" w:lineRule="auto"/>
              <w:ind w:firstLine="420"/>
              <w:rPr>
                <w:color w:val="000000"/>
              </w:rPr>
            </w:pPr>
            <w:r>
              <w:rPr>
                <w:rFonts w:hint="eastAsia"/>
                <w:color w:val="000000"/>
                <w:lang w:val="en-US" w:eastAsia="zh-CN"/>
              </w:rPr>
              <w:t>④</w:t>
            </w:r>
            <w:r>
              <w:rPr>
                <w:color w:val="000000"/>
              </w:rPr>
              <w:t>管网可行性：本项目位于如皋市九华镇</w:t>
            </w:r>
            <w:r>
              <w:rPr>
                <w:color w:val="000000"/>
                <w:lang w:val="en-US" w:eastAsia="zh-CN"/>
              </w:rPr>
              <w:t>马桥村</w:t>
            </w:r>
            <w:r>
              <w:rPr>
                <w:rFonts w:hint="eastAsia"/>
                <w:color w:val="000000"/>
                <w:lang w:val="en-US" w:eastAsia="zh-CN"/>
              </w:rPr>
              <w:t>18组</w:t>
            </w:r>
            <w:r>
              <w:rPr>
                <w:color w:val="000000"/>
              </w:rPr>
              <w:t>，处于污水管网覆盖范围内，项目废水可接管至该区污水管网。</w:t>
            </w:r>
          </w:p>
          <w:p>
            <w:pPr>
              <w:keepNext w:val="0"/>
              <w:keepLines w:val="0"/>
              <w:pageBreakBefore w:val="0"/>
              <w:widowControl w:val="0"/>
              <w:kinsoku/>
              <w:wordWrap/>
              <w:overflowPunct/>
              <w:topLinePunct w:val="0"/>
              <w:bidi w:val="0"/>
              <w:adjustRightInd w:val="0"/>
              <w:snapToGrid w:val="0"/>
              <w:spacing w:line="360" w:lineRule="auto"/>
              <w:ind w:firstLine="420"/>
              <w:textAlignment w:val="auto"/>
              <w:rPr>
                <w:color w:val="000000"/>
              </w:rPr>
            </w:pPr>
            <w:r>
              <w:rPr>
                <w:color w:val="000000"/>
              </w:rPr>
              <w:t>综上所述，九华镇污水处理厂接纳本项目废水是完全可行的，处理后可达标排放，对最终纳污河道东方红河的影响较小。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b/>
                <w:bCs/>
                <w:color w:val="auto"/>
                <w:kern w:val="0"/>
                <w:szCs w:val="21"/>
              </w:rPr>
            </w:pPr>
            <w:r>
              <w:rPr>
                <w:b/>
                <w:bCs/>
                <w:color w:val="auto"/>
                <w:kern w:val="0"/>
                <w:szCs w:val="21"/>
              </w:rPr>
              <w:t>（</w:t>
            </w:r>
            <w:r>
              <w:rPr>
                <w:rFonts w:hint="eastAsia"/>
                <w:b/>
                <w:bCs/>
                <w:color w:val="auto"/>
                <w:kern w:val="0"/>
                <w:szCs w:val="21"/>
                <w:lang w:val="en-US" w:eastAsia="zh-CN"/>
              </w:rPr>
              <w:t>5</w:t>
            </w:r>
            <w:r>
              <w:rPr>
                <w:b/>
                <w:bCs/>
                <w:color w:val="auto"/>
                <w:kern w:val="0"/>
                <w:szCs w:val="21"/>
              </w:rPr>
              <w:t>）水污染源监测计划</w:t>
            </w:r>
          </w:p>
          <w:p>
            <w:pPr>
              <w:keepNext w:val="0"/>
              <w:keepLines w:val="0"/>
              <w:pageBreakBefore w:val="0"/>
              <w:widowControl w:val="0"/>
              <w:kinsoku/>
              <w:wordWrap/>
              <w:overflowPunct/>
              <w:topLinePunct w:val="0"/>
              <w:autoSpaceDE w:val="0"/>
              <w:autoSpaceDN w:val="0"/>
              <w:bidi w:val="0"/>
              <w:adjustRightInd w:val="0"/>
              <w:spacing w:line="360" w:lineRule="auto"/>
              <w:ind w:firstLine="420" w:firstLineChars="200"/>
              <w:jc w:val="left"/>
              <w:textAlignment w:val="auto"/>
              <w:rPr>
                <w:color w:val="FF0000"/>
              </w:rPr>
            </w:pPr>
            <w:r>
              <w:rPr>
                <w:color w:val="FF0000"/>
              </w:rPr>
              <w:t>按</w:t>
            </w:r>
            <w:r>
              <w:rPr>
                <w:rFonts w:hint="eastAsia"/>
                <w:color w:val="FF0000"/>
              </w:rPr>
              <w:t>照《排污单位自行监测技术指南 总则》（HJ819-2017）、</w:t>
            </w:r>
            <w:r>
              <w:rPr>
                <w:color w:val="FF0000"/>
                <w:szCs w:val="21"/>
              </w:rPr>
              <w:t>《</w:t>
            </w:r>
            <w:r>
              <w:rPr>
                <w:rFonts w:hint="eastAsia"/>
                <w:color w:val="FF0000"/>
                <w:szCs w:val="21"/>
              </w:rPr>
              <w:t xml:space="preserve">排污单位自行监测技术指南 </w:t>
            </w:r>
            <w:r>
              <w:rPr>
                <w:rFonts w:hint="eastAsia"/>
                <w:color w:val="FF0000"/>
                <w:szCs w:val="21"/>
                <w:lang w:val="en-US" w:eastAsia="zh-CN"/>
              </w:rPr>
              <w:t>纺织印染</w:t>
            </w:r>
            <w:r>
              <w:rPr>
                <w:rFonts w:hint="eastAsia"/>
                <w:color w:val="FF0000"/>
                <w:szCs w:val="21"/>
              </w:rPr>
              <w:t>工业</w:t>
            </w:r>
            <w:r>
              <w:rPr>
                <w:color w:val="FF0000"/>
                <w:szCs w:val="21"/>
              </w:rPr>
              <w:t>》（HJ</w:t>
            </w:r>
            <w:r>
              <w:rPr>
                <w:rFonts w:hint="eastAsia"/>
                <w:color w:val="FF0000"/>
                <w:szCs w:val="21"/>
                <w:lang w:val="en-US" w:eastAsia="zh-CN"/>
              </w:rPr>
              <w:t>879</w:t>
            </w:r>
            <w:r>
              <w:rPr>
                <w:rFonts w:hint="eastAsia"/>
                <w:color w:val="FF0000"/>
                <w:szCs w:val="21"/>
              </w:rPr>
              <w:t>-20</w:t>
            </w:r>
            <w:r>
              <w:rPr>
                <w:rFonts w:hint="eastAsia"/>
                <w:color w:val="FF0000"/>
                <w:szCs w:val="21"/>
                <w:lang w:val="en-US" w:eastAsia="zh-CN"/>
              </w:rPr>
              <w:t>17</w:t>
            </w:r>
            <w:r>
              <w:rPr>
                <w:color w:val="FF0000"/>
                <w:szCs w:val="21"/>
              </w:rPr>
              <w:t>）</w:t>
            </w:r>
            <w:r>
              <w:rPr>
                <w:rFonts w:hint="eastAsia"/>
                <w:color w:val="FF0000"/>
                <w:szCs w:val="21"/>
                <w:lang w:val="en-US" w:eastAsia="zh-CN"/>
              </w:rPr>
              <w:t>和</w:t>
            </w:r>
            <w:r>
              <w:rPr>
                <w:color w:val="FF0000"/>
                <w:szCs w:val="21"/>
              </w:rPr>
              <w:t>《</w:t>
            </w:r>
            <w:r>
              <w:rPr>
                <w:rFonts w:hint="eastAsia"/>
                <w:color w:val="FF0000"/>
                <w:szCs w:val="21"/>
              </w:rPr>
              <w:t>排污单位自行监测技术指南</w:t>
            </w:r>
            <w:r>
              <w:rPr>
                <w:rFonts w:hint="eastAsia"/>
                <w:color w:val="FF0000"/>
                <w:szCs w:val="21"/>
                <w:lang w:val="en-US" w:eastAsia="zh-CN"/>
              </w:rPr>
              <w:t>火力发电及锅炉</w:t>
            </w:r>
            <w:r>
              <w:rPr>
                <w:color w:val="FF0000"/>
                <w:szCs w:val="21"/>
              </w:rPr>
              <w:t>》（HJ</w:t>
            </w:r>
            <w:r>
              <w:rPr>
                <w:rFonts w:hint="eastAsia"/>
                <w:color w:val="FF0000"/>
                <w:szCs w:val="21"/>
                <w:lang w:val="en-US" w:eastAsia="zh-CN"/>
              </w:rPr>
              <w:t>8720</w:t>
            </w:r>
            <w:r>
              <w:rPr>
                <w:rFonts w:hint="eastAsia"/>
                <w:color w:val="FF0000"/>
                <w:szCs w:val="21"/>
              </w:rPr>
              <w:t>-20</w:t>
            </w:r>
            <w:r>
              <w:rPr>
                <w:rFonts w:hint="eastAsia"/>
                <w:color w:val="FF0000"/>
                <w:szCs w:val="21"/>
                <w:lang w:val="en-US" w:eastAsia="zh-CN"/>
              </w:rPr>
              <w:t>17</w:t>
            </w:r>
            <w:r>
              <w:rPr>
                <w:color w:val="FF0000"/>
                <w:szCs w:val="21"/>
              </w:rPr>
              <w:t>）</w:t>
            </w:r>
            <w:r>
              <w:rPr>
                <w:rFonts w:hint="eastAsia"/>
                <w:color w:val="FF0000"/>
              </w:rPr>
              <w:t>、《建设项目竣工环境保护验收技术指南 污染影响类》</w:t>
            </w:r>
            <w:r>
              <w:rPr>
                <w:color w:val="FF0000"/>
              </w:rPr>
              <w:t>等规定的监测分析方法，对厂区排污口的主要水污染物进行监测</w:t>
            </w:r>
            <w:r>
              <w:rPr>
                <w:rFonts w:hint="eastAsia"/>
                <w:color w:val="FF0000"/>
              </w:rPr>
              <w:t>，具体</w:t>
            </w:r>
            <w:r>
              <w:rPr>
                <w:color w:val="FF0000"/>
              </w:rPr>
              <w:t>监测项目及监测频次见表</w:t>
            </w:r>
            <w:r>
              <w:rPr>
                <w:rFonts w:hint="eastAsia"/>
                <w:color w:val="FF0000"/>
              </w:rPr>
              <w:t>4-</w:t>
            </w:r>
            <w:r>
              <w:rPr>
                <w:rFonts w:hint="eastAsia"/>
                <w:color w:val="FF0000"/>
                <w:lang w:val="en-US" w:eastAsia="zh-CN"/>
              </w:rPr>
              <w:t>22</w:t>
            </w:r>
            <w:r>
              <w:rPr>
                <w:color w:val="FF0000"/>
              </w:rPr>
              <w:t>。</w:t>
            </w:r>
          </w:p>
          <w:p>
            <w:pPr>
              <w:autoSpaceDE w:val="0"/>
              <w:autoSpaceDN w:val="0"/>
              <w:adjustRightInd w:val="0"/>
              <w:jc w:val="center"/>
              <w:rPr>
                <w:b/>
                <w:bCs/>
                <w:color w:val="FF0000"/>
              </w:rPr>
            </w:pPr>
            <w:r>
              <w:rPr>
                <w:b/>
                <w:bCs/>
                <w:color w:val="FF0000"/>
              </w:rPr>
              <w:t>表</w:t>
            </w:r>
            <w:r>
              <w:rPr>
                <w:rFonts w:hint="eastAsia"/>
                <w:b/>
                <w:bCs/>
                <w:color w:val="FF0000"/>
              </w:rPr>
              <w:t>4-</w:t>
            </w:r>
            <w:r>
              <w:rPr>
                <w:rFonts w:hint="eastAsia"/>
                <w:b/>
                <w:bCs/>
                <w:color w:val="FF0000"/>
                <w:lang w:val="en-US" w:eastAsia="zh-CN"/>
              </w:rPr>
              <w:t xml:space="preserve">22 </w:t>
            </w:r>
            <w:r>
              <w:rPr>
                <w:rFonts w:hint="eastAsia"/>
                <w:b/>
                <w:bCs/>
                <w:color w:val="FF0000"/>
              </w:rPr>
              <w:t xml:space="preserve"> </w:t>
            </w:r>
            <w:r>
              <w:rPr>
                <w:b/>
                <w:bCs/>
                <w:color w:val="FF0000"/>
              </w:rPr>
              <w:t>废水监测项目及监测频次</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213"/>
              <w:gridCol w:w="4619"/>
              <w:gridCol w:w="16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5" w:type="pct"/>
                  <w:noWrap w:val="0"/>
                  <w:vAlign w:val="center"/>
                </w:tcPr>
                <w:p>
                  <w:pPr>
                    <w:jc w:val="center"/>
                    <w:rPr>
                      <w:rFonts w:hint="eastAsia"/>
                      <w:b/>
                      <w:color w:val="FF0000"/>
                      <w:sz w:val="20"/>
                      <w:szCs w:val="20"/>
                    </w:rPr>
                  </w:pPr>
                  <w:r>
                    <w:rPr>
                      <w:rFonts w:hint="eastAsia"/>
                      <w:b/>
                      <w:color w:val="FF0000"/>
                      <w:sz w:val="20"/>
                      <w:szCs w:val="20"/>
                    </w:rPr>
                    <w:t>监测点位</w:t>
                  </w:r>
                </w:p>
              </w:tc>
              <w:tc>
                <w:tcPr>
                  <w:tcW w:w="2723" w:type="pct"/>
                  <w:noWrap w:val="0"/>
                  <w:vAlign w:val="center"/>
                </w:tcPr>
                <w:p>
                  <w:pPr>
                    <w:jc w:val="center"/>
                    <w:rPr>
                      <w:rFonts w:hint="eastAsia"/>
                      <w:b/>
                      <w:color w:val="FF0000"/>
                      <w:sz w:val="20"/>
                      <w:szCs w:val="20"/>
                    </w:rPr>
                  </w:pPr>
                  <w:r>
                    <w:rPr>
                      <w:rFonts w:hint="eastAsia"/>
                      <w:b/>
                      <w:color w:val="FF0000"/>
                      <w:sz w:val="20"/>
                      <w:szCs w:val="20"/>
                    </w:rPr>
                    <w:t>监测项目</w:t>
                  </w:r>
                </w:p>
              </w:tc>
              <w:tc>
                <w:tcPr>
                  <w:tcW w:w="972" w:type="pct"/>
                  <w:noWrap w:val="0"/>
                  <w:vAlign w:val="top"/>
                </w:tcPr>
                <w:p>
                  <w:pPr>
                    <w:jc w:val="center"/>
                    <w:rPr>
                      <w:rFonts w:hint="eastAsia"/>
                      <w:b/>
                      <w:color w:val="FF0000"/>
                      <w:sz w:val="20"/>
                      <w:szCs w:val="20"/>
                    </w:rPr>
                  </w:pPr>
                  <w:r>
                    <w:rPr>
                      <w:rFonts w:hint="eastAsia"/>
                      <w:b/>
                      <w:color w:val="FF0000"/>
                      <w:sz w:val="20"/>
                      <w:szCs w:val="20"/>
                    </w:rPr>
                    <w:t>自行监测频次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6" w:hRule="atLeast"/>
                <w:jc w:val="center"/>
              </w:trPr>
              <w:tc>
                <w:tcPr>
                  <w:tcW w:w="1305" w:type="pct"/>
                  <w:noWrap w:val="0"/>
                  <w:vAlign w:val="center"/>
                </w:tcPr>
                <w:p>
                  <w:pPr>
                    <w:jc w:val="center"/>
                    <w:rPr>
                      <w:rFonts w:hint="eastAsia"/>
                      <w:bCs/>
                      <w:color w:val="FF0000"/>
                      <w:sz w:val="20"/>
                      <w:szCs w:val="20"/>
                    </w:rPr>
                  </w:pPr>
                  <w:r>
                    <w:rPr>
                      <w:rFonts w:hint="eastAsia"/>
                      <w:bCs/>
                      <w:color w:val="FF0000"/>
                      <w:sz w:val="20"/>
                      <w:szCs w:val="20"/>
                    </w:rPr>
                    <w:t>雨水排放口</w:t>
                  </w:r>
                </w:p>
              </w:tc>
              <w:tc>
                <w:tcPr>
                  <w:tcW w:w="2723" w:type="pct"/>
                  <w:noWrap w:val="0"/>
                  <w:vAlign w:val="center"/>
                </w:tcPr>
                <w:p>
                  <w:pPr>
                    <w:jc w:val="center"/>
                    <w:rPr>
                      <w:rFonts w:hint="eastAsia"/>
                      <w:bCs/>
                      <w:color w:val="FF0000"/>
                      <w:sz w:val="20"/>
                      <w:szCs w:val="20"/>
                    </w:rPr>
                  </w:pPr>
                  <w:r>
                    <w:rPr>
                      <w:rFonts w:hint="eastAsia"/>
                      <w:bCs/>
                      <w:color w:val="FF0000"/>
                      <w:sz w:val="20"/>
                      <w:szCs w:val="20"/>
                    </w:rPr>
                    <w:t>pH、COD、SS、石油类</w:t>
                  </w:r>
                </w:p>
              </w:tc>
              <w:tc>
                <w:tcPr>
                  <w:tcW w:w="972" w:type="pct"/>
                  <w:noWrap w:val="0"/>
                  <w:vAlign w:val="center"/>
                </w:tcPr>
                <w:p>
                  <w:pPr>
                    <w:jc w:val="center"/>
                    <w:rPr>
                      <w:rFonts w:hint="eastAsia"/>
                      <w:bCs/>
                      <w:color w:val="FF0000"/>
                      <w:sz w:val="20"/>
                      <w:szCs w:val="20"/>
                    </w:rPr>
                  </w:pPr>
                  <w:r>
                    <w:rPr>
                      <w:rFonts w:hint="eastAsia"/>
                      <w:bCs/>
                      <w:color w:val="FF0000"/>
                      <w:sz w:val="20"/>
                      <w:szCs w:val="20"/>
                    </w:rPr>
                    <w:t>1次/日*</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5" w:type="pct"/>
                  <w:vMerge w:val="restart"/>
                  <w:noWrap w:val="0"/>
                  <w:vAlign w:val="center"/>
                </w:tcPr>
                <w:p>
                  <w:pPr>
                    <w:jc w:val="center"/>
                    <w:rPr>
                      <w:rFonts w:hint="eastAsia"/>
                      <w:bCs/>
                      <w:color w:val="FF0000"/>
                      <w:sz w:val="20"/>
                      <w:szCs w:val="20"/>
                    </w:rPr>
                  </w:pPr>
                  <w:r>
                    <w:rPr>
                      <w:rFonts w:hint="eastAsia"/>
                      <w:bCs/>
                      <w:color w:val="FF0000"/>
                      <w:sz w:val="20"/>
                      <w:szCs w:val="20"/>
                    </w:rPr>
                    <w:t>厂区废水总排放口</w:t>
                  </w:r>
                </w:p>
              </w:tc>
              <w:tc>
                <w:tcPr>
                  <w:tcW w:w="2723" w:type="pct"/>
                  <w:noWrap w:val="0"/>
                  <w:vAlign w:val="center"/>
                </w:tcPr>
                <w:p>
                  <w:pPr>
                    <w:jc w:val="center"/>
                    <w:rPr>
                      <w:bCs/>
                      <w:color w:val="FF0000"/>
                      <w:sz w:val="20"/>
                      <w:szCs w:val="20"/>
                    </w:rPr>
                  </w:pPr>
                  <w:r>
                    <w:rPr>
                      <w:rFonts w:hint="eastAsia"/>
                      <w:bCs/>
                      <w:color w:val="FF0000"/>
                      <w:sz w:val="20"/>
                      <w:szCs w:val="20"/>
                    </w:rPr>
                    <w:t>流量、pH、COD、氨氮</w:t>
                  </w:r>
                </w:p>
              </w:tc>
              <w:tc>
                <w:tcPr>
                  <w:tcW w:w="972" w:type="pct"/>
                  <w:noWrap w:val="0"/>
                  <w:vAlign w:val="center"/>
                </w:tcPr>
                <w:p>
                  <w:pPr>
                    <w:jc w:val="center"/>
                    <w:rPr>
                      <w:rFonts w:hint="eastAsia"/>
                      <w:bCs/>
                      <w:color w:val="FF0000"/>
                      <w:sz w:val="20"/>
                      <w:szCs w:val="20"/>
                    </w:rPr>
                  </w:pPr>
                  <w:r>
                    <w:rPr>
                      <w:rFonts w:hint="eastAsia"/>
                      <w:bCs/>
                      <w:color w:val="FF0000"/>
                      <w:sz w:val="20"/>
                      <w:szCs w:val="20"/>
                    </w:rPr>
                    <w:t>自动监测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5" w:type="pct"/>
                  <w:vMerge w:val="continue"/>
                  <w:noWrap w:val="0"/>
                  <w:vAlign w:val="center"/>
                </w:tcPr>
                <w:p>
                  <w:pPr>
                    <w:jc w:val="center"/>
                    <w:rPr>
                      <w:rFonts w:hint="eastAsia"/>
                      <w:bCs/>
                      <w:color w:val="FF0000"/>
                      <w:sz w:val="20"/>
                      <w:szCs w:val="20"/>
                    </w:rPr>
                  </w:pPr>
                </w:p>
              </w:tc>
              <w:tc>
                <w:tcPr>
                  <w:tcW w:w="2723" w:type="pct"/>
                  <w:noWrap w:val="0"/>
                  <w:vAlign w:val="center"/>
                </w:tcPr>
                <w:p>
                  <w:pPr>
                    <w:jc w:val="center"/>
                    <w:rPr>
                      <w:rFonts w:hint="default" w:eastAsia="宋体"/>
                      <w:bCs/>
                      <w:color w:val="FF0000"/>
                      <w:sz w:val="20"/>
                      <w:szCs w:val="20"/>
                      <w:lang w:val="en-US" w:eastAsia="zh-CN"/>
                    </w:rPr>
                  </w:pPr>
                  <w:r>
                    <w:rPr>
                      <w:rFonts w:hint="eastAsia"/>
                      <w:bCs/>
                      <w:color w:val="FF0000"/>
                      <w:sz w:val="20"/>
                      <w:szCs w:val="20"/>
                    </w:rPr>
                    <w:t>SS</w:t>
                  </w:r>
                  <w:r>
                    <w:rPr>
                      <w:rFonts w:hint="eastAsia"/>
                      <w:bCs/>
                      <w:color w:val="FF0000"/>
                      <w:sz w:val="20"/>
                      <w:szCs w:val="20"/>
                      <w:lang w:eastAsia="zh-CN"/>
                    </w:rPr>
                    <w:t>、</w:t>
                  </w:r>
                  <w:r>
                    <w:rPr>
                      <w:rFonts w:hint="eastAsia"/>
                      <w:bCs/>
                      <w:color w:val="FF0000"/>
                      <w:sz w:val="20"/>
                      <w:szCs w:val="20"/>
                      <w:lang w:val="en-US" w:eastAsia="zh-CN"/>
                    </w:rPr>
                    <w:t>色度</w:t>
                  </w:r>
                </w:p>
              </w:tc>
              <w:tc>
                <w:tcPr>
                  <w:tcW w:w="972" w:type="pct"/>
                  <w:noWrap w:val="0"/>
                  <w:vAlign w:val="center"/>
                </w:tcPr>
                <w:p>
                  <w:pPr>
                    <w:jc w:val="center"/>
                    <w:rPr>
                      <w:rFonts w:hint="eastAsia"/>
                      <w:bCs/>
                      <w:color w:val="FF0000"/>
                      <w:sz w:val="20"/>
                      <w:szCs w:val="20"/>
                    </w:rPr>
                  </w:pPr>
                  <w:r>
                    <w:rPr>
                      <w:rFonts w:hint="eastAsia"/>
                      <w:bCs/>
                      <w:color w:val="FF0000"/>
                      <w:sz w:val="20"/>
                      <w:szCs w:val="20"/>
                    </w:rPr>
                    <w:t>1次/周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5" w:type="pct"/>
                  <w:vMerge w:val="continue"/>
                  <w:noWrap w:val="0"/>
                  <w:vAlign w:val="center"/>
                </w:tcPr>
                <w:p>
                  <w:pPr>
                    <w:jc w:val="center"/>
                    <w:rPr>
                      <w:rFonts w:hint="eastAsia"/>
                      <w:bCs/>
                      <w:color w:val="FF0000"/>
                      <w:sz w:val="20"/>
                      <w:szCs w:val="20"/>
                    </w:rPr>
                  </w:pPr>
                </w:p>
              </w:tc>
              <w:tc>
                <w:tcPr>
                  <w:tcW w:w="2723" w:type="pct"/>
                  <w:noWrap w:val="0"/>
                  <w:vAlign w:val="center"/>
                </w:tcPr>
                <w:p>
                  <w:pPr>
                    <w:jc w:val="center"/>
                    <w:rPr>
                      <w:rFonts w:hint="eastAsia"/>
                      <w:bCs/>
                      <w:color w:val="FF0000"/>
                      <w:sz w:val="20"/>
                      <w:szCs w:val="20"/>
                    </w:rPr>
                  </w:pPr>
                  <w:r>
                    <w:rPr>
                      <w:rFonts w:hint="eastAsia"/>
                      <w:bCs/>
                      <w:color w:val="FF0000"/>
                      <w:sz w:val="20"/>
                      <w:szCs w:val="20"/>
                    </w:rPr>
                    <w:t>BOD</w:t>
                  </w:r>
                  <w:r>
                    <w:rPr>
                      <w:rFonts w:hint="eastAsia"/>
                      <w:bCs/>
                      <w:color w:val="FF0000"/>
                      <w:sz w:val="20"/>
                      <w:szCs w:val="20"/>
                      <w:vertAlign w:val="subscript"/>
                    </w:rPr>
                    <w:t>5</w:t>
                  </w:r>
                  <w:r>
                    <w:rPr>
                      <w:rFonts w:hint="eastAsia"/>
                      <w:bCs/>
                      <w:color w:val="FF0000"/>
                      <w:sz w:val="20"/>
                      <w:szCs w:val="20"/>
                    </w:rPr>
                    <w:t>、</w:t>
                  </w:r>
                </w:p>
              </w:tc>
              <w:tc>
                <w:tcPr>
                  <w:tcW w:w="972" w:type="pct"/>
                  <w:noWrap w:val="0"/>
                  <w:vAlign w:val="center"/>
                </w:tcPr>
                <w:p>
                  <w:pPr>
                    <w:jc w:val="center"/>
                    <w:rPr>
                      <w:rFonts w:hint="eastAsia"/>
                      <w:bCs/>
                      <w:color w:val="FF0000"/>
                      <w:sz w:val="20"/>
                      <w:szCs w:val="20"/>
                    </w:rPr>
                  </w:pPr>
                  <w:r>
                    <w:rPr>
                      <w:rFonts w:hint="eastAsia"/>
                      <w:bCs/>
                      <w:color w:val="FF0000"/>
                      <w:sz w:val="20"/>
                      <w:szCs w:val="20"/>
                    </w:rPr>
                    <w:t>1次/月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jc w:val="center"/>
              </w:trPr>
              <w:tc>
                <w:tcPr>
                  <w:tcW w:w="1305" w:type="pct"/>
                  <w:vMerge w:val="continue"/>
                  <w:noWrap w:val="0"/>
                  <w:vAlign w:val="center"/>
                </w:tcPr>
                <w:p>
                  <w:pPr>
                    <w:jc w:val="center"/>
                    <w:rPr>
                      <w:rFonts w:hint="eastAsia"/>
                      <w:bCs/>
                      <w:color w:val="FF0000"/>
                      <w:sz w:val="20"/>
                      <w:szCs w:val="20"/>
                    </w:rPr>
                  </w:pPr>
                </w:p>
              </w:tc>
              <w:tc>
                <w:tcPr>
                  <w:tcW w:w="2723" w:type="pct"/>
                  <w:noWrap w:val="0"/>
                  <w:vAlign w:val="center"/>
                </w:tcPr>
                <w:p>
                  <w:pPr>
                    <w:jc w:val="center"/>
                    <w:rPr>
                      <w:rFonts w:hint="eastAsia" w:eastAsia="宋体"/>
                      <w:bCs/>
                      <w:color w:val="FF0000"/>
                      <w:sz w:val="20"/>
                      <w:szCs w:val="20"/>
                      <w:lang w:eastAsia="zh-CN"/>
                    </w:rPr>
                  </w:pPr>
                  <w:r>
                    <w:rPr>
                      <w:rFonts w:hint="eastAsia"/>
                      <w:bCs/>
                      <w:color w:val="FF0000"/>
                      <w:sz w:val="20"/>
                      <w:szCs w:val="20"/>
                    </w:rPr>
                    <w:t>总磷、总氮</w:t>
                  </w:r>
                  <w:r>
                    <w:rPr>
                      <w:rFonts w:hint="eastAsia"/>
                      <w:bCs/>
                      <w:color w:val="FF0000"/>
                      <w:sz w:val="20"/>
                      <w:szCs w:val="20"/>
                      <w:lang w:eastAsia="zh-CN"/>
                    </w:rPr>
                    <w:t>、</w:t>
                  </w:r>
                  <w:r>
                    <w:rPr>
                      <w:rFonts w:hint="eastAsia"/>
                      <w:bCs/>
                      <w:color w:val="FF0000"/>
                      <w:sz w:val="20"/>
                      <w:szCs w:val="20"/>
                      <w:lang w:val="en-US" w:eastAsia="zh-CN"/>
                    </w:rPr>
                    <w:t>动植物油</w:t>
                  </w:r>
                </w:p>
              </w:tc>
              <w:tc>
                <w:tcPr>
                  <w:tcW w:w="972" w:type="pct"/>
                  <w:noWrap w:val="0"/>
                  <w:vAlign w:val="center"/>
                </w:tcPr>
                <w:p>
                  <w:pPr>
                    <w:jc w:val="center"/>
                    <w:rPr>
                      <w:rFonts w:hint="eastAsia"/>
                      <w:bCs/>
                      <w:color w:val="FF0000"/>
                      <w:sz w:val="20"/>
                      <w:szCs w:val="20"/>
                    </w:rPr>
                  </w:pPr>
                  <w:r>
                    <w:rPr>
                      <w:rFonts w:hint="eastAsia"/>
                      <w:bCs/>
                      <w:color w:val="FF0000"/>
                      <w:sz w:val="20"/>
                      <w:szCs w:val="20"/>
                    </w:rPr>
                    <w:t>1次/季度</w:t>
                  </w:r>
                </w:p>
              </w:tc>
            </w:tr>
          </w:tbl>
          <w:p>
            <w:pPr>
              <w:widowControl/>
              <w:spacing w:line="360" w:lineRule="auto"/>
              <w:jc w:val="left"/>
              <w:rPr>
                <w:rFonts w:hint="eastAsia"/>
                <w:sz w:val="18"/>
                <w:szCs w:val="21"/>
              </w:rPr>
            </w:pPr>
            <w:r>
              <w:rPr>
                <w:rFonts w:hint="eastAsia"/>
                <w:sz w:val="18"/>
                <w:szCs w:val="21"/>
              </w:rPr>
              <w:t>*注：排放期间按日监测。</w:t>
            </w:r>
          </w:p>
          <w:p>
            <w:pPr>
              <w:adjustRightInd w:val="0"/>
              <w:snapToGrid w:val="0"/>
              <w:spacing w:line="360" w:lineRule="auto"/>
              <w:ind w:firstLine="420" w:firstLineChars="200"/>
              <w:rPr>
                <w:bCs/>
                <w:kern w:val="21"/>
              </w:rPr>
            </w:pPr>
            <w:bookmarkStart w:id="20" w:name="_Hlk201911502"/>
            <w:r>
              <w:rPr>
                <w:rFonts w:hint="eastAsia"/>
                <w:bCs/>
                <w:kern w:val="21"/>
              </w:rPr>
              <w:t>本项目有关监测点位、监测项目及监测频次见下表：</w:t>
            </w:r>
          </w:p>
          <w:p>
            <w:pPr>
              <w:keepNext/>
              <w:jc w:val="center"/>
              <w:rPr>
                <w:b/>
                <w:bCs/>
              </w:rPr>
            </w:pPr>
            <w:r>
              <w:rPr>
                <w:rFonts w:hint="eastAsia"/>
                <w:b/>
                <w:bCs/>
              </w:rPr>
              <w:t>表</w:t>
            </w:r>
            <w:r>
              <w:rPr>
                <w:b/>
                <w:bCs/>
              </w:rPr>
              <w:t>4-</w:t>
            </w:r>
            <w:r>
              <w:rPr>
                <w:rFonts w:hint="eastAsia"/>
                <w:b/>
                <w:bCs/>
                <w:lang w:val="en-US" w:eastAsia="zh-CN"/>
              </w:rPr>
              <w:t>23</w:t>
            </w:r>
            <w:r>
              <w:rPr>
                <w:b/>
                <w:bCs/>
              </w:rPr>
              <w:t xml:space="preserve"> </w:t>
            </w:r>
            <w:r>
              <w:rPr>
                <w:rFonts w:hint="eastAsia"/>
                <w:b/>
                <w:bCs/>
              </w:rPr>
              <w:t xml:space="preserve"> 验收检测计划表</w:t>
            </w:r>
          </w:p>
          <w:tbl>
            <w:tblPr>
              <w:tblStyle w:val="90"/>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418"/>
              <w:gridCol w:w="3543"/>
              <w:gridCol w:w="850"/>
              <w:gridCol w:w="18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5" w:type="dxa"/>
                  <w:noWrap w:val="0"/>
                  <w:vAlign w:val="center"/>
                </w:tcPr>
                <w:p>
                  <w:pPr>
                    <w:jc w:val="center"/>
                    <w:rPr>
                      <w:b/>
                      <w:sz w:val="20"/>
                      <w:szCs w:val="20"/>
                    </w:rPr>
                  </w:pPr>
                  <w:r>
                    <w:rPr>
                      <w:rFonts w:hint="eastAsia"/>
                      <w:b/>
                      <w:sz w:val="20"/>
                      <w:szCs w:val="20"/>
                    </w:rPr>
                    <w:t>种类</w:t>
                  </w:r>
                </w:p>
              </w:tc>
              <w:tc>
                <w:tcPr>
                  <w:tcW w:w="1418" w:type="dxa"/>
                  <w:noWrap w:val="0"/>
                  <w:vAlign w:val="center"/>
                </w:tcPr>
                <w:p>
                  <w:pPr>
                    <w:jc w:val="center"/>
                    <w:rPr>
                      <w:b/>
                      <w:sz w:val="20"/>
                      <w:szCs w:val="20"/>
                    </w:rPr>
                  </w:pPr>
                  <w:r>
                    <w:rPr>
                      <w:b/>
                      <w:sz w:val="20"/>
                      <w:szCs w:val="20"/>
                    </w:rPr>
                    <w:t>监测点</w:t>
                  </w:r>
                </w:p>
              </w:tc>
              <w:tc>
                <w:tcPr>
                  <w:tcW w:w="3543" w:type="dxa"/>
                  <w:noWrap w:val="0"/>
                  <w:vAlign w:val="center"/>
                </w:tcPr>
                <w:p>
                  <w:pPr>
                    <w:jc w:val="center"/>
                    <w:rPr>
                      <w:b/>
                      <w:sz w:val="20"/>
                      <w:szCs w:val="20"/>
                    </w:rPr>
                  </w:pPr>
                  <w:r>
                    <w:rPr>
                      <w:rFonts w:hint="eastAsia"/>
                      <w:b/>
                      <w:sz w:val="20"/>
                      <w:szCs w:val="20"/>
                    </w:rPr>
                    <w:t>监测因子</w:t>
                  </w:r>
                </w:p>
              </w:tc>
              <w:tc>
                <w:tcPr>
                  <w:tcW w:w="850" w:type="dxa"/>
                  <w:noWrap w:val="0"/>
                  <w:vAlign w:val="center"/>
                </w:tcPr>
                <w:p>
                  <w:pPr>
                    <w:jc w:val="center"/>
                    <w:rPr>
                      <w:b/>
                      <w:sz w:val="20"/>
                      <w:szCs w:val="20"/>
                    </w:rPr>
                  </w:pPr>
                  <w:r>
                    <w:rPr>
                      <w:rFonts w:hint="eastAsia"/>
                      <w:b/>
                      <w:sz w:val="20"/>
                      <w:szCs w:val="20"/>
                    </w:rPr>
                    <w:t>点位数</w:t>
                  </w:r>
                </w:p>
              </w:tc>
              <w:tc>
                <w:tcPr>
                  <w:tcW w:w="1852" w:type="dxa"/>
                  <w:noWrap w:val="0"/>
                  <w:vAlign w:val="center"/>
                </w:tcPr>
                <w:p>
                  <w:pPr>
                    <w:jc w:val="center"/>
                    <w:rPr>
                      <w:b/>
                      <w:sz w:val="20"/>
                      <w:szCs w:val="20"/>
                    </w:rPr>
                  </w:pPr>
                  <w:r>
                    <w:rPr>
                      <w:b/>
                      <w:sz w:val="20"/>
                      <w:szCs w:val="20"/>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5" w:type="dxa"/>
                  <w:vMerge w:val="restart"/>
                  <w:noWrap w:val="0"/>
                  <w:vAlign w:val="center"/>
                </w:tcPr>
                <w:p>
                  <w:pPr>
                    <w:jc w:val="center"/>
                    <w:rPr>
                      <w:rFonts w:hint="eastAsia"/>
                      <w:sz w:val="20"/>
                      <w:szCs w:val="20"/>
                    </w:rPr>
                  </w:pPr>
                  <w:r>
                    <w:rPr>
                      <w:rFonts w:hint="eastAsia"/>
                      <w:sz w:val="20"/>
                      <w:szCs w:val="20"/>
                    </w:rPr>
                    <w:t>废水</w:t>
                  </w:r>
                </w:p>
              </w:tc>
              <w:tc>
                <w:tcPr>
                  <w:tcW w:w="1418" w:type="dxa"/>
                  <w:noWrap w:val="0"/>
                  <w:vAlign w:val="center"/>
                </w:tcPr>
                <w:p>
                  <w:pPr>
                    <w:jc w:val="center"/>
                    <w:rPr>
                      <w:rFonts w:hint="eastAsia"/>
                      <w:sz w:val="20"/>
                      <w:szCs w:val="20"/>
                    </w:rPr>
                  </w:pPr>
                  <w:r>
                    <w:rPr>
                      <w:rFonts w:hint="eastAsia"/>
                      <w:sz w:val="20"/>
                      <w:szCs w:val="20"/>
                    </w:rPr>
                    <w:t>污水处理站进出口</w:t>
                  </w:r>
                </w:p>
              </w:tc>
              <w:tc>
                <w:tcPr>
                  <w:tcW w:w="3543" w:type="dxa"/>
                  <w:noWrap w:val="0"/>
                  <w:vAlign w:val="center"/>
                </w:tcPr>
                <w:p>
                  <w:pPr>
                    <w:jc w:val="center"/>
                    <w:rPr>
                      <w:rFonts w:hint="default" w:eastAsia="宋体"/>
                      <w:sz w:val="20"/>
                      <w:szCs w:val="20"/>
                      <w:lang w:val="en-US" w:eastAsia="zh-CN"/>
                    </w:rPr>
                  </w:pPr>
                  <w:r>
                    <w:rPr>
                      <w:rFonts w:hint="eastAsia"/>
                      <w:sz w:val="20"/>
                      <w:szCs w:val="20"/>
                    </w:rPr>
                    <w:t>流量、pH、COD、BOD</w:t>
                  </w:r>
                  <w:r>
                    <w:rPr>
                      <w:rFonts w:hint="eastAsia"/>
                      <w:sz w:val="20"/>
                      <w:szCs w:val="20"/>
                      <w:vertAlign w:val="subscript"/>
                    </w:rPr>
                    <w:t>5</w:t>
                  </w:r>
                  <w:r>
                    <w:rPr>
                      <w:rFonts w:hint="eastAsia"/>
                      <w:sz w:val="20"/>
                      <w:szCs w:val="20"/>
                    </w:rPr>
                    <w:t>、TN、SS、NH</w:t>
                  </w:r>
                  <w:r>
                    <w:rPr>
                      <w:rFonts w:hint="eastAsia"/>
                      <w:sz w:val="20"/>
                      <w:szCs w:val="20"/>
                      <w:vertAlign w:val="subscript"/>
                    </w:rPr>
                    <w:t>3</w:t>
                  </w:r>
                  <w:r>
                    <w:rPr>
                      <w:rFonts w:hint="eastAsia"/>
                      <w:sz w:val="20"/>
                      <w:szCs w:val="20"/>
                    </w:rPr>
                    <w:t>-N、TP、石油类</w:t>
                  </w:r>
                </w:p>
              </w:tc>
              <w:tc>
                <w:tcPr>
                  <w:tcW w:w="850" w:type="dxa"/>
                  <w:noWrap w:val="0"/>
                  <w:vAlign w:val="center"/>
                </w:tcPr>
                <w:p>
                  <w:pPr>
                    <w:jc w:val="center"/>
                    <w:rPr>
                      <w:rFonts w:hint="eastAsia"/>
                      <w:sz w:val="20"/>
                      <w:szCs w:val="20"/>
                    </w:rPr>
                  </w:pPr>
                  <w:r>
                    <w:rPr>
                      <w:rFonts w:hint="eastAsia"/>
                      <w:sz w:val="20"/>
                      <w:szCs w:val="20"/>
                    </w:rPr>
                    <w:t>2</w:t>
                  </w:r>
                </w:p>
              </w:tc>
              <w:tc>
                <w:tcPr>
                  <w:tcW w:w="1852" w:type="dxa"/>
                  <w:vMerge w:val="restart"/>
                  <w:noWrap w:val="0"/>
                  <w:vAlign w:val="center"/>
                </w:tcPr>
                <w:p>
                  <w:pPr>
                    <w:jc w:val="center"/>
                    <w:rPr>
                      <w:rFonts w:hint="eastAsia"/>
                      <w:sz w:val="20"/>
                      <w:szCs w:val="20"/>
                    </w:rPr>
                  </w:pPr>
                  <w:r>
                    <w:rPr>
                      <w:rFonts w:hint="eastAsia"/>
                      <w:sz w:val="20"/>
                      <w:szCs w:val="20"/>
                    </w:rPr>
                    <w:t>连续2天，每天4次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35" w:type="dxa"/>
                  <w:vMerge w:val="continue"/>
                  <w:noWrap w:val="0"/>
                  <w:vAlign w:val="center"/>
                </w:tcPr>
                <w:p>
                  <w:pPr>
                    <w:jc w:val="center"/>
                    <w:rPr>
                      <w:rFonts w:hint="eastAsia"/>
                      <w:sz w:val="20"/>
                      <w:szCs w:val="20"/>
                    </w:rPr>
                  </w:pPr>
                </w:p>
              </w:tc>
              <w:tc>
                <w:tcPr>
                  <w:tcW w:w="1418" w:type="dxa"/>
                  <w:noWrap w:val="0"/>
                  <w:vAlign w:val="center"/>
                </w:tcPr>
                <w:p>
                  <w:pPr>
                    <w:jc w:val="center"/>
                    <w:rPr>
                      <w:sz w:val="20"/>
                      <w:szCs w:val="20"/>
                    </w:rPr>
                  </w:pPr>
                  <w:r>
                    <w:rPr>
                      <w:rFonts w:hint="eastAsia"/>
                      <w:sz w:val="20"/>
                      <w:szCs w:val="20"/>
                    </w:rPr>
                    <w:t>雨水排口</w:t>
                  </w:r>
                </w:p>
              </w:tc>
              <w:tc>
                <w:tcPr>
                  <w:tcW w:w="3543" w:type="dxa"/>
                  <w:noWrap w:val="0"/>
                  <w:vAlign w:val="center"/>
                </w:tcPr>
                <w:p>
                  <w:pPr>
                    <w:jc w:val="center"/>
                    <w:rPr>
                      <w:rFonts w:hint="default" w:eastAsia="宋体"/>
                      <w:sz w:val="20"/>
                      <w:szCs w:val="20"/>
                      <w:lang w:val="en-US" w:eastAsia="zh-CN"/>
                    </w:rPr>
                  </w:pPr>
                  <w:r>
                    <w:rPr>
                      <w:rFonts w:hint="eastAsia"/>
                      <w:sz w:val="20"/>
                      <w:szCs w:val="20"/>
                    </w:rPr>
                    <w:t>p</w:t>
                  </w:r>
                  <w:r>
                    <w:rPr>
                      <w:sz w:val="20"/>
                      <w:szCs w:val="20"/>
                    </w:rPr>
                    <w:t>H</w:t>
                  </w:r>
                  <w:r>
                    <w:rPr>
                      <w:rFonts w:hint="eastAsia"/>
                      <w:sz w:val="20"/>
                      <w:szCs w:val="20"/>
                    </w:rPr>
                    <w:t>、C</w:t>
                  </w:r>
                  <w:r>
                    <w:rPr>
                      <w:sz w:val="20"/>
                      <w:szCs w:val="20"/>
                    </w:rPr>
                    <w:t>OD</w:t>
                  </w:r>
                  <w:r>
                    <w:rPr>
                      <w:rFonts w:hint="eastAsia"/>
                      <w:sz w:val="20"/>
                      <w:szCs w:val="20"/>
                    </w:rPr>
                    <w:t>、</w:t>
                  </w:r>
                  <w:r>
                    <w:rPr>
                      <w:rFonts w:hint="eastAsia"/>
                      <w:sz w:val="20"/>
                      <w:szCs w:val="20"/>
                      <w:lang w:val="en-US" w:eastAsia="zh-CN"/>
                    </w:rPr>
                    <w:t>SS</w:t>
                  </w:r>
                  <w:r>
                    <w:rPr>
                      <w:rFonts w:hint="eastAsia"/>
                      <w:lang w:eastAsia="zh-CN"/>
                    </w:rPr>
                    <w:t>、</w:t>
                  </w:r>
                  <w:r>
                    <w:rPr>
                      <w:rFonts w:hint="eastAsia"/>
                      <w:lang w:val="en-US" w:eastAsia="zh-CN"/>
                    </w:rPr>
                    <w:t>石油类</w:t>
                  </w:r>
                </w:p>
              </w:tc>
              <w:tc>
                <w:tcPr>
                  <w:tcW w:w="850" w:type="dxa"/>
                  <w:noWrap w:val="0"/>
                  <w:vAlign w:val="center"/>
                </w:tcPr>
                <w:p>
                  <w:pPr>
                    <w:jc w:val="center"/>
                    <w:rPr>
                      <w:sz w:val="20"/>
                      <w:szCs w:val="20"/>
                    </w:rPr>
                  </w:pPr>
                  <w:r>
                    <w:rPr>
                      <w:rFonts w:hint="eastAsia"/>
                      <w:sz w:val="20"/>
                      <w:szCs w:val="20"/>
                    </w:rPr>
                    <w:t>1</w:t>
                  </w:r>
                </w:p>
              </w:tc>
              <w:tc>
                <w:tcPr>
                  <w:tcW w:w="1852" w:type="dxa"/>
                  <w:vMerge w:val="continue"/>
                  <w:noWrap w:val="0"/>
                  <w:vAlign w:val="center"/>
                </w:tcPr>
                <w:p>
                  <w:pPr>
                    <w:jc w:val="center"/>
                    <w:rPr>
                      <w:rFonts w:hint="eastAsia"/>
                      <w:sz w:val="20"/>
                      <w:szCs w:val="20"/>
                    </w:rPr>
                  </w:pPr>
                </w:p>
              </w:tc>
            </w:tr>
            <w:bookmarkEnd w:id="20"/>
          </w:tbl>
          <w:p>
            <w:pPr>
              <w:autoSpaceDE w:val="0"/>
              <w:autoSpaceDN w:val="0"/>
              <w:adjustRightInd w:val="0"/>
              <w:snapToGrid w:val="0"/>
              <w:spacing w:line="400" w:lineRule="exact"/>
              <w:ind w:firstLine="422" w:firstLineChars="200"/>
              <w:rPr>
                <w:b/>
                <w:bCs/>
                <w:color w:val="auto"/>
                <w:kern w:val="0"/>
                <w:szCs w:val="21"/>
              </w:rPr>
            </w:pPr>
            <w:r>
              <w:rPr>
                <w:b/>
                <w:bCs/>
                <w:color w:val="auto"/>
                <w:kern w:val="0"/>
                <w:szCs w:val="21"/>
              </w:rPr>
              <w:t>（</w:t>
            </w:r>
            <w:r>
              <w:rPr>
                <w:rFonts w:hint="eastAsia"/>
                <w:b/>
                <w:bCs/>
                <w:color w:val="auto"/>
                <w:kern w:val="0"/>
                <w:szCs w:val="21"/>
                <w:lang w:val="en-US" w:eastAsia="zh-CN"/>
              </w:rPr>
              <w:t>6</w:t>
            </w:r>
            <w:r>
              <w:rPr>
                <w:b/>
                <w:bCs/>
                <w:color w:val="auto"/>
                <w:kern w:val="0"/>
                <w:szCs w:val="21"/>
              </w:rPr>
              <w:t>）地表水环境影响评价结论</w:t>
            </w:r>
          </w:p>
          <w:p>
            <w:pPr>
              <w:autoSpaceDE w:val="0"/>
              <w:autoSpaceDN w:val="0"/>
              <w:adjustRightInd w:val="0"/>
              <w:snapToGrid w:val="0"/>
              <w:spacing w:line="400" w:lineRule="exact"/>
              <w:ind w:firstLine="420" w:firstLineChars="200"/>
              <w:rPr>
                <w:color w:val="auto"/>
                <w:kern w:val="0"/>
                <w:szCs w:val="21"/>
              </w:rPr>
            </w:pPr>
            <w:r>
              <w:rPr>
                <w:color w:val="auto"/>
                <w:kern w:val="0"/>
                <w:szCs w:val="21"/>
              </w:rPr>
              <w:t>本项目营运期生产过程废水主要为</w:t>
            </w:r>
            <w:r>
              <w:rPr>
                <w:rFonts w:hint="eastAsia"/>
                <w:color w:val="auto"/>
                <w:kern w:val="0"/>
                <w:szCs w:val="21"/>
              </w:rPr>
              <w:t>生活污水、</w:t>
            </w:r>
            <w:r>
              <w:rPr>
                <w:rFonts w:hint="eastAsia"/>
                <w:color w:val="auto"/>
                <w:kern w:val="0"/>
                <w:szCs w:val="21"/>
                <w:lang w:val="en-US" w:eastAsia="zh-CN"/>
              </w:rPr>
              <w:t>喷淋废水、水幕除尘废水</w:t>
            </w:r>
            <w:r>
              <w:rPr>
                <w:rFonts w:hint="eastAsia"/>
                <w:color w:val="auto"/>
                <w:kern w:val="0"/>
                <w:szCs w:val="21"/>
              </w:rPr>
              <w:t>和纯水制备浓水，其中生活污水依托</w:t>
            </w:r>
            <w:r>
              <w:rPr>
                <w:rFonts w:hint="eastAsia"/>
                <w:color w:val="auto"/>
                <w:kern w:val="0"/>
                <w:szCs w:val="21"/>
                <w:lang w:val="en-US" w:eastAsia="zh-CN"/>
              </w:rPr>
              <w:t>华胜公司</w:t>
            </w:r>
            <w:r>
              <w:rPr>
                <w:rFonts w:hint="eastAsia"/>
                <w:color w:val="auto"/>
                <w:kern w:val="0"/>
                <w:szCs w:val="21"/>
              </w:rPr>
              <w:t>化粪池处理后</w:t>
            </w:r>
            <w:r>
              <w:rPr>
                <w:rFonts w:hint="eastAsia"/>
                <w:color w:val="auto"/>
                <w:kern w:val="0"/>
                <w:szCs w:val="21"/>
                <w:lang w:eastAsia="zh-CN"/>
              </w:rPr>
              <w:t>，</w:t>
            </w:r>
            <w:r>
              <w:rPr>
                <w:rFonts w:hint="eastAsia"/>
                <w:color w:val="auto"/>
                <w:kern w:val="0"/>
                <w:szCs w:val="21"/>
                <w:lang w:val="en-US" w:eastAsia="zh-CN"/>
              </w:rPr>
              <w:t>与喷淋废水、水幕除尘废水</w:t>
            </w:r>
            <w:r>
              <w:rPr>
                <w:color w:val="auto"/>
                <w:kern w:val="0"/>
                <w:szCs w:val="21"/>
              </w:rPr>
              <w:t>依托</w:t>
            </w:r>
            <w:r>
              <w:rPr>
                <w:rFonts w:hint="eastAsia"/>
                <w:color w:val="auto"/>
                <w:kern w:val="0"/>
                <w:szCs w:val="21"/>
                <w:lang w:val="en-US" w:eastAsia="zh-CN"/>
              </w:rPr>
              <w:t>华胜公司</w:t>
            </w:r>
            <w:r>
              <w:rPr>
                <w:rFonts w:hint="eastAsia"/>
                <w:color w:val="auto"/>
                <w:kern w:val="0"/>
                <w:szCs w:val="21"/>
              </w:rPr>
              <w:t>现有</w:t>
            </w:r>
            <w:r>
              <w:rPr>
                <w:rFonts w:hint="eastAsia"/>
                <w:color w:val="auto"/>
                <w:kern w:val="0"/>
                <w:szCs w:val="21"/>
                <w:lang w:val="en-US" w:eastAsia="zh-CN"/>
              </w:rPr>
              <w:t>污水处理站</w:t>
            </w:r>
            <w:r>
              <w:rPr>
                <w:rFonts w:hint="eastAsia"/>
                <w:color w:val="auto"/>
                <w:kern w:val="0"/>
                <w:szCs w:val="21"/>
              </w:rPr>
              <w:t>处理后</w:t>
            </w:r>
            <w:r>
              <w:rPr>
                <w:rFonts w:hint="eastAsia"/>
                <w:color w:val="auto"/>
                <w:kern w:val="0"/>
                <w:szCs w:val="21"/>
                <w:lang w:val="en-US" w:eastAsia="zh-CN"/>
              </w:rPr>
              <w:t>和</w:t>
            </w:r>
            <w:r>
              <w:rPr>
                <w:rFonts w:hint="eastAsia"/>
                <w:color w:val="auto"/>
                <w:kern w:val="0"/>
                <w:szCs w:val="21"/>
              </w:rPr>
              <w:t>纯水制备浓水接管排放</w:t>
            </w:r>
            <w:r>
              <w:rPr>
                <w:rFonts w:hint="eastAsia"/>
                <w:color w:val="auto"/>
                <w:kern w:val="0"/>
                <w:szCs w:val="21"/>
                <w:lang w:val="en-US" w:eastAsia="zh-CN"/>
              </w:rPr>
              <w:t>如皋市九华镇污水处理厂</w:t>
            </w:r>
            <w:r>
              <w:rPr>
                <w:rFonts w:hint="eastAsia"/>
                <w:color w:val="auto"/>
                <w:kern w:val="0"/>
                <w:szCs w:val="21"/>
              </w:rPr>
              <w:t>；</w:t>
            </w:r>
            <w:r>
              <w:rPr>
                <w:color w:val="auto"/>
                <w:kern w:val="0"/>
                <w:szCs w:val="21"/>
              </w:rPr>
              <w:t>后期雨水</w:t>
            </w:r>
            <w:r>
              <w:rPr>
                <w:rFonts w:hint="eastAsia"/>
                <w:color w:val="auto"/>
                <w:kern w:val="0"/>
                <w:szCs w:val="21"/>
              </w:rPr>
              <w:t>经园区雨水管网</w:t>
            </w:r>
            <w:r>
              <w:rPr>
                <w:color w:val="auto"/>
                <w:kern w:val="0"/>
                <w:szCs w:val="21"/>
              </w:rPr>
              <w:t>就近排入</w:t>
            </w:r>
            <w:r>
              <w:rPr>
                <w:rFonts w:hint="eastAsia"/>
                <w:color w:val="auto"/>
                <w:kern w:val="0"/>
                <w:szCs w:val="21"/>
                <w:lang w:val="en-US" w:eastAsia="zh-CN"/>
              </w:rPr>
              <w:t>西侧小河</w:t>
            </w:r>
            <w:r>
              <w:rPr>
                <w:color w:val="auto"/>
                <w:kern w:val="0"/>
                <w:szCs w:val="21"/>
              </w:rPr>
              <w:t>。因此，项目对地表水环境的影响可以接受。</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3、噪声</w:t>
            </w:r>
          </w:p>
          <w:p>
            <w:pPr>
              <w:autoSpaceDE w:val="0"/>
              <w:autoSpaceDN w:val="0"/>
              <w:adjustRightInd w:val="0"/>
              <w:snapToGrid w:val="0"/>
              <w:spacing w:line="400" w:lineRule="exact"/>
              <w:ind w:firstLine="422" w:firstLineChars="200"/>
              <w:jc w:val="left"/>
              <w:rPr>
                <w:color w:val="auto"/>
                <w:kern w:val="0"/>
                <w:szCs w:val="21"/>
              </w:rPr>
            </w:pPr>
            <w:r>
              <w:rPr>
                <w:b/>
                <w:bCs/>
                <w:color w:val="auto"/>
                <w:kern w:val="0"/>
                <w:szCs w:val="21"/>
              </w:rPr>
              <w:t>（1）噪声源强</w:t>
            </w:r>
          </w:p>
          <w:p>
            <w:pPr>
              <w:autoSpaceDE w:val="0"/>
              <w:autoSpaceDN w:val="0"/>
              <w:adjustRightInd w:val="0"/>
              <w:snapToGrid w:val="0"/>
              <w:spacing w:line="400" w:lineRule="exact"/>
              <w:ind w:firstLine="420" w:firstLineChars="200"/>
              <w:rPr>
                <w:color w:val="auto"/>
                <w:kern w:val="0"/>
                <w:szCs w:val="21"/>
              </w:rPr>
            </w:pPr>
            <w:r>
              <w:rPr>
                <w:color w:val="auto"/>
                <w:kern w:val="0"/>
                <w:szCs w:val="21"/>
              </w:rPr>
              <w:t>本项目新增噪声设备</w:t>
            </w:r>
            <w:r>
              <w:rPr>
                <w:rFonts w:hint="eastAsia"/>
                <w:color w:val="auto"/>
                <w:kern w:val="0"/>
                <w:szCs w:val="21"/>
                <w:lang w:val="en-US" w:eastAsia="zh-CN"/>
              </w:rPr>
              <w:t>定型机、剪毛机、摇粒机、风机、空压机</w:t>
            </w:r>
            <w:r>
              <w:rPr>
                <w:rFonts w:hint="eastAsia"/>
                <w:color w:val="auto"/>
                <w:kern w:val="0"/>
                <w:szCs w:val="21"/>
              </w:rPr>
              <w:t>等</w:t>
            </w:r>
            <w:r>
              <w:rPr>
                <w:color w:val="auto"/>
                <w:kern w:val="0"/>
                <w:szCs w:val="21"/>
              </w:rPr>
              <w:t>，具体源强见表4-</w:t>
            </w:r>
            <w:r>
              <w:rPr>
                <w:rFonts w:hint="eastAsia"/>
                <w:color w:val="auto"/>
                <w:kern w:val="0"/>
                <w:szCs w:val="21"/>
                <w:lang w:val="en-US" w:eastAsia="zh-CN"/>
              </w:rPr>
              <w:t>24和表4-25</w:t>
            </w:r>
            <w:r>
              <w:rPr>
                <w:color w:val="auto"/>
                <w:kern w:val="0"/>
                <w:szCs w:val="21"/>
              </w:rPr>
              <w:t>。</w:t>
            </w:r>
          </w:p>
          <w:p>
            <w:pPr>
              <w:adjustRightInd w:val="0"/>
              <w:snapToGrid w:val="0"/>
              <w:spacing w:line="400" w:lineRule="exact"/>
              <w:ind w:firstLine="422" w:firstLineChars="200"/>
              <w:rPr>
                <w:b/>
                <w:color w:val="auto"/>
                <w:szCs w:val="21"/>
              </w:rPr>
            </w:pPr>
            <w:r>
              <w:rPr>
                <w:b/>
                <w:color w:val="auto"/>
                <w:szCs w:val="21"/>
              </w:rPr>
              <w:t>（2）噪声污染防治措施</w:t>
            </w:r>
          </w:p>
          <w:p>
            <w:pPr>
              <w:adjustRightInd w:val="0"/>
              <w:snapToGrid w:val="0"/>
              <w:spacing w:line="400" w:lineRule="exact"/>
              <w:ind w:firstLine="420" w:firstLineChars="200"/>
              <w:rPr>
                <w:color w:val="auto"/>
                <w:szCs w:val="21"/>
              </w:rPr>
            </w:pPr>
            <w:r>
              <w:rPr>
                <w:rFonts w:hint="eastAsia" w:ascii="宋体" w:hAnsi="宋体" w:cs="宋体"/>
                <w:color w:val="auto"/>
                <w:szCs w:val="21"/>
              </w:rPr>
              <w:t>①</w:t>
            </w:r>
            <w:r>
              <w:rPr>
                <w:color w:val="auto"/>
                <w:szCs w:val="21"/>
              </w:rPr>
              <w:t>合理布局：将高噪声源尽量布置在厂区中部，通过距离衰减减轻噪声对外环境的影响。</w:t>
            </w:r>
          </w:p>
          <w:p>
            <w:pPr>
              <w:adjustRightInd w:val="0"/>
              <w:snapToGrid w:val="0"/>
              <w:spacing w:line="400" w:lineRule="exact"/>
              <w:ind w:firstLine="420" w:firstLineChars="200"/>
              <w:rPr>
                <w:color w:val="auto"/>
                <w:szCs w:val="21"/>
              </w:rPr>
            </w:pPr>
            <w:r>
              <w:rPr>
                <w:rFonts w:hint="eastAsia" w:ascii="宋体" w:hAnsi="宋体" w:cs="宋体"/>
                <w:color w:val="auto"/>
                <w:szCs w:val="21"/>
              </w:rPr>
              <w:t>②</w:t>
            </w:r>
            <w:r>
              <w:rPr>
                <w:color w:val="auto"/>
                <w:szCs w:val="21"/>
              </w:rPr>
              <w:t>选择低噪声设备：在满足工艺设计的前提下，尽量选用满足国际标准的低噪声、低振动型号的设备，降低噪声源强。</w:t>
            </w:r>
          </w:p>
          <w:p>
            <w:pPr>
              <w:adjustRightInd w:val="0"/>
              <w:snapToGrid w:val="0"/>
              <w:spacing w:line="400" w:lineRule="exact"/>
              <w:ind w:firstLine="420" w:firstLineChars="200"/>
              <w:rPr>
                <w:color w:val="auto"/>
                <w:szCs w:val="21"/>
              </w:rPr>
            </w:pPr>
            <w:r>
              <w:rPr>
                <w:rFonts w:hint="eastAsia" w:ascii="宋体" w:hAnsi="宋体" w:cs="宋体"/>
                <w:color w:val="auto"/>
                <w:szCs w:val="21"/>
              </w:rPr>
              <w:t>③</w:t>
            </w:r>
            <w:r>
              <w:rPr>
                <w:color w:val="auto"/>
                <w:szCs w:val="21"/>
              </w:rPr>
              <w:t>隔声、减振：根据噪声产生的性质可分为机械运动噪声及空气动力性噪声，根据其产生的性质和机理不同分别采用了隔声、减振等方式进行了降噪处理。</w:t>
            </w:r>
          </w:p>
          <w:p>
            <w:pPr>
              <w:adjustRightInd w:val="0"/>
              <w:snapToGrid w:val="0"/>
              <w:spacing w:line="400" w:lineRule="exact"/>
              <w:ind w:firstLine="420" w:firstLineChars="200"/>
              <w:rPr>
                <w:color w:val="auto"/>
                <w:szCs w:val="21"/>
              </w:rPr>
            </w:pPr>
            <w:r>
              <w:rPr>
                <w:rFonts w:hint="eastAsia" w:ascii="宋体" w:hAnsi="宋体" w:cs="宋体"/>
                <w:color w:val="auto"/>
                <w:szCs w:val="21"/>
              </w:rPr>
              <w:t>④</w:t>
            </w:r>
            <w:r>
              <w:rPr>
                <w:color w:val="auto"/>
                <w:szCs w:val="21"/>
              </w:rPr>
              <w:t>强化生产管理：确保降噪设施的有效运行，并加强对生产设备的保养、检修与润滑，保证设备处于良好的运转状态。</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（3）达标分析</w:t>
            </w:r>
          </w:p>
          <w:p>
            <w:pPr>
              <w:adjustRightInd w:val="0"/>
              <w:snapToGrid w:val="0"/>
              <w:spacing w:line="400" w:lineRule="exact"/>
              <w:ind w:firstLine="420" w:firstLineChars="200"/>
              <w:rPr>
                <w:color w:val="auto"/>
                <w:szCs w:val="21"/>
              </w:rPr>
            </w:pPr>
            <w:r>
              <w:rPr>
                <w:color w:val="auto"/>
                <w:szCs w:val="21"/>
              </w:rPr>
              <w:t>本项目噪声预测模型及方法使用《环境影响评价技术导则声环境》（HJ2.4-2021）推荐的方法。</w:t>
            </w:r>
          </w:p>
          <w:p>
            <w:pPr>
              <w:adjustRightInd w:val="0"/>
              <w:snapToGrid w:val="0"/>
              <w:spacing w:line="400" w:lineRule="exact"/>
              <w:ind w:firstLine="420" w:firstLineChars="200"/>
              <w:rPr>
                <w:color w:val="auto"/>
                <w:szCs w:val="21"/>
              </w:rPr>
            </w:pPr>
            <w:r>
              <w:rPr>
                <w:color w:val="auto"/>
                <w:szCs w:val="21"/>
              </w:rPr>
              <w:t>A．室外声源在预测点产生的声级计算方法</w:t>
            </w:r>
          </w:p>
          <w:p>
            <w:pPr>
              <w:adjustRightInd w:val="0"/>
              <w:snapToGrid w:val="0"/>
              <w:spacing w:line="400" w:lineRule="exact"/>
              <w:ind w:firstLine="420" w:firstLineChars="200"/>
              <w:rPr>
                <w:color w:val="auto"/>
                <w:szCs w:val="21"/>
              </w:rPr>
            </w:pPr>
            <w:r>
              <w:rPr>
                <w:color w:val="auto"/>
                <w:szCs w:val="21"/>
              </w:rPr>
              <w:t>当声源位于室外，根据《环境影响评价技术导则 声环境》（HJ2.4-2021），采用导则附录A推荐的点声源噪声传播模式进行项目噪声环境影响预测。</w:t>
            </w:r>
          </w:p>
          <w:p>
            <w:pPr>
              <w:adjustRightInd w:val="0"/>
              <w:snapToGrid w:val="0"/>
              <w:spacing w:line="400" w:lineRule="exact"/>
              <w:jc w:val="center"/>
              <w:rPr>
                <w:color w:val="auto"/>
                <w:szCs w:val="21"/>
              </w:rPr>
            </w:pPr>
            <w:r>
              <w:rPr>
                <w:i/>
                <w:iCs/>
                <w:color w:val="auto"/>
                <w:szCs w:val="21"/>
              </w:rPr>
              <w:t>L</w:t>
            </w:r>
            <w:r>
              <w:rPr>
                <w:i/>
                <w:iCs/>
                <w:color w:val="auto"/>
                <w:szCs w:val="21"/>
                <w:vertAlign w:val="subscript"/>
              </w:rPr>
              <w:t>p</w:t>
            </w:r>
            <w:r>
              <w:rPr>
                <w:i/>
                <w:iCs/>
                <w:color w:val="auto"/>
                <w:szCs w:val="21"/>
              </w:rPr>
              <w:t>(r)</w:t>
            </w:r>
            <w:r>
              <w:rPr>
                <w:color w:val="auto"/>
                <w:szCs w:val="21"/>
              </w:rPr>
              <w:t>＝</w:t>
            </w:r>
            <w:r>
              <w:rPr>
                <w:i/>
                <w:iCs/>
                <w:color w:val="auto"/>
                <w:szCs w:val="21"/>
              </w:rPr>
              <w:t>L</w:t>
            </w:r>
            <w:r>
              <w:rPr>
                <w:i/>
                <w:iCs/>
                <w:color w:val="auto"/>
                <w:szCs w:val="21"/>
                <w:vertAlign w:val="subscript"/>
              </w:rPr>
              <w:t>w</w:t>
            </w:r>
            <w:r>
              <w:rPr>
                <w:color w:val="auto"/>
                <w:szCs w:val="21"/>
              </w:rPr>
              <w:t>+</w:t>
            </w:r>
            <w:r>
              <w:rPr>
                <w:i/>
                <w:iCs/>
                <w:color w:val="auto"/>
                <w:szCs w:val="21"/>
              </w:rPr>
              <w:t>D</w:t>
            </w:r>
            <w:r>
              <w:rPr>
                <w:i/>
                <w:iCs/>
                <w:color w:val="auto"/>
                <w:szCs w:val="21"/>
                <w:vertAlign w:val="subscript"/>
              </w:rPr>
              <w:t>C</w:t>
            </w:r>
            <w:r>
              <w:rPr>
                <w:color w:val="auto"/>
                <w:szCs w:val="21"/>
              </w:rPr>
              <w:t>－(</w:t>
            </w:r>
            <w:r>
              <w:rPr>
                <w:i/>
                <w:iCs/>
                <w:color w:val="auto"/>
                <w:szCs w:val="21"/>
              </w:rPr>
              <w:t>A</w:t>
            </w:r>
            <w:r>
              <w:rPr>
                <w:i/>
                <w:iCs/>
                <w:color w:val="auto"/>
                <w:szCs w:val="21"/>
                <w:vertAlign w:val="subscript"/>
              </w:rPr>
              <w:t>div</w:t>
            </w:r>
            <w:r>
              <w:rPr>
                <w:color w:val="auto"/>
                <w:szCs w:val="21"/>
              </w:rPr>
              <w:t>＋</w:t>
            </w:r>
            <w:r>
              <w:rPr>
                <w:i/>
                <w:iCs/>
                <w:color w:val="auto"/>
                <w:szCs w:val="21"/>
              </w:rPr>
              <w:t>A</w:t>
            </w:r>
            <w:r>
              <w:rPr>
                <w:i/>
                <w:iCs/>
                <w:color w:val="auto"/>
                <w:szCs w:val="21"/>
                <w:vertAlign w:val="subscript"/>
              </w:rPr>
              <w:t>atm</w:t>
            </w:r>
            <w:r>
              <w:rPr>
                <w:color w:val="auto"/>
                <w:szCs w:val="21"/>
              </w:rPr>
              <w:t>＋</w:t>
            </w:r>
            <w:r>
              <w:rPr>
                <w:i/>
                <w:iCs/>
                <w:color w:val="auto"/>
                <w:szCs w:val="21"/>
              </w:rPr>
              <w:t>A</w:t>
            </w:r>
            <w:r>
              <w:rPr>
                <w:i/>
                <w:iCs/>
                <w:color w:val="auto"/>
                <w:szCs w:val="21"/>
                <w:vertAlign w:val="subscript"/>
              </w:rPr>
              <w:t>gr</w:t>
            </w:r>
            <w:r>
              <w:rPr>
                <w:color w:val="auto"/>
                <w:szCs w:val="21"/>
              </w:rPr>
              <w:t>＋</w:t>
            </w:r>
            <w:r>
              <w:rPr>
                <w:i/>
                <w:iCs/>
                <w:color w:val="auto"/>
                <w:szCs w:val="21"/>
              </w:rPr>
              <w:t>A</w:t>
            </w:r>
            <w:r>
              <w:rPr>
                <w:i/>
                <w:iCs/>
                <w:color w:val="auto"/>
                <w:szCs w:val="21"/>
                <w:vertAlign w:val="subscript"/>
              </w:rPr>
              <w:t>bar</w:t>
            </w:r>
            <w:r>
              <w:rPr>
                <w:color w:val="auto"/>
                <w:szCs w:val="21"/>
              </w:rPr>
              <w:t>＋</w:t>
            </w:r>
            <w:r>
              <w:rPr>
                <w:i/>
                <w:iCs/>
                <w:color w:val="auto"/>
                <w:szCs w:val="21"/>
              </w:rPr>
              <w:t>A</w:t>
            </w:r>
            <w:r>
              <w:rPr>
                <w:i/>
                <w:iCs/>
                <w:color w:val="auto"/>
                <w:szCs w:val="21"/>
                <w:vertAlign w:val="subscript"/>
              </w:rPr>
              <w:t>misc</w:t>
            </w:r>
            <w:r>
              <w:rPr>
                <w:color w:val="auto"/>
                <w:szCs w:val="21"/>
              </w:rPr>
              <w:t>)</w:t>
            </w:r>
          </w:p>
          <w:p>
            <w:pPr>
              <w:adjustRightInd w:val="0"/>
              <w:snapToGrid w:val="0"/>
              <w:spacing w:line="400" w:lineRule="exact"/>
              <w:ind w:firstLine="420" w:firstLineChars="200"/>
              <w:rPr>
                <w:color w:val="auto"/>
                <w:szCs w:val="21"/>
              </w:rPr>
            </w:pPr>
            <w:r>
              <w:rPr>
                <w:color w:val="auto"/>
                <w:szCs w:val="21"/>
              </w:rPr>
              <w:t>式中：</w:t>
            </w:r>
            <w:r>
              <w:rPr>
                <w:i/>
                <w:iCs/>
                <w:color w:val="auto"/>
                <w:szCs w:val="21"/>
              </w:rPr>
              <w:t>L</w:t>
            </w:r>
            <w:r>
              <w:rPr>
                <w:i/>
                <w:iCs/>
                <w:color w:val="auto"/>
                <w:szCs w:val="21"/>
                <w:vertAlign w:val="subscript"/>
              </w:rPr>
              <w:t>p</w:t>
            </w:r>
            <w:r>
              <w:rPr>
                <w:i/>
                <w:iCs/>
                <w:color w:val="auto"/>
                <w:szCs w:val="21"/>
              </w:rPr>
              <w:t>(r)</w:t>
            </w:r>
            <w:r>
              <w:rPr>
                <w:color w:val="auto"/>
                <w:szCs w:val="21"/>
              </w:rPr>
              <w:t>——预测点处声压级，dB。</w:t>
            </w:r>
          </w:p>
          <w:p>
            <w:pPr>
              <w:adjustRightInd w:val="0"/>
              <w:snapToGrid w:val="0"/>
              <w:spacing w:line="400" w:lineRule="exact"/>
              <w:ind w:firstLine="420" w:firstLineChars="200"/>
              <w:rPr>
                <w:color w:val="auto"/>
                <w:szCs w:val="21"/>
              </w:rPr>
            </w:pPr>
            <w:r>
              <w:rPr>
                <w:i/>
                <w:iCs/>
                <w:color w:val="auto"/>
                <w:szCs w:val="21"/>
              </w:rPr>
              <w:t>L</w:t>
            </w:r>
            <w:r>
              <w:rPr>
                <w:i/>
                <w:iCs/>
                <w:color w:val="auto"/>
                <w:szCs w:val="21"/>
                <w:vertAlign w:val="subscript"/>
              </w:rPr>
              <w:t>w</w:t>
            </w:r>
            <w:r>
              <w:rPr>
                <w:color w:val="auto"/>
                <w:szCs w:val="21"/>
              </w:rPr>
              <w:t>——由点声源产生的声功率级（A计权或倍频带），dB。</w:t>
            </w:r>
          </w:p>
          <w:p>
            <w:pPr>
              <w:adjustRightInd w:val="0"/>
              <w:snapToGrid w:val="0"/>
              <w:spacing w:line="400" w:lineRule="exact"/>
              <w:ind w:firstLine="420" w:firstLineChars="200"/>
              <w:rPr>
                <w:color w:val="auto"/>
                <w:szCs w:val="21"/>
              </w:rPr>
            </w:pPr>
            <w:r>
              <w:rPr>
                <w:i/>
                <w:iCs/>
                <w:color w:val="auto"/>
                <w:szCs w:val="21"/>
              </w:rPr>
              <w:t>D</w:t>
            </w:r>
            <w:r>
              <w:rPr>
                <w:i/>
                <w:iCs/>
                <w:color w:val="auto"/>
                <w:szCs w:val="21"/>
                <w:vertAlign w:val="subscript"/>
              </w:rPr>
              <w:t>C</w:t>
            </w:r>
            <w:r>
              <w:rPr>
                <w:color w:val="auto"/>
                <w:szCs w:val="21"/>
              </w:rPr>
              <w:t>——指向性校正，它描述点声源的等效连续声压级与产生声功率级Lw的全向点声源在规定方向的声级的偏差程度，dB。</w:t>
            </w:r>
          </w:p>
          <w:p>
            <w:pPr>
              <w:adjustRightInd w:val="0"/>
              <w:snapToGrid w:val="0"/>
              <w:spacing w:line="400" w:lineRule="exact"/>
              <w:ind w:firstLine="420" w:firstLineChars="200"/>
              <w:rPr>
                <w:color w:val="auto"/>
                <w:szCs w:val="21"/>
              </w:rPr>
            </w:pPr>
            <w:r>
              <w:rPr>
                <w:i/>
                <w:iCs/>
                <w:color w:val="auto"/>
                <w:szCs w:val="21"/>
              </w:rPr>
              <w:t>A</w:t>
            </w:r>
            <w:r>
              <w:rPr>
                <w:i/>
                <w:iCs/>
                <w:color w:val="auto"/>
                <w:szCs w:val="21"/>
                <w:vertAlign w:val="subscript"/>
              </w:rPr>
              <w:t>div</w:t>
            </w:r>
            <w:r>
              <w:rPr>
                <w:color w:val="auto"/>
                <w:szCs w:val="21"/>
              </w:rPr>
              <w:t>——几何发散引起的衰减，公式：</w:t>
            </w:r>
            <w:r>
              <w:rPr>
                <w:i/>
                <w:iCs/>
                <w:color w:val="auto"/>
                <w:szCs w:val="21"/>
              </w:rPr>
              <w:t>A</w:t>
            </w:r>
            <w:r>
              <w:rPr>
                <w:i/>
                <w:iCs/>
                <w:color w:val="auto"/>
                <w:szCs w:val="21"/>
                <w:vertAlign w:val="subscript"/>
              </w:rPr>
              <w:t>div</w:t>
            </w:r>
            <w:r>
              <w:rPr>
                <w:color w:val="auto"/>
                <w:szCs w:val="21"/>
              </w:rPr>
              <w:t>=20lg(</w:t>
            </w:r>
            <w:r>
              <w:rPr>
                <w:i/>
                <w:iCs/>
                <w:color w:val="auto"/>
                <w:szCs w:val="21"/>
              </w:rPr>
              <w:t>r/r</w:t>
            </w:r>
            <w:r>
              <w:rPr>
                <w:i/>
                <w:iCs/>
                <w:color w:val="auto"/>
                <w:szCs w:val="21"/>
                <w:vertAlign w:val="subscript"/>
              </w:rPr>
              <w:t>0</w:t>
            </w:r>
            <w:r>
              <w:rPr>
                <w:color w:val="auto"/>
                <w:szCs w:val="21"/>
              </w:rPr>
              <w:t>)。</w:t>
            </w:r>
          </w:p>
          <w:p>
            <w:pPr>
              <w:adjustRightInd w:val="0"/>
              <w:snapToGrid w:val="0"/>
              <w:ind w:firstLine="420" w:firstLineChars="200"/>
              <w:rPr>
                <w:color w:val="auto"/>
                <w:szCs w:val="21"/>
              </w:rPr>
            </w:pPr>
            <w:r>
              <w:rPr>
                <w:i/>
                <w:iCs/>
                <w:color w:val="auto"/>
                <w:szCs w:val="21"/>
              </w:rPr>
              <w:t>A</w:t>
            </w:r>
            <w:r>
              <w:rPr>
                <w:i/>
                <w:iCs/>
                <w:color w:val="auto"/>
                <w:szCs w:val="21"/>
                <w:vertAlign w:val="subscript"/>
              </w:rPr>
              <w:t>atm</w:t>
            </w:r>
            <w:r>
              <w:rPr>
                <w:color w:val="auto"/>
                <w:szCs w:val="21"/>
              </w:rPr>
              <w:t>——大气吸收引起的衰减，公式：</w:t>
            </w:r>
            <w:r>
              <w:rPr>
                <w:color w:val="auto"/>
                <w:szCs w:val="21"/>
              </w:rPr>
              <w:drawing>
                <wp:inline distT="0" distB="0" distL="0" distR="0">
                  <wp:extent cx="1000125" cy="419100"/>
                  <wp:effectExtent l="0" t="0" r="9525" b="0"/>
                  <wp:docPr id="68137692" name="图片 6813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7692" name="图片 681376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000125" cy="419100"/>
                          </a:xfrm>
                          <a:prstGeom prst="rect">
                            <a:avLst/>
                          </a:prstGeom>
                          <a:noFill/>
                          <a:ln>
                            <a:noFill/>
                          </a:ln>
                        </pic:spPr>
                      </pic:pic>
                    </a:graphicData>
                  </a:graphic>
                </wp:inline>
              </w:drawing>
            </w:r>
            <w:r>
              <w:rPr>
                <w:color w:val="auto"/>
                <w:szCs w:val="21"/>
              </w:rPr>
              <w:t>，其中</w:t>
            </w:r>
            <w:r>
              <w:rPr>
                <w:i/>
                <w:iCs/>
                <w:color w:val="auto"/>
                <w:szCs w:val="21"/>
              </w:rPr>
              <w:t>a</w:t>
            </w:r>
            <w:r>
              <w:rPr>
                <w:color w:val="auto"/>
                <w:szCs w:val="21"/>
              </w:rPr>
              <w:t>为大气吸收衰减系数。</w:t>
            </w:r>
          </w:p>
          <w:p>
            <w:pPr>
              <w:adjustRightInd w:val="0"/>
              <w:snapToGrid w:val="0"/>
              <w:spacing w:line="400" w:lineRule="exact"/>
              <w:ind w:firstLine="420" w:firstLineChars="200"/>
              <w:rPr>
                <w:color w:val="auto"/>
                <w:szCs w:val="21"/>
              </w:rPr>
            </w:pPr>
            <w:r>
              <w:rPr>
                <w:i/>
                <w:iCs/>
                <w:color w:val="auto"/>
                <w:szCs w:val="21"/>
              </w:rPr>
              <w:t>A</w:t>
            </w:r>
            <w:r>
              <w:rPr>
                <w:i/>
                <w:iCs/>
                <w:color w:val="auto"/>
                <w:szCs w:val="21"/>
                <w:vertAlign w:val="subscript"/>
              </w:rPr>
              <w:t>bar</w:t>
            </w:r>
            <w:r>
              <w:rPr>
                <w:color w:val="auto"/>
                <w:szCs w:val="21"/>
              </w:rPr>
              <w:t>——障碍物屏蔽引起的衰减。在单绕射（即薄屏障）情况，衰减最大取20dB(A)；在双绕射（即厚屏障）情况，衰减最大取25dB(A)。</w:t>
            </w:r>
          </w:p>
          <w:p>
            <w:pPr>
              <w:adjustRightInd w:val="0"/>
              <w:snapToGrid w:val="0"/>
              <w:ind w:firstLine="420" w:firstLineChars="200"/>
              <w:rPr>
                <w:color w:val="auto"/>
                <w:szCs w:val="21"/>
              </w:rPr>
            </w:pPr>
            <w:r>
              <w:rPr>
                <w:i/>
                <w:iCs/>
                <w:color w:val="auto"/>
                <w:szCs w:val="21"/>
              </w:rPr>
              <w:t>A</w:t>
            </w:r>
            <w:r>
              <w:rPr>
                <w:i/>
                <w:iCs/>
                <w:color w:val="auto"/>
                <w:szCs w:val="21"/>
                <w:vertAlign w:val="subscript"/>
              </w:rPr>
              <w:t>gr</w:t>
            </w:r>
            <w:r>
              <w:rPr>
                <w:color w:val="auto"/>
                <w:szCs w:val="21"/>
              </w:rPr>
              <w:t>——地面效应引起的衰减，公式：</w:t>
            </w:r>
            <w:r>
              <w:rPr>
                <w:color w:val="auto"/>
                <w:szCs w:val="21"/>
              </w:rPr>
              <w:drawing>
                <wp:inline distT="0" distB="0" distL="0" distR="0">
                  <wp:extent cx="1876425" cy="419100"/>
                  <wp:effectExtent l="0" t="0" r="9525" b="0"/>
                  <wp:docPr id="1195768716" name="图片 119576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68716" name="图片 11957687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76425" cy="419100"/>
                          </a:xfrm>
                          <a:prstGeom prst="rect">
                            <a:avLst/>
                          </a:prstGeom>
                          <a:noFill/>
                          <a:ln>
                            <a:noFill/>
                          </a:ln>
                        </pic:spPr>
                      </pic:pic>
                    </a:graphicData>
                  </a:graphic>
                </wp:inline>
              </w:drawing>
            </w:r>
            <w:r>
              <w:rPr>
                <w:color w:val="auto"/>
                <w:szCs w:val="21"/>
              </w:rPr>
              <w:t>，其中</w:t>
            </w:r>
            <w:r>
              <w:rPr>
                <w:i/>
                <w:iCs/>
                <w:color w:val="auto"/>
                <w:szCs w:val="21"/>
              </w:rPr>
              <w:t>h</w:t>
            </w:r>
            <w:r>
              <w:rPr>
                <w:i/>
                <w:iCs/>
                <w:color w:val="auto"/>
                <w:szCs w:val="21"/>
                <w:vertAlign w:val="subscript"/>
              </w:rPr>
              <w:t>m</w:t>
            </w:r>
            <w:r>
              <w:rPr>
                <w:color w:val="auto"/>
                <w:szCs w:val="21"/>
              </w:rPr>
              <w:t>为传播路径的平均离地高度（m）。</w:t>
            </w:r>
          </w:p>
          <w:p>
            <w:pPr>
              <w:adjustRightInd w:val="0"/>
              <w:snapToGrid w:val="0"/>
              <w:spacing w:line="400" w:lineRule="exact"/>
              <w:ind w:firstLine="420" w:firstLineChars="200"/>
              <w:rPr>
                <w:color w:val="auto"/>
                <w:szCs w:val="21"/>
              </w:rPr>
            </w:pPr>
            <w:r>
              <w:rPr>
                <w:i/>
                <w:iCs/>
                <w:color w:val="auto"/>
                <w:szCs w:val="21"/>
              </w:rPr>
              <w:t>A</w:t>
            </w:r>
            <w:r>
              <w:rPr>
                <w:i/>
                <w:iCs/>
                <w:color w:val="auto"/>
                <w:szCs w:val="21"/>
                <w:vertAlign w:val="subscript"/>
              </w:rPr>
              <w:t>misc</w:t>
            </w:r>
            <w:r>
              <w:rPr>
                <w:color w:val="auto"/>
                <w:szCs w:val="21"/>
              </w:rPr>
              <w:t>——其他多方面效应引起的衰减。</w:t>
            </w:r>
          </w:p>
          <w:p>
            <w:pPr>
              <w:adjustRightInd w:val="0"/>
              <w:snapToGrid w:val="0"/>
              <w:spacing w:line="400" w:lineRule="exact"/>
              <w:ind w:firstLine="420" w:firstLineChars="200"/>
              <w:rPr>
                <w:color w:val="auto"/>
                <w:szCs w:val="21"/>
              </w:rPr>
            </w:pPr>
            <w:r>
              <w:rPr>
                <w:color w:val="auto"/>
                <w:szCs w:val="21"/>
              </w:rPr>
              <w:t>B．室内声源等效室外声源声功率级计算方法</w:t>
            </w:r>
          </w:p>
          <w:p>
            <w:pPr>
              <w:adjustRightInd w:val="0"/>
              <w:snapToGrid w:val="0"/>
              <w:spacing w:line="400" w:lineRule="exact"/>
              <w:ind w:firstLine="420" w:firstLineChars="200"/>
              <w:rPr>
                <w:color w:val="auto"/>
                <w:szCs w:val="21"/>
              </w:rPr>
            </w:pPr>
            <w:r>
              <w:rPr>
                <w:color w:val="auto"/>
                <w:szCs w:val="21"/>
              </w:rPr>
              <w:t>当声源位于室内，可采用等效室外声源声功率级法进行计算。设靠近开口处（或窗户）室内、室外某倍频带的声压级或A声级分别为</w:t>
            </w:r>
            <w:r>
              <w:rPr>
                <w:i/>
                <w:iCs/>
                <w:color w:val="auto"/>
                <w:szCs w:val="21"/>
              </w:rPr>
              <w:t>L</w:t>
            </w:r>
            <w:r>
              <w:rPr>
                <w:i/>
                <w:iCs/>
                <w:color w:val="auto"/>
                <w:szCs w:val="21"/>
                <w:vertAlign w:val="subscript"/>
              </w:rPr>
              <w:t>p1</w:t>
            </w:r>
            <w:r>
              <w:rPr>
                <w:color w:val="auto"/>
                <w:szCs w:val="21"/>
              </w:rPr>
              <w:t>和</w:t>
            </w:r>
            <w:r>
              <w:rPr>
                <w:i/>
                <w:iCs/>
                <w:color w:val="auto"/>
                <w:szCs w:val="21"/>
              </w:rPr>
              <w:t>L</w:t>
            </w:r>
            <w:r>
              <w:rPr>
                <w:i/>
                <w:iCs/>
                <w:color w:val="auto"/>
                <w:szCs w:val="21"/>
                <w:vertAlign w:val="subscript"/>
              </w:rPr>
              <w:t>p2</w:t>
            </w:r>
            <w:r>
              <w:rPr>
                <w:color w:val="auto"/>
                <w:szCs w:val="21"/>
              </w:rPr>
              <w:t>。若声源所在室内声场为近似扩散声场，则室外的倍频带声压级可按下列公式近似求出：</w:t>
            </w:r>
          </w:p>
          <w:p>
            <w:pPr>
              <w:pStyle w:val="382"/>
              <w:adjustRightInd w:val="0"/>
              <w:spacing w:line="400" w:lineRule="exact"/>
              <w:ind w:firstLine="155" w:firstLineChars="74"/>
              <w:jc w:val="center"/>
              <w:rPr>
                <w:rFonts w:eastAsia="宋体"/>
                <w:snapToGrid w:val="0"/>
                <w:color w:val="auto"/>
                <w:kern w:val="0"/>
                <w:sz w:val="21"/>
                <w:szCs w:val="21"/>
              </w:rPr>
            </w:pPr>
            <w:r>
              <w:rPr>
                <w:rFonts w:eastAsia="宋体"/>
                <w:i/>
                <w:iCs/>
                <w:snapToGrid w:val="0"/>
                <w:color w:val="auto"/>
                <w:kern w:val="0"/>
                <w:sz w:val="21"/>
                <w:szCs w:val="21"/>
              </w:rPr>
              <w:t>L</w:t>
            </w:r>
            <w:r>
              <w:rPr>
                <w:rFonts w:eastAsia="宋体"/>
                <w:i/>
                <w:iCs/>
                <w:snapToGrid w:val="0"/>
                <w:color w:val="auto"/>
                <w:kern w:val="0"/>
                <w:sz w:val="21"/>
                <w:szCs w:val="21"/>
                <w:vertAlign w:val="subscript"/>
              </w:rPr>
              <w:t>p2</w:t>
            </w:r>
            <w:r>
              <w:rPr>
                <w:rFonts w:eastAsia="宋体"/>
                <w:snapToGrid w:val="0"/>
                <w:color w:val="auto"/>
                <w:kern w:val="0"/>
                <w:sz w:val="21"/>
                <w:szCs w:val="21"/>
              </w:rPr>
              <w:t xml:space="preserve">= </w:t>
            </w:r>
            <w:r>
              <w:rPr>
                <w:rFonts w:eastAsia="宋体"/>
                <w:i/>
                <w:iCs/>
                <w:snapToGrid w:val="0"/>
                <w:color w:val="auto"/>
                <w:kern w:val="0"/>
                <w:sz w:val="21"/>
                <w:szCs w:val="21"/>
              </w:rPr>
              <w:t>L</w:t>
            </w:r>
            <w:r>
              <w:rPr>
                <w:rFonts w:eastAsia="宋体"/>
                <w:i/>
                <w:iCs/>
                <w:snapToGrid w:val="0"/>
                <w:color w:val="auto"/>
                <w:kern w:val="0"/>
                <w:sz w:val="21"/>
                <w:szCs w:val="21"/>
                <w:vertAlign w:val="subscript"/>
              </w:rPr>
              <w:t>p1</w:t>
            </w:r>
            <w:r>
              <w:rPr>
                <w:rFonts w:eastAsia="宋体"/>
                <w:snapToGrid w:val="0"/>
                <w:color w:val="auto"/>
                <w:kern w:val="0"/>
                <w:sz w:val="21"/>
                <w:szCs w:val="21"/>
              </w:rPr>
              <w:t>-（</w:t>
            </w:r>
            <w:r>
              <w:rPr>
                <w:rFonts w:eastAsia="宋体"/>
                <w:i/>
                <w:iCs/>
                <w:snapToGrid w:val="0"/>
                <w:color w:val="auto"/>
                <w:kern w:val="0"/>
                <w:sz w:val="21"/>
                <w:szCs w:val="21"/>
              </w:rPr>
              <w:t>TL</w:t>
            </w:r>
            <w:r>
              <w:rPr>
                <w:rFonts w:eastAsia="宋体"/>
                <w:snapToGrid w:val="0"/>
                <w:color w:val="auto"/>
                <w:kern w:val="0"/>
                <w:sz w:val="21"/>
                <w:szCs w:val="21"/>
              </w:rPr>
              <w:t>+6）</w:t>
            </w:r>
          </w:p>
          <w:p>
            <w:pPr>
              <w:adjustRightInd w:val="0"/>
              <w:snapToGrid w:val="0"/>
              <w:spacing w:line="400" w:lineRule="exact"/>
              <w:ind w:firstLine="420" w:firstLineChars="200"/>
              <w:rPr>
                <w:color w:val="auto"/>
                <w:szCs w:val="21"/>
              </w:rPr>
            </w:pPr>
            <w:r>
              <w:rPr>
                <w:color w:val="auto"/>
                <w:szCs w:val="21"/>
              </w:rPr>
              <w:t>式中：</w:t>
            </w:r>
            <w:r>
              <w:rPr>
                <w:i/>
                <w:iCs/>
                <w:color w:val="auto"/>
                <w:szCs w:val="21"/>
              </w:rPr>
              <w:t>L</w:t>
            </w:r>
            <w:r>
              <w:rPr>
                <w:i/>
                <w:iCs/>
                <w:color w:val="auto"/>
                <w:szCs w:val="21"/>
                <w:vertAlign w:val="subscript"/>
              </w:rPr>
              <w:t>p1</w:t>
            </w:r>
            <w:r>
              <w:rPr>
                <w:color w:val="auto"/>
                <w:szCs w:val="21"/>
              </w:rPr>
              <w:t>——靠近开口处（或窗户）室内某倍频带的声压级或A声级，dB；</w:t>
            </w:r>
          </w:p>
          <w:p>
            <w:pPr>
              <w:adjustRightInd w:val="0"/>
              <w:snapToGrid w:val="0"/>
              <w:spacing w:line="400" w:lineRule="exact"/>
              <w:ind w:firstLine="1050" w:firstLineChars="500"/>
              <w:rPr>
                <w:color w:val="auto"/>
                <w:szCs w:val="21"/>
              </w:rPr>
            </w:pPr>
            <w:r>
              <w:rPr>
                <w:i/>
                <w:iCs/>
                <w:color w:val="auto"/>
                <w:szCs w:val="21"/>
              </w:rPr>
              <w:t>L</w:t>
            </w:r>
            <w:r>
              <w:rPr>
                <w:i/>
                <w:iCs/>
                <w:color w:val="auto"/>
                <w:szCs w:val="21"/>
                <w:vertAlign w:val="subscript"/>
              </w:rPr>
              <w:t>p2</w:t>
            </w:r>
            <w:r>
              <w:rPr>
                <w:color w:val="auto"/>
                <w:szCs w:val="21"/>
              </w:rPr>
              <w:t>——靠近开口处（或窗户）室外某倍频带的声压级或A声级，dB；</w:t>
            </w:r>
          </w:p>
          <w:p>
            <w:pPr>
              <w:adjustRightInd w:val="0"/>
              <w:snapToGrid w:val="0"/>
              <w:spacing w:line="400" w:lineRule="exact"/>
              <w:ind w:firstLine="1050" w:firstLineChars="500"/>
              <w:rPr>
                <w:color w:val="auto"/>
                <w:szCs w:val="21"/>
              </w:rPr>
            </w:pPr>
            <w:r>
              <w:rPr>
                <w:i/>
                <w:iCs/>
                <w:color w:val="auto"/>
                <w:szCs w:val="21"/>
              </w:rPr>
              <w:t>TL</w:t>
            </w:r>
            <w:r>
              <w:rPr>
                <w:color w:val="auto"/>
                <w:szCs w:val="21"/>
              </w:rPr>
              <w:t>——隔墙（或窗户）倍频带或A声级的隔声量，dB。</w:t>
            </w:r>
          </w:p>
          <w:p>
            <w:pPr>
              <w:adjustRightInd w:val="0"/>
              <w:snapToGrid w:val="0"/>
              <w:spacing w:line="400" w:lineRule="exact"/>
              <w:ind w:firstLine="420" w:firstLineChars="200"/>
              <w:rPr>
                <w:color w:val="auto"/>
                <w:szCs w:val="21"/>
              </w:rPr>
            </w:pPr>
            <w:r>
              <w:rPr>
                <w:color w:val="auto"/>
                <w:szCs w:val="21"/>
              </w:rPr>
              <w:t>C．声级计算</w:t>
            </w:r>
          </w:p>
          <w:p>
            <w:pPr>
              <w:adjustRightInd w:val="0"/>
              <w:snapToGrid w:val="0"/>
              <w:spacing w:line="400" w:lineRule="exact"/>
              <w:ind w:firstLine="420" w:firstLineChars="200"/>
              <w:rPr>
                <w:color w:val="auto"/>
                <w:szCs w:val="21"/>
              </w:rPr>
            </w:pPr>
            <w:r>
              <w:rPr>
                <w:rFonts w:hint="eastAsia" w:ascii="宋体" w:hAnsi="宋体" w:cs="宋体"/>
                <w:color w:val="auto"/>
                <w:szCs w:val="21"/>
              </w:rPr>
              <w:t>①</w:t>
            </w:r>
            <w:r>
              <w:rPr>
                <w:color w:val="auto"/>
                <w:szCs w:val="21"/>
              </w:rPr>
              <w:t>贡献值计算（工业企业噪声）</w:t>
            </w:r>
          </w:p>
          <w:p>
            <w:pPr>
              <w:adjustRightInd w:val="0"/>
              <w:snapToGrid w:val="0"/>
              <w:spacing w:line="400" w:lineRule="exact"/>
              <w:ind w:firstLine="420" w:firstLineChars="200"/>
              <w:rPr>
                <w:color w:val="auto"/>
                <w:szCs w:val="21"/>
              </w:rPr>
            </w:pPr>
            <w:r>
              <w:rPr>
                <w:color w:val="auto"/>
                <w:szCs w:val="21"/>
              </w:rPr>
              <w:t>设第</w:t>
            </w:r>
            <w:r>
              <w:rPr>
                <w:i/>
                <w:iCs/>
                <w:color w:val="auto"/>
                <w:szCs w:val="21"/>
              </w:rPr>
              <w:t>i</w:t>
            </w:r>
            <w:r>
              <w:rPr>
                <w:color w:val="auto"/>
                <w:szCs w:val="21"/>
              </w:rPr>
              <w:t>个室外声源在预测点产生的A 声级为</w:t>
            </w:r>
            <w:r>
              <w:rPr>
                <w:i/>
                <w:iCs/>
                <w:color w:val="auto"/>
                <w:szCs w:val="21"/>
              </w:rPr>
              <w:t>L</w:t>
            </w:r>
            <w:r>
              <w:rPr>
                <w:i/>
                <w:iCs/>
                <w:color w:val="auto"/>
                <w:szCs w:val="21"/>
                <w:vertAlign w:val="subscript"/>
              </w:rPr>
              <w:t>Ai</w:t>
            </w:r>
            <w:r>
              <w:rPr>
                <w:color w:val="auto"/>
                <w:szCs w:val="21"/>
              </w:rPr>
              <w:t>，在</w:t>
            </w:r>
            <w:r>
              <w:rPr>
                <w:i/>
                <w:iCs/>
                <w:color w:val="auto"/>
                <w:szCs w:val="21"/>
              </w:rPr>
              <w:t>T</w:t>
            </w:r>
            <w:r>
              <w:rPr>
                <w:color w:val="auto"/>
                <w:szCs w:val="21"/>
              </w:rPr>
              <w:t>时间内该声源工作时间为</w:t>
            </w:r>
            <w:r>
              <w:rPr>
                <w:i/>
                <w:iCs/>
                <w:color w:val="auto"/>
                <w:szCs w:val="21"/>
              </w:rPr>
              <w:t>t</w:t>
            </w:r>
            <w:r>
              <w:rPr>
                <w:i/>
                <w:iCs/>
                <w:color w:val="auto"/>
                <w:szCs w:val="21"/>
                <w:vertAlign w:val="subscript"/>
              </w:rPr>
              <w:t>i</w:t>
            </w:r>
            <w:r>
              <w:rPr>
                <w:color w:val="auto"/>
                <w:szCs w:val="21"/>
              </w:rPr>
              <w:t>；第</w:t>
            </w:r>
            <w:r>
              <w:rPr>
                <w:i/>
                <w:iCs/>
                <w:color w:val="auto"/>
                <w:szCs w:val="21"/>
              </w:rPr>
              <w:t>j</w:t>
            </w:r>
            <w:r>
              <w:rPr>
                <w:color w:val="auto"/>
                <w:szCs w:val="21"/>
              </w:rPr>
              <w:t>个等效室外声源在预测点产生的A 声级为</w:t>
            </w:r>
            <w:r>
              <w:rPr>
                <w:i/>
                <w:iCs/>
                <w:color w:val="auto"/>
                <w:szCs w:val="21"/>
              </w:rPr>
              <w:t>L</w:t>
            </w:r>
            <w:r>
              <w:rPr>
                <w:i/>
                <w:iCs/>
                <w:color w:val="auto"/>
                <w:szCs w:val="21"/>
                <w:vertAlign w:val="subscript"/>
              </w:rPr>
              <w:t>Aj</w:t>
            </w:r>
            <w:r>
              <w:rPr>
                <w:color w:val="auto"/>
                <w:szCs w:val="21"/>
              </w:rPr>
              <w:t>，在</w:t>
            </w:r>
            <w:r>
              <w:rPr>
                <w:i/>
                <w:iCs/>
                <w:color w:val="auto"/>
                <w:szCs w:val="21"/>
              </w:rPr>
              <w:t>T</w:t>
            </w:r>
            <w:r>
              <w:rPr>
                <w:color w:val="auto"/>
                <w:szCs w:val="21"/>
              </w:rPr>
              <w:t>时间内该声源工作时间为</w:t>
            </w:r>
            <w:r>
              <w:rPr>
                <w:i/>
                <w:iCs/>
                <w:color w:val="auto"/>
                <w:szCs w:val="21"/>
              </w:rPr>
              <w:t>t</w:t>
            </w:r>
            <w:r>
              <w:rPr>
                <w:i/>
                <w:iCs/>
                <w:color w:val="auto"/>
                <w:szCs w:val="21"/>
                <w:vertAlign w:val="subscript"/>
              </w:rPr>
              <w:t>j</w:t>
            </w:r>
            <w:r>
              <w:rPr>
                <w:color w:val="auto"/>
                <w:szCs w:val="21"/>
              </w:rPr>
              <w:t>，则拟建工程声源对预测点产生的贡献值（</w:t>
            </w:r>
            <w:r>
              <w:rPr>
                <w:i/>
                <w:iCs/>
                <w:color w:val="auto"/>
                <w:szCs w:val="21"/>
              </w:rPr>
              <w:t>L</w:t>
            </w:r>
            <w:r>
              <w:rPr>
                <w:i/>
                <w:iCs/>
                <w:color w:val="auto"/>
                <w:szCs w:val="21"/>
                <w:vertAlign w:val="subscript"/>
              </w:rPr>
              <w:t>eqg</w:t>
            </w:r>
            <w:r>
              <w:rPr>
                <w:color w:val="auto"/>
                <w:szCs w:val="21"/>
              </w:rPr>
              <w:t>）为：</w:t>
            </w:r>
          </w:p>
          <w:p>
            <w:pPr>
              <w:adjustRightInd w:val="0"/>
              <w:snapToGrid w:val="0"/>
              <w:jc w:val="center"/>
              <w:rPr>
                <w:color w:val="auto"/>
                <w:szCs w:val="21"/>
              </w:rPr>
            </w:pPr>
            <w:r>
              <w:rPr>
                <w:color w:val="auto"/>
                <w:szCs w:val="21"/>
              </w:rPr>
              <w:drawing>
                <wp:inline distT="0" distB="0" distL="0" distR="0">
                  <wp:extent cx="2766060" cy="560705"/>
                  <wp:effectExtent l="0" t="0" r="0" b="0"/>
                  <wp:docPr id="139525431" name="图片 11" descr="文本&#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431" name="图片 11" descr="文本&#10;&#10;中度可信度描述已自动生成"/>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766060" cy="560705"/>
                          </a:xfrm>
                          <a:prstGeom prst="rect">
                            <a:avLst/>
                          </a:prstGeom>
                        </pic:spPr>
                      </pic:pic>
                    </a:graphicData>
                  </a:graphic>
                </wp:inline>
              </w:drawing>
            </w:r>
          </w:p>
          <w:p>
            <w:pPr>
              <w:adjustRightInd w:val="0"/>
              <w:snapToGrid w:val="0"/>
              <w:spacing w:line="380" w:lineRule="exact"/>
              <w:ind w:firstLine="420" w:firstLineChars="200"/>
              <w:rPr>
                <w:color w:val="auto"/>
                <w:szCs w:val="21"/>
              </w:rPr>
            </w:pPr>
            <w:r>
              <w:rPr>
                <w:color w:val="auto"/>
                <w:szCs w:val="21"/>
              </w:rPr>
              <w:t>式中：</w:t>
            </w:r>
            <w:r>
              <w:rPr>
                <w:i/>
                <w:iCs/>
                <w:color w:val="auto"/>
                <w:szCs w:val="21"/>
              </w:rPr>
              <w:t>L</w:t>
            </w:r>
            <w:r>
              <w:rPr>
                <w:i/>
                <w:iCs/>
                <w:color w:val="auto"/>
                <w:szCs w:val="21"/>
                <w:vertAlign w:val="subscript"/>
              </w:rPr>
              <w:t>eqg</w:t>
            </w:r>
            <w:r>
              <w:rPr>
                <w:color w:val="auto"/>
                <w:szCs w:val="21"/>
              </w:rPr>
              <w:t>——建设项目声源在预测点产生的噪声贡献值，dB；</w:t>
            </w:r>
          </w:p>
          <w:p>
            <w:pPr>
              <w:adjustRightInd w:val="0"/>
              <w:snapToGrid w:val="0"/>
              <w:spacing w:line="380" w:lineRule="exact"/>
              <w:ind w:firstLine="1050" w:firstLineChars="500"/>
              <w:rPr>
                <w:color w:val="auto"/>
                <w:szCs w:val="21"/>
              </w:rPr>
            </w:pPr>
            <w:r>
              <w:rPr>
                <w:i/>
                <w:iCs/>
                <w:color w:val="auto"/>
                <w:szCs w:val="21"/>
              </w:rPr>
              <w:t>T</w:t>
            </w:r>
            <w:r>
              <w:rPr>
                <w:color w:val="auto"/>
                <w:szCs w:val="21"/>
              </w:rPr>
              <w:t>——用于计算等效声级的时间，s；</w:t>
            </w:r>
          </w:p>
          <w:p>
            <w:pPr>
              <w:adjustRightInd w:val="0"/>
              <w:snapToGrid w:val="0"/>
              <w:spacing w:line="380" w:lineRule="exact"/>
              <w:ind w:firstLine="1050" w:firstLineChars="500"/>
              <w:rPr>
                <w:color w:val="auto"/>
                <w:szCs w:val="21"/>
              </w:rPr>
            </w:pPr>
            <w:r>
              <w:rPr>
                <w:i/>
                <w:iCs/>
                <w:color w:val="auto"/>
                <w:szCs w:val="21"/>
              </w:rPr>
              <w:t>N</w:t>
            </w:r>
            <w:r>
              <w:rPr>
                <w:color w:val="auto"/>
                <w:szCs w:val="21"/>
              </w:rPr>
              <w:t>——室外声源个数；</w:t>
            </w:r>
          </w:p>
          <w:p>
            <w:pPr>
              <w:adjustRightInd w:val="0"/>
              <w:snapToGrid w:val="0"/>
              <w:spacing w:line="380" w:lineRule="exact"/>
              <w:ind w:firstLine="1050" w:firstLineChars="500"/>
              <w:rPr>
                <w:color w:val="auto"/>
                <w:szCs w:val="21"/>
              </w:rPr>
            </w:pPr>
            <w:r>
              <w:rPr>
                <w:i/>
                <w:iCs/>
                <w:color w:val="auto"/>
                <w:szCs w:val="21"/>
              </w:rPr>
              <w:t>t</w:t>
            </w:r>
            <w:r>
              <w:rPr>
                <w:i/>
                <w:iCs/>
                <w:color w:val="auto"/>
                <w:szCs w:val="21"/>
                <w:vertAlign w:val="subscript"/>
              </w:rPr>
              <w:t>i</w:t>
            </w:r>
            <w:r>
              <w:rPr>
                <w:color w:val="auto"/>
                <w:szCs w:val="21"/>
              </w:rPr>
              <w:t>——在</w:t>
            </w:r>
            <w:r>
              <w:rPr>
                <w:i/>
                <w:iCs/>
                <w:color w:val="auto"/>
                <w:szCs w:val="21"/>
              </w:rPr>
              <w:t>T</w:t>
            </w:r>
            <w:r>
              <w:rPr>
                <w:color w:val="auto"/>
                <w:szCs w:val="21"/>
              </w:rPr>
              <w:t>时间内</w:t>
            </w:r>
            <w:r>
              <w:rPr>
                <w:i/>
                <w:iCs/>
                <w:color w:val="auto"/>
                <w:szCs w:val="21"/>
              </w:rPr>
              <w:t>i</w:t>
            </w:r>
            <w:r>
              <w:rPr>
                <w:color w:val="auto"/>
                <w:szCs w:val="21"/>
              </w:rPr>
              <w:t>声源工作时间，s；</w:t>
            </w:r>
          </w:p>
          <w:p>
            <w:pPr>
              <w:adjustRightInd w:val="0"/>
              <w:snapToGrid w:val="0"/>
              <w:spacing w:line="380" w:lineRule="exact"/>
              <w:ind w:firstLine="1050" w:firstLineChars="500"/>
              <w:rPr>
                <w:color w:val="auto"/>
                <w:szCs w:val="21"/>
              </w:rPr>
            </w:pPr>
            <w:r>
              <w:rPr>
                <w:i/>
                <w:iCs/>
                <w:color w:val="auto"/>
                <w:szCs w:val="21"/>
              </w:rPr>
              <w:t>M</w:t>
            </w:r>
            <w:r>
              <w:rPr>
                <w:color w:val="auto"/>
                <w:szCs w:val="21"/>
              </w:rPr>
              <w:t>——等效室外声源个数；</w:t>
            </w:r>
          </w:p>
          <w:p>
            <w:pPr>
              <w:adjustRightInd w:val="0"/>
              <w:snapToGrid w:val="0"/>
              <w:spacing w:line="380" w:lineRule="exact"/>
              <w:ind w:firstLine="1050" w:firstLineChars="500"/>
              <w:rPr>
                <w:color w:val="auto"/>
                <w:szCs w:val="21"/>
              </w:rPr>
            </w:pPr>
            <w:r>
              <w:rPr>
                <w:i/>
                <w:iCs/>
                <w:color w:val="auto"/>
                <w:szCs w:val="21"/>
              </w:rPr>
              <w:t>t</w:t>
            </w:r>
            <w:r>
              <w:rPr>
                <w:i/>
                <w:iCs/>
                <w:color w:val="auto"/>
                <w:szCs w:val="21"/>
                <w:vertAlign w:val="subscript"/>
              </w:rPr>
              <w:t>j</w:t>
            </w:r>
            <w:r>
              <w:rPr>
                <w:color w:val="auto"/>
                <w:szCs w:val="21"/>
              </w:rPr>
              <w:t>——在</w:t>
            </w:r>
            <w:r>
              <w:rPr>
                <w:i/>
                <w:iCs/>
                <w:color w:val="auto"/>
                <w:szCs w:val="21"/>
              </w:rPr>
              <w:t>T</w:t>
            </w:r>
            <w:r>
              <w:rPr>
                <w:color w:val="auto"/>
                <w:szCs w:val="21"/>
              </w:rPr>
              <w:t>时间内</w:t>
            </w:r>
            <w:r>
              <w:rPr>
                <w:i/>
                <w:iCs/>
                <w:color w:val="auto"/>
                <w:szCs w:val="21"/>
              </w:rPr>
              <w:t>j</w:t>
            </w:r>
            <w:r>
              <w:rPr>
                <w:color w:val="auto"/>
                <w:szCs w:val="21"/>
              </w:rPr>
              <w:t>声源工作时间，s。</w:t>
            </w:r>
          </w:p>
          <w:p>
            <w:pPr>
              <w:adjustRightInd w:val="0"/>
              <w:snapToGrid w:val="0"/>
              <w:spacing w:line="380" w:lineRule="exact"/>
              <w:ind w:firstLine="420" w:firstLineChars="200"/>
              <w:rPr>
                <w:color w:val="auto"/>
                <w:szCs w:val="21"/>
              </w:rPr>
            </w:pPr>
            <w:r>
              <w:rPr>
                <w:rFonts w:hint="eastAsia" w:ascii="宋体" w:hAnsi="宋体" w:cs="宋体"/>
                <w:color w:val="auto"/>
                <w:szCs w:val="21"/>
              </w:rPr>
              <w:t>②</w:t>
            </w:r>
            <w:r>
              <w:rPr>
                <w:color w:val="auto"/>
                <w:szCs w:val="21"/>
              </w:rPr>
              <w:t>预测值计算</w:t>
            </w:r>
          </w:p>
          <w:p>
            <w:pPr>
              <w:adjustRightInd w:val="0"/>
              <w:snapToGrid w:val="0"/>
              <w:spacing w:line="380" w:lineRule="exact"/>
              <w:ind w:firstLine="420" w:firstLineChars="200"/>
              <w:rPr>
                <w:color w:val="auto"/>
                <w:szCs w:val="21"/>
              </w:rPr>
            </w:pPr>
            <w:r>
              <w:rPr>
                <w:color w:val="auto"/>
                <w:szCs w:val="21"/>
              </w:rPr>
              <w:t>预测点的贡献值和背景值按能量叠加计算方法得到的声级，噪声预测值计算公式（</w:t>
            </w:r>
            <w:r>
              <w:rPr>
                <w:i/>
                <w:iCs/>
                <w:color w:val="auto"/>
                <w:szCs w:val="21"/>
              </w:rPr>
              <w:t>L</w:t>
            </w:r>
            <w:r>
              <w:rPr>
                <w:i/>
                <w:iCs/>
                <w:color w:val="auto"/>
                <w:szCs w:val="21"/>
                <w:vertAlign w:val="subscript"/>
              </w:rPr>
              <w:t>eq</w:t>
            </w:r>
            <w:r>
              <w:rPr>
                <w:color w:val="auto"/>
                <w:szCs w:val="21"/>
              </w:rPr>
              <w:t>）如下：</w:t>
            </w:r>
          </w:p>
          <w:p>
            <w:pPr>
              <w:adjustRightInd w:val="0"/>
              <w:snapToGrid w:val="0"/>
              <w:spacing w:line="400" w:lineRule="exact"/>
              <w:jc w:val="center"/>
              <w:rPr>
                <w:color w:val="auto"/>
                <w:szCs w:val="21"/>
              </w:rPr>
            </w:pPr>
            <w:r>
              <w:rPr>
                <w:color w:val="auto"/>
                <w:szCs w:val="21"/>
              </w:rPr>
              <w:drawing>
                <wp:inline distT="0" distB="0" distL="0" distR="0">
                  <wp:extent cx="1724025" cy="266700"/>
                  <wp:effectExtent l="0" t="0" r="9525" b="0"/>
                  <wp:docPr id="1852658259" name="图片 1852658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658259" name="图片 185265825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24025" cy="266700"/>
                          </a:xfrm>
                          <a:prstGeom prst="rect">
                            <a:avLst/>
                          </a:prstGeom>
                          <a:noFill/>
                          <a:ln>
                            <a:noFill/>
                          </a:ln>
                        </pic:spPr>
                      </pic:pic>
                    </a:graphicData>
                  </a:graphic>
                </wp:inline>
              </w:drawing>
            </w:r>
          </w:p>
          <w:p>
            <w:pPr>
              <w:adjustRightInd w:val="0"/>
              <w:snapToGrid w:val="0"/>
              <w:spacing w:line="380" w:lineRule="exact"/>
              <w:ind w:firstLine="420" w:firstLineChars="200"/>
              <w:rPr>
                <w:color w:val="auto"/>
                <w:szCs w:val="21"/>
              </w:rPr>
            </w:pPr>
            <w:r>
              <w:rPr>
                <w:color w:val="auto"/>
                <w:szCs w:val="21"/>
              </w:rPr>
              <w:t>式中：</w:t>
            </w:r>
            <w:r>
              <w:rPr>
                <w:i/>
                <w:iCs/>
                <w:color w:val="auto"/>
                <w:szCs w:val="21"/>
              </w:rPr>
              <w:t>L</w:t>
            </w:r>
            <w:r>
              <w:rPr>
                <w:i/>
                <w:iCs/>
                <w:color w:val="auto"/>
                <w:szCs w:val="21"/>
                <w:vertAlign w:val="subscript"/>
              </w:rPr>
              <w:t>eq</w:t>
            </w:r>
            <w:r>
              <w:rPr>
                <w:color w:val="auto"/>
                <w:szCs w:val="21"/>
              </w:rPr>
              <w:t>——预测点的噪声预测值，dB；</w:t>
            </w:r>
          </w:p>
          <w:p>
            <w:pPr>
              <w:adjustRightInd w:val="0"/>
              <w:snapToGrid w:val="0"/>
              <w:spacing w:line="380" w:lineRule="exact"/>
              <w:ind w:firstLine="1050" w:firstLineChars="500"/>
              <w:rPr>
                <w:color w:val="auto"/>
                <w:szCs w:val="21"/>
              </w:rPr>
            </w:pPr>
            <w:r>
              <w:rPr>
                <w:i/>
                <w:iCs/>
                <w:color w:val="auto"/>
                <w:szCs w:val="21"/>
              </w:rPr>
              <w:t>L</w:t>
            </w:r>
            <w:r>
              <w:rPr>
                <w:i/>
                <w:iCs/>
                <w:color w:val="auto"/>
                <w:szCs w:val="21"/>
                <w:vertAlign w:val="subscript"/>
              </w:rPr>
              <w:t>eqg</w:t>
            </w:r>
            <w:r>
              <w:rPr>
                <w:color w:val="auto"/>
                <w:szCs w:val="21"/>
              </w:rPr>
              <w:t>——建设项目声源在预测点产生的噪声贡献值，dB；</w:t>
            </w:r>
          </w:p>
          <w:p>
            <w:pPr>
              <w:adjustRightInd w:val="0"/>
              <w:snapToGrid w:val="0"/>
              <w:spacing w:line="380" w:lineRule="exact"/>
              <w:ind w:firstLine="1050" w:firstLineChars="500"/>
              <w:rPr>
                <w:color w:val="auto"/>
                <w:szCs w:val="21"/>
              </w:rPr>
            </w:pPr>
            <w:r>
              <w:rPr>
                <w:i/>
                <w:iCs/>
                <w:color w:val="auto"/>
                <w:szCs w:val="21"/>
              </w:rPr>
              <w:t>L</w:t>
            </w:r>
            <w:r>
              <w:rPr>
                <w:i/>
                <w:iCs/>
                <w:color w:val="auto"/>
                <w:szCs w:val="21"/>
                <w:vertAlign w:val="subscript"/>
              </w:rPr>
              <w:t>eqb</w:t>
            </w:r>
            <w:r>
              <w:rPr>
                <w:color w:val="auto"/>
                <w:szCs w:val="21"/>
              </w:rPr>
              <w:t>——预测点的背景噪声值，dB。</w:t>
            </w:r>
          </w:p>
          <w:p>
            <w:pPr>
              <w:autoSpaceDE w:val="0"/>
              <w:autoSpaceDN w:val="0"/>
              <w:adjustRightInd w:val="0"/>
              <w:snapToGrid w:val="0"/>
              <w:spacing w:line="400" w:lineRule="exact"/>
              <w:ind w:firstLine="420" w:firstLineChars="200"/>
              <w:rPr>
                <w:b/>
                <w:color w:val="auto"/>
                <w:kern w:val="0"/>
                <w:szCs w:val="21"/>
              </w:rPr>
            </w:pPr>
            <w:r>
              <w:rPr>
                <w:color w:val="auto"/>
                <w:szCs w:val="21"/>
              </w:rPr>
              <w:t>本项目对周边声环境敏感目标噪声影响预测结果见表4-</w:t>
            </w:r>
            <w:r>
              <w:rPr>
                <w:rFonts w:hint="eastAsia"/>
                <w:color w:val="auto"/>
                <w:szCs w:val="21"/>
                <w:lang w:val="en-US" w:eastAsia="zh-CN"/>
              </w:rPr>
              <w:t>26</w:t>
            </w:r>
            <w:r>
              <w:rPr>
                <w:color w:val="auto"/>
                <w:szCs w:val="21"/>
              </w:rPr>
              <w:t>。</w:t>
            </w:r>
          </w:p>
        </w:tc>
      </w:tr>
    </w:tbl>
    <w:p>
      <w:pPr>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128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16" w:type="dxa"/>
            <w:tcMar>
              <w:left w:w="113" w:type="dxa"/>
              <w:right w:w="113"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12576" w:type="dxa"/>
            <w:vAlign w:val="center"/>
          </w:tcPr>
          <w:p>
            <w:pPr>
              <w:pStyle w:val="82"/>
              <w:spacing w:before="0" w:beforeAutospacing="0" w:after="0" w:afterAutospacing="0" w:line="360" w:lineRule="auto"/>
              <w:jc w:val="center"/>
              <w:outlineLvl w:val="0"/>
              <w:rPr>
                <w:rFonts w:ascii="Times New Roman" w:hAnsi="Times New Roman"/>
                <w:b/>
                <w:bCs/>
                <w:sz w:val="21"/>
                <w:szCs w:val="21"/>
              </w:rPr>
            </w:pPr>
            <w:r>
              <w:rPr>
                <w:rFonts w:hint="eastAsia" w:ascii="Times New Roman" w:hAnsi="Times New Roman"/>
                <w:b/>
                <w:bCs/>
                <w:sz w:val="21"/>
                <w:szCs w:val="21"/>
              </w:rPr>
              <w:t>表4-</w:t>
            </w:r>
            <w:r>
              <w:rPr>
                <w:rFonts w:hint="eastAsia" w:ascii="Times New Roman" w:hAnsi="Times New Roman"/>
                <w:b/>
                <w:bCs/>
                <w:sz w:val="21"/>
                <w:szCs w:val="21"/>
                <w:lang w:val="en-US" w:eastAsia="zh-CN"/>
              </w:rPr>
              <w:t>24</w:t>
            </w:r>
            <w:r>
              <w:rPr>
                <w:rFonts w:hint="eastAsia" w:ascii="Times New Roman" w:hAnsi="Times New Roman"/>
                <w:b/>
                <w:bCs/>
                <w:sz w:val="21"/>
                <w:szCs w:val="21"/>
              </w:rPr>
              <w:t xml:space="preserve">  本项目运营期工业企业噪声源强调查清单（室外声源）</w:t>
            </w:r>
          </w:p>
          <w:tbl>
            <w:tblPr>
              <w:tblStyle w:val="90"/>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09"/>
              <w:gridCol w:w="1567"/>
              <w:gridCol w:w="1801"/>
              <w:gridCol w:w="1398"/>
              <w:gridCol w:w="1398"/>
              <w:gridCol w:w="1297"/>
              <w:gridCol w:w="1522"/>
              <w:gridCol w:w="1398"/>
              <w:gridCol w:w="13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restar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序号</w:t>
                  </w:r>
                </w:p>
              </w:tc>
              <w:tc>
                <w:tcPr>
                  <w:tcW w:w="622" w:type="pct"/>
                  <w:vMerge w:val="restar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声源名称</w:t>
                  </w:r>
                </w:p>
              </w:tc>
              <w:tc>
                <w:tcPr>
                  <w:tcW w:w="715" w:type="pct"/>
                  <w:vMerge w:val="restar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型号</w:t>
                  </w:r>
                </w:p>
              </w:tc>
              <w:tc>
                <w:tcPr>
                  <w:tcW w:w="1625" w:type="pct"/>
                  <w:gridSpan w:val="3"/>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相对位置</w:t>
                  </w:r>
                </w:p>
              </w:tc>
              <w:tc>
                <w:tcPr>
                  <w:tcW w:w="604" w:type="pc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声源源强</w:t>
                  </w:r>
                </w:p>
              </w:tc>
              <w:tc>
                <w:tcPr>
                  <w:tcW w:w="555" w:type="pct"/>
                  <w:vMerge w:val="restar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声源控制措施</w:t>
                  </w:r>
                </w:p>
              </w:tc>
              <w:tc>
                <w:tcPr>
                  <w:tcW w:w="555" w:type="pct"/>
                  <w:vMerge w:val="restar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21" w:type="pct"/>
                  <w:vMerge w:val="continue"/>
                  <w:noWrap w:val="0"/>
                  <w:vAlign w:val="center"/>
                </w:tcPr>
                <w:p>
                  <w:pPr>
                    <w:pStyle w:val="82"/>
                    <w:spacing w:before="0" w:beforeAutospacing="0" w:after="0" w:afterAutospacing="0"/>
                    <w:jc w:val="center"/>
                    <w:outlineLvl w:val="0"/>
                    <w:rPr>
                      <w:rFonts w:ascii="Times New Roman" w:hAnsi="Times New Roman"/>
                      <w:b/>
                      <w:bCs/>
                      <w:sz w:val="20"/>
                      <w:szCs w:val="20"/>
                    </w:rPr>
                  </w:pPr>
                </w:p>
              </w:tc>
              <w:tc>
                <w:tcPr>
                  <w:tcW w:w="622" w:type="pct"/>
                  <w:vMerge w:val="continue"/>
                  <w:noWrap w:val="0"/>
                  <w:vAlign w:val="center"/>
                </w:tcPr>
                <w:p>
                  <w:pPr>
                    <w:pStyle w:val="82"/>
                    <w:spacing w:before="0" w:beforeAutospacing="0" w:after="0" w:afterAutospacing="0"/>
                    <w:jc w:val="center"/>
                    <w:outlineLvl w:val="0"/>
                    <w:rPr>
                      <w:rFonts w:ascii="Times New Roman" w:hAnsi="Times New Roman"/>
                      <w:b/>
                      <w:bCs/>
                      <w:sz w:val="20"/>
                      <w:szCs w:val="20"/>
                    </w:rPr>
                  </w:pPr>
                </w:p>
              </w:tc>
              <w:tc>
                <w:tcPr>
                  <w:tcW w:w="715" w:type="pct"/>
                  <w:vMerge w:val="continue"/>
                  <w:noWrap w:val="0"/>
                  <w:vAlign w:val="center"/>
                </w:tcPr>
                <w:p>
                  <w:pPr>
                    <w:pStyle w:val="82"/>
                    <w:spacing w:before="0" w:beforeAutospacing="0" w:after="0" w:afterAutospacing="0"/>
                    <w:jc w:val="center"/>
                    <w:outlineLvl w:val="0"/>
                    <w:rPr>
                      <w:rFonts w:ascii="Times New Roman" w:hAnsi="Times New Roman"/>
                      <w:b/>
                      <w:bCs/>
                      <w:sz w:val="20"/>
                      <w:szCs w:val="20"/>
                    </w:rPr>
                  </w:pPr>
                </w:p>
              </w:tc>
              <w:tc>
                <w:tcPr>
                  <w:tcW w:w="555" w:type="pc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X</w:t>
                  </w:r>
                </w:p>
              </w:tc>
              <w:tc>
                <w:tcPr>
                  <w:tcW w:w="555" w:type="pc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Y</w:t>
                  </w:r>
                </w:p>
              </w:tc>
              <w:tc>
                <w:tcPr>
                  <w:tcW w:w="515" w:type="pc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Z</w:t>
                  </w:r>
                </w:p>
              </w:tc>
              <w:tc>
                <w:tcPr>
                  <w:tcW w:w="604" w:type="pct"/>
                  <w:noWrap w:val="0"/>
                  <w:vAlign w:val="center"/>
                </w:tcPr>
                <w:p>
                  <w:pPr>
                    <w:pStyle w:val="82"/>
                    <w:spacing w:before="0" w:beforeAutospacing="0" w:after="0" w:afterAutospacing="0"/>
                    <w:jc w:val="center"/>
                    <w:outlineLvl w:val="0"/>
                    <w:rPr>
                      <w:rFonts w:ascii="Times New Roman" w:hAnsi="Times New Roman"/>
                      <w:b/>
                      <w:bCs/>
                      <w:sz w:val="20"/>
                      <w:szCs w:val="20"/>
                    </w:rPr>
                  </w:pPr>
                  <w:r>
                    <w:rPr>
                      <w:rFonts w:ascii="Times New Roman" w:hAnsi="Times New Roman"/>
                      <w:b/>
                      <w:bCs/>
                      <w:sz w:val="20"/>
                      <w:szCs w:val="20"/>
                    </w:rPr>
                    <w:t>声功率级（dB(A））</w:t>
                  </w:r>
                </w:p>
              </w:tc>
              <w:tc>
                <w:tcPr>
                  <w:tcW w:w="555" w:type="pct"/>
                  <w:vMerge w:val="continue"/>
                  <w:noWrap w:val="0"/>
                  <w:vAlign w:val="center"/>
                </w:tcPr>
                <w:p>
                  <w:pPr>
                    <w:pStyle w:val="82"/>
                    <w:spacing w:before="0" w:beforeAutospacing="0" w:after="0" w:afterAutospacing="0"/>
                    <w:jc w:val="center"/>
                    <w:outlineLvl w:val="0"/>
                    <w:rPr>
                      <w:rFonts w:ascii="Times New Roman" w:hAnsi="Times New Roman"/>
                      <w:b/>
                      <w:bCs/>
                      <w:sz w:val="20"/>
                      <w:szCs w:val="20"/>
                    </w:rPr>
                  </w:pPr>
                </w:p>
              </w:tc>
              <w:tc>
                <w:tcPr>
                  <w:tcW w:w="555" w:type="pct"/>
                  <w:vMerge w:val="continue"/>
                  <w:noWrap w:val="0"/>
                  <w:vAlign w:val="center"/>
                </w:tcPr>
                <w:p>
                  <w:pPr>
                    <w:pStyle w:val="82"/>
                    <w:spacing w:before="0" w:beforeAutospacing="0" w:after="0" w:afterAutospacing="0"/>
                    <w:jc w:val="center"/>
                    <w:outlineLvl w:val="0"/>
                    <w:rPr>
                      <w:rFonts w:ascii="Times New Roman" w:hAnsi="Times New Roman"/>
                      <w:b/>
                      <w:bCs/>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21" w:type="pct"/>
                  <w:noWrap w:val="0"/>
                  <w:vAlign w:val="center"/>
                </w:tcPr>
                <w:p>
                  <w:pPr>
                    <w:pStyle w:val="82"/>
                    <w:spacing w:before="0" w:beforeAutospacing="0" w:after="0" w:afterAutospacing="0"/>
                    <w:jc w:val="center"/>
                    <w:outlineLvl w:val="0"/>
                    <w:rPr>
                      <w:rFonts w:ascii="Times New Roman" w:hAnsi="Times New Roman"/>
                      <w:sz w:val="20"/>
                      <w:szCs w:val="20"/>
                    </w:rPr>
                  </w:pPr>
                  <w:r>
                    <w:rPr>
                      <w:rFonts w:ascii="Times New Roman" w:hAnsi="Times New Roman"/>
                      <w:sz w:val="20"/>
                      <w:szCs w:val="20"/>
                    </w:rPr>
                    <w:t>1</w:t>
                  </w:r>
                </w:p>
              </w:tc>
              <w:tc>
                <w:tcPr>
                  <w:tcW w:w="622" w:type="pc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ascii="Times New Roman" w:hAnsi="Times New Roman"/>
                      <w:sz w:val="20"/>
                      <w:szCs w:val="20"/>
                    </w:rPr>
                    <w:t>风机1</w:t>
                  </w:r>
                </w:p>
              </w:tc>
              <w:tc>
                <w:tcPr>
                  <w:tcW w:w="715" w:type="pc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ascii="Times New Roman" w:hAnsi="Times New Roman"/>
                      <w:sz w:val="20"/>
                      <w:szCs w:val="20"/>
                    </w:rPr>
                    <w:t>/</w:t>
                  </w:r>
                </w:p>
              </w:tc>
              <w:tc>
                <w:tcPr>
                  <w:tcW w:w="555" w:type="pct"/>
                  <w:noWrap w:val="0"/>
                  <w:vAlign w:val="center"/>
                </w:tcPr>
                <w:p>
                  <w:pPr>
                    <w:pStyle w:val="82"/>
                    <w:spacing w:before="0" w:beforeAutospacing="0" w:after="0" w:afterAutospacing="0"/>
                    <w:jc w:val="center"/>
                    <w:outlineLvl w:val="0"/>
                    <w:rPr>
                      <w:rFonts w:hint="default" w:ascii="Times New Roman" w:hAnsi="Times New Roman" w:eastAsia="宋体"/>
                      <w:sz w:val="20"/>
                      <w:szCs w:val="20"/>
                      <w:lang w:val="en-US" w:eastAsia="zh-CN"/>
                    </w:rPr>
                  </w:pPr>
                  <w:r>
                    <w:rPr>
                      <w:rFonts w:hint="eastAsia" w:ascii="Times New Roman" w:hAnsi="Times New Roman"/>
                      <w:sz w:val="20"/>
                      <w:szCs w:val="20"/>
                      <w:lang w:val="en-US" w:eastAsia="zh-CN"/>
                    </w:rPr>
                    <w:t>50</w:t>
                  </w:r>
                </w:p>
              </w:tc>
              <w:tc>
                <w:tcPr>
                  <w:tcW w:w="555" w:type="pct"/>
                  <w:noWrap w:val="0"/>
                  <w:vAlign w:val="center"/>
                </w:tcPr>
                <w:p>
                  <w:pPr>
                    <w:pStyle w:val="82"/>
                    <w:spacing w:before="0" w:beforeAutospacing="0" w:after="0" w:afterAutospacing="0"/>
                    <w:jc w:val="center"/>
                    <w:outlineLvl w:val="0"/>
                    <w:rPr>
                      <w:rFonts w:hint="eastAsia" w:ascii="Times New Roman" w:hAnsi="Times New Roman" w:eastAsia="宋体"/>
                      <w:sz w:val="20"/>
                      <w:szCs w:val="20"/>
                      <w:lang w:eastAsia="zh-CN"/>
                    </w:rPr>
                  </w:pPr>
                  <w:r>
                    <w:rPr>
                      <w:rFonts w:hint="eastAsia" w:ascii="Times New Roman" w:hAnsi="Times New Roman"/>
                      <w:sz w:val="20"/>
                      <w:szCs w:val="20"/>
                      <w:lang w:val="en-US" w:eastAsia="zh-CN"/>
                    </w:rPr>
                    <w:t>5</w:t>
                  </w:r>
                </w:p>
              </w:tc>
              <w:tc>
                <w:tcPr>
                  <w:tcW w:w="515" w:type="pct"/>
                  <w:noWrap w:val="0"/>
                  <w:vAlign w:val="center"/>
                </w:tcPr>
                <w:p>
                  <w:pPr>
                    <w:pStyle w:val="82"/>
                    <w:spacing w:before="0" w:beforeAutospacing="0" w:after="0" w:afterAutospacing="0"/>
                    <w:jc w:val="center"/>
                    <w:outlineLvl w:val="0"/>
                    <w:rPr>
                      <w:rFonts w:hint="eastAsia" w:ascii="Times New Roman" w:hAnsi="Times New Roman"/>
                      <w:sz w:val="20"/>
                      <w:szCs w:val="20"/>
                    </w:rPr>
                  </w:pPr>
                  <w:r>
                    <w:rPr>
                      <w:rFonts w:hint="eastAsia" w:ascii="Times New Roman" w:hAnsi="Times New Roman"/>
                      <w:sz w:val="20"/>
                      <w:szCs w:val="20"/>
                    </w:rPr>
                    <w:t>1</w:t>
                  </w:r>
                </w:p>
              </w:tc>
              <w:tc>
                <w:tcPr>
                  <w:tcW w:w="604" w:type="pc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ascii="Times New Roman" w:hAnsi="Times New Roman"/>
                      <w:sz w:val="20"/>
                      <w:szCs w:val="20"/>
                    </w:rPr>
                    <w:t>95</w:t>
                  </w:r>
                </w:p>
              </w:tc>
              <w:tc>
                <w:tcPr>
                  <w:tcW w:w="555" w:type="pct"/>
                  <w:vMerge w:val="restar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sz w:val="20"/>
                      <w:szCs w:val="20"/>
                      <w:lang w:bidi="ar"/>
                    </w:rPr>
                    <w:t>加装减震垫、距离衰减</w:t>
                  </w:r>
                </w:p>
              </w:tc>
              <w:tc>
                <w:tcPr>
                  <w:tcW w:w="555" w:type="pct"/>
                  <w:vMerge w:val="restar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ascii="Times New Roman" w:hAnsi="Times New Roman"/>
                      <w:sz w:val="20"/>
                      <w:szCs w:val="20"/>
                    </w:rPr>
                    <w:t>白天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321" w:type="pct"/>
                  <w:noWrap w:val="0"/>
                  <w:vAlign w:val="center"/>
                </w:tcPr>
                <w:p>
                  <w:pPr>
                    <w:pStyle w:val="82"/>
                    <w:spacing w:before="0" w:beforeAutospacing="0" w:after="0" w:afterAutospacing="0"/>
                    <w:jc w:val="center"/>
                    <w:outlineLvl w:val="0"/>
                    <w:rPr>
                      <w:rFonts w:hint="eastAsia" w:ascii="Times New Roman" w:hAnsi="Times New Roman"/>
                      <w:sz w:val="20"/>
                      <w:szCs w:val="20"/>
                    </w:rPr>
                  </w:pPr>
                  <w:r>
                    <w:rPr>
                      <w:rFonts w:hint="eastAsia" w:ascii="Times New Roman" w:hAnsi="Times New Roman"/>
                      <w:sz w:val="20"/>
                      <w:szCs w:val="20"/>
                    </w:rPr>
                    <w:t>2</w:t>
                  </w:r>
                </w:p>
              </w:tc>
              <w:tc>
                <w:tcPr>
                  <w:tcW w:w="622" w:type="pc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ascii="Times New Roman" w:hAnsi="Times New Roman"/>
                      <w:sz w:val="20"/>
                      <w:szCs w:val="20"/>
                    </w:rPr>
                    <w:t>风机2</w:t>
                  </w:r>
                </w:p>
              </w:tc>
              <w:tc>
                <w:tcPr>
                  <w:tcW w:w="715" w:type="pc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ascii="Times New Roman" w:hAnsi="Times New Roman"/>
                      <w:sz w:val="20"/>
                      <w:szCs w:val="20"/>
                    </w:rPr>
                    <w:t>/</w:t>
                  </w:r>
                </w:p>
              </w:tc>
              <w:tc>
                <w:tcPr>
                  <w:tcW w:w="555" w:type="pct"/>
                  <w:noWrap w:val="0"/>
                  <w:vAlign w:val="center"/>
                </w:tcPr>
                <w:p>
                  <w:pPr>
                    <w:pStyle w:val="82"/>
                    <w:spacing w:before="0" w:beforeAutospacing="0" w:after="0" w:afterAutospacing="0"/>
                    <w:jc w:val="center"/>
                    <w:outlineLvl w:val="0"/>
                    <w:rPr>
                      <w:rFonts w:hint="default" w:ascii="Times New Roman" w:hAnsi="Times New Roman" w:eastAsia="宋体"/>
                      <w:sz w:val="20"/>
                      <w:szCs w:val="20"/>
                      <w:lang w:val="en-US" w:eastAsia="zh-CN"/>
                    </w:rPr>
                  </w:pPr>
                  <w:r>
                    <w:rPr>
                      <w:rFonts w:hint="eastAsia" w:ascii="Times New Roman" w:hAnsi="Times New Roman"/>
                      <w:sz w:val="20"/>
                      <w:szCs w:val="20"/>
                      <w:lang w:val="en-US" w:eastAsia="zh-CN"/>
                    </w:rPr>
                    <w:t>120</w:t>
                  </w:r>
                </w:p>
              </w:tc>
              <w:tc>
                <w:tcPr>
                  <w:tcW w:w="555" w:type="pct"/>
                  <w:noWrap w:val="0"/>
                  <w:vAlign w:val="center"/>
                </w:tcPr>
                <w:p>
                  <w:pPr>
                    <w:pStyle w:val="82"/>
                    <w:spacing w:before="0" w:beforeAutospacing="0" w:after="0" w:afterAutospacing="0"/>
                    <w:jc w:val="center"/>
                    <w:outlineLvl w:val="0"/>
                    <w:rPr>
                      <w:rFonts w:hint="eastAsia" w:ascii="Times New Roman" w:hAnsi="Times New Roman" w:eastAsia="宋体"/>
                      <w:sz w:val="20"/>
                      <w:szCs w:val="20"/>
                      <w:lang w:eastAsia="zh-CN"/>
                    </w:rPr>
                  </w:pPr>
                  <w:r>
                    <w:rPr>
                      <w:rFonts w:hint="eastAsia" w:ascii="Times New Roman" w:hAnsi="Times New Roman"/>
                      <w:sz w:val="20"/>
                      <w:szCs w:val="20"/>
                      <w:lang w:val="en-US" w:eastAsia="zh-CN"/>
                    </w:rPr>
                    <w:t>5</w:t>
                  </w:r>
                </w:p>
              </w:tc>
              <w:tc>
                <w:tcPr>
                  <w:tcW w:w="515" w:type="pct"/>
                  <w:noWrap w:val="0"/>
                  <w:vAlign w:val="center"/>
                </w:tcPr>
                <w:p>
                  <w:pPr>
                    <w:pStyle w:val="82"/>
                    <w:spacing w:before="0" w:beforeAutospacing="0" w:after="0" w:afterAutospacing="0"/>
                    <w:jc w:val="center"/>
                    <w:outlineLvl w:val="0"/>
                    <w:rPr>
                      <w:rFonts w:hint="eastAsia" w:ascii="Times New Roman" w:hAnsi="Times New Roman"/>
                      <w:sz w:val="20"/>
                      <w:szCs w:val="20"/>
                    </w:rPr>
                  </w:pPr>
                  <w:r>
                    <w:rPr>
                      <w:rFonts w:hint="eastAsia" w:ascii="Times New Roman" w:hAnsi="Times New Roman"/>
                      <w:sz w:val="20"/>
                      <w:szCs w:val="20"/>
                    </w:rPr>
                    <w:t>1</w:t>
                  </w:r>
                </w:p>
              </w:tc>
              <w:tc>
                <w:tcPr>
                  <w:tcW w:w="604" w:type="pct"/>
                  <w:noWrap w:val="0"/>
                  <w:vAlign w:val="center"/>
                </w:tcPr>
                <w:p>
                  <w:pPr>
                    <w:pStyle w:val="82"/>
                    <w:spacing w:before="0" w:beforeAutospacing="0" w:after="0" w:afterAutospacing="0"/>
                    <w:jc w:val="center"/>
                    <w:outlineLvl w:val="0"/>
                    <w:rPr>
                      <w:rFonts w:ascii="Times New Roman" w:hAnsi="Times New Roman"/>
                      <w:sz w:val="20"/>
                      <w:szCs w:val="20"/>
                    </w:rPr>
                  </w:pPr>
                  <w:r>
                    <w:rPr>
                      <w:rFonts w:hint="eastAsia" w:ascii="Times New Roman" w:hAnsi="Times New Roman"/>
                      <w:sz w:val="20"/>
                      <w:szCs w:val="20"/>
                    </w:rPr>
                    <w:t>95</w:t>
                  </w:r>
                </w:p>
              </w:tc>
              <w:tc>
                <w:tcPr>
                  <w:tcW w:w="555" w:type="pct"/>
                  <w:vMerge w:val="continue"/>
                  <w:noWrap w:val="0"/>
                  <w:vAlign w:val="center"/>
                </w:tcPr>
                <w:p>
                  <w:pPr>
                    <w:pStyle w:val="82"/>
                    <w:spacing w:before="0" w:beforeAutospacing="0" w:after="0" w:afterAutospacing="0"/>
                    <w:jc w:val="center"/>
                    <w:outlineLvl w:val="0"/>
                    <w:rPr>
                      <w:rFonts w:hint="eastAsia"/>
                      <w:sz w:val="20"/>
                      <w:szCs w:val="20"/>
                      <w:lang w:bidi="ar"/>
                    </w:rPr>
                  </w:pPr>
                </w:p>
              </w:tc>
              <w:tc>
                <w:tcPr>
                  <w:tcW w:w="555" w:type="pct"/>
                  <w:vMerge w:val="continue"/>
                  <w:noWrap w:val="0"/>
                  <w:vAlign w:val="center"/>
                </w:tcPr>
                <w:p>
                  <w:pPr>
                    <w:pStyle w:val="82"/>
                    <w:spacing w:before="0" w:beforeAutospacing="0" w:after="0" w:afterAutospacing="0"/>
                    <w:jc w:val="center"/>
                    <w:outlineLvl w:val="0"/>
                    <w:rPr>
                      <w:rFonts w:hint="eastAsia" w:ascii="Times New Roman" w:hAnsi="Times New Roman"/>
                      <w:sz w:val="20"/>
                      <w:szCs w:val="20"/>
                    </w:rPr>
                  </w:pPr>
                </w:p>
              </w:tc>
            </w:tr>
          </w:tbl>
          <w:p>
            <w:pPr>
              <w:pStyle w:val="82"/>
              <w:spacing w:before="0" w:beforeAutospacing="0" w:after="0" w:afterAutospacing="0"/>
              <w:outlineLvl w:val="0"/>
              <w:rPr>
                <w:sz w:val="18"/>
                <w:szCs w:val="18"/>
              </w:rPr>
            </w:pPr>
            <w:r>
              <w:rPr>
                <w:rFonts w:hint="eastAsia"/>
                <w:sz w:val="18"/>
                <w:szCs w:val="18"/>
              </w:rPr>
              <w:t>注：本项目以</w:t>
            </w:r>
            <w:r>
              <w:rPr>
                <w:rFonts w:hint="eastAsia"/>
                <w:sz w:val="18"/>
                <w:szCs w:val="18"/>
                <w:lang w:val="en-US" w:eastAsia="zh-CN"/>
              </w:rPr>
              <w:t>生产车间</w:t>
            </w:r>
            <w:r>
              <w:rPr>
                <w:rFonts w:hint="eastAsia"/>
                <w:sz w:val="18"/>
                <w:szCs w:val="18"/>
              </w:rPr>
              <w:t>西南角为原点。</w:t>
            </w:r>
          </w:p>
          <w:p>
            <w:pPr>
              <w:pStyle w:val="82"/>
              <w:spacing w:before="0" w:beforeAutospacing="0" w:after="0" w:afterAutospacing="0" w:line="360" w:lineRule="auto"/>
              <w:jc w:val="center"/>
              <w:outlineLvl w:val="0"/>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表4-</w:t>
            </w:r>
            <w:r>
              <w:rPr>
                <w:rFonts w:hint="eastAsia" w:ascii="Times New Roman" w:hAnsi="Times New Roman" w:cs="Times New Roman"/>
                <w:b/>
                <w:bCs/>
                <w:sz w:val="21"/>
                <w:szCs w:val="21"/>
                <w:lang w:val="en-US" w:eastAsia="zh-CN"/>
              </w:rPr>
              <w:t>25</w:t>
            </w:r>
            <w:r>
              <w:rPr>
                <w:rFonts w:hint="eastAsia" w:ascii="Times New Roman" w:hAnsi="Times New Roman" w:eastAsia="宋体" w:cs="Times New Roman"/>
                <w:b/>
                <w:bCs/>
                <w:sz w:val="21"/>
                <w:szCs w:val="21"/>
              </w:rPr>
              <w:t xml:space="preserve"> 本项目运营期工业企业噪声源强调查清单（室内声源）</w:t>
            </w:r>
          </w:p>
          <w:tbl>
            <w:tblPr>
              <w:tblStyle w:val="90"/>
              <w:tblW w:w="4999"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0" w:type="dxa"/>
                <w:bottom w:w="0" w:type="dxa"/>
                <w:right w:w="0" w:type="dxa"/>
              </w:tblCellMar>
            </w:tblPr>
            <w:tblGrid>
              <w:gridCol w:w="219"/>
              <w:gridCol w:w="419"/>
              <w:gridCol w:w="504"/>
              <w:gridCol w:w="902"/>
              <w:gridCol w:w="435"/>
              <w:gridCol w:w="815"/>
              <w:gridCol w:w="1020"/>
              <w:gridCol w:w="421"/>
              <w:gridCol w:w="421"/>
              <w:gridCol w:w="345"/>
              <w:gridCol w:w="416"/>
              <w:gridCol w:w="416"/>
              <w:gridCol w:w="416"/>
              <w:gridCol w:w="416"/>
              <w:gridCol w:w="479"/>
              <w:gridCol w:w="479"/>
              <w:gridCol w:w="482"/>
              <w:gridCol w:w="474"/>
              <w:gridCol w:w="427"/>
              <w:gridCol w:w="617"/>
              <w:gridCol w:w="376"/>
              <w:gridCol w:w="376"/>
              <w:gridCol w:w="375"/>
              <w:gridCol w:w="653"/>
              <w:gridCol w:w="691"/>
            </w:tblGrid>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blHeader/>
                <w:jc w:val="center"/>
              </w:trPr>
              <w:tc>
                <w:tcPr>
                  <w:tcW w:w="215"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序号</w:t>
                  </w:r>
                </w:p>
              </w:tc>
              <w:tc>
                <w:tcPr>
                  <w:tcW w:w="411"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建筑物名称</w:t>
                  </w:r>
                </w:p>
              </w:tc>
              <w:tc>
                <w:tcPr>
                  <w:tcW w:w="495"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声源名称</w:t>
                  </w:r>
                </w:p>
              </w:tc>
              <w:tc>
                <w:tcPr>
                  <w:tcW w:w="885"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型号</w:t>
                  </w:r>
                </w:p>
              </w:tc>
              <w:tc>
                <w:tcPr>
                  <w:tcW w:w="427"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台数</w:t>
                  </w:r>
                </w:p>
              </w:tc>
              <w:tc>
                <w:tcPr>
                  <w:tcW w:w="800"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声源源强</w:t>
                  </w:r>
                </w:p>
              </w:tc>
              <w:tc>
                <w:tcPr>
                  <w:tcW w:w="1001"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声源控制措施</w:t>
                  </w:r>
                </w:p>
              </w:tc>
              <w:tc>
                <w:tcPr>
                  <w:tcW w:w="1165" w:type="dxa"/>
                  <w:gridSpan w:val="3"/>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空间相对位置/m</w:t>
                  </w:r>
                </w:p>
              </w:tc>
              <w:tc>
                <w:tcPr>
                  <w:tcW w:w="1632" w:type="dxa"/>
                  <w:gridSpan w:val="4"/>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sz w:val="18"/>
                      <w:szCs w:val="18"/>
                    </w:rPr>
                  </w:pPr>
                  <w:r>
                    <w:rPr>
                      <w:rFonts w:hint="default" w:ascii="Times New Roman" w:hAnsi="Times New Roman" w:eastAsia="宋体" w:cs="Times New Roman"/>
                      <w:b/>
                      <w:bCs/>
                      <w:color w:val="FF0000"/>
                      <w:sz w:val="18"/>
                      <w:szCs w:val="18"/>
                    </w:rPr>
                    <w:t>距室内边界距离/m</w:t>
                  </w:r>
                </w:p>
              </w:tc>
              <w:tc>
                <w:tcPr>
                  <w:tcW w:w="1878" w:type="dxa"/>
                  <w:gridSpan w:val="4"/>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color w:val="FF0000"/>
                      <w:sz w:val="18"/>
                      <w:szCs w:val="18"/>
                    </w:rPr>
                    <w:t>室内边界声级/</w:t>
                  </w:r>
                  <w:r>
                    <w:rPr>
                      <w:rFonts w:hint="default" w:ascii="Times New Roman" w:hAnsi="Times New Roman" w:eastAsia="宋体" w:cs="Times New Roman"/>
                      <w:b/>
                      <w:bCs/>
                      <w:color w:val="FF0000"/>
                      <w:spacing w:val="1"/>
                      <w:sz w:val="18"/>
                      <w:szCs w:val="18"/>
                    </w:rPr>
                    <w:t>d</w:t>
                  </w:r>
                  <w:r>
                    <w:rPr>
                      <w:rFonts w:hint="default" w:ascii="Times New Roman" w:hAnsi="Times New Roman" w:eastAsia="宋体" w:cs="Times New Roman"/>
                      <w:b/>
                      <w:bCs/>
                      <w:color w:val="FF0000"/>
                      <w:sz w:val="18"/>
                      <w:szCs w:val="18"/>
                    </w:rPr>
                    <w:t>B(A)</w:t>
                  </w:r>
                </w:p>
              </w:tc>
              <w:tc>
                <w:tcPr>
                  <w:tcW w:w="419"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运行时段</w:t>
                  </w:r>
                </w:p>
              </w:tc>
              <w:tc>
                <w:tcPr>
                  <w:tcW w:w="606"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建筑物插入损失/</w:t>
                  </w:r>
                  <w:r>
                    <w:rPr>
                      <w:rFonts w:hint="default" w:ascii="Times New Roman" w:hAnsi="Times New Roman" w:eastAsia="宋体" w:cs="Times New Roman"/>
                      <w:b/>
                      <w:bCs/>
                      <w:spacing w:val="1"/>
                      <w:sz w:val="18"/>
                      <w:szCs w:val="18"/>
                    </w:rPr>
                    <w:t>d</w:t>
                  </w:r>
                  <w:r>
                    <w:rPr>
                      <w:rFonts w:hint="default" w:ascii="Times New Roman" w:hAnsi="Times New Roman" w:eastAsia="宋体" w:cs="Times New Roman"/>
                      <w:b/>
                      <w:bCs/>
                      <w:sz w:val="18"/>
                      <w:szCs w:val="18"/>
                    </w:rPr>
                    <w:t>B(A)</w:t>
                  </w:r>
                </w:p>
              </w:tc>
              <w:tc>
                <w:tcPr>
                  <w:tcW w:w="1747" w:type="dxa"/>
                  <w:gridSpan w:val="4"/>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建筑物外噪声</w:t>
                  </w:r>
                </w:p>
              </w:tc>
              <w:tc>
                <w:tcPr>
                  <w:tcW w:w="678"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建筑物外距离</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783" w:hRule="atLeast"/>
                <w:tblHeader/>
                <w:jc w:val="center"/>
              </w:trPr>
              <w:tc>
                <w:tcPr>
                  <w:tcW w:w="215"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b/>
                      <w:bCs/>
                      <w:sz w:val="18"/>
                      <w:szCs w:val="18"/>
                      <w:lang w:eastAsia="en-US"/>
                    </w:rPr>
                  </w:pP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b/>
                      <w:bCs/>
                      <w:sz w:val="18"/>
                      <w:szCs w:val="18"/>
                      <w:lang w:eastAsia="en-US"/>
                    </w:rPr>
                  </w:pPr>
                </w:p>
              </w:tc>
              <w:tc>
                <w:tcPr>
                  <w:tcW w:w="495"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b/>
                      <w:bCs/>
                      <w:sz w:val="18"/>
                      <w:szCs w:val="18"/>
                      <w:lang w:eastAsia="en-US"/>
                    </w:rPr>
                  </w:pPr>
                </w:p>
              </w:tc>
              <w:tc>
                <w:tcPr>
                  <w:tcW w:w="885" w:type="dxa"/>
                  <w:vMerge w:val="continue"/>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p>
              </w:tc>
              <w:tc>
                <w:tcPr>
                  <w:tcW w:w="427" w:type="dxa"/>
                  <w:vMerge w:val="continue"/>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p>
              </w:tc>
              <w:tc>
                <w:tcPr>
                  <w:tcW w:w="800"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声功率级/</w:t>
                  </w:r>
                  <w:r>
                    <w:rPr>
                      <w:rFonts w:hint="default" w:ascii="Times New Roman" w:hAnsi="Times New Roman" w:eastAsia="宋体" w:cs="Times New Roman"/>
                      <w:b/>
                      <w:bCs/>
                      <w:spacing w:val="1"/>
                      <w:sz w:val="18"/>
                      <w:szCs w:val="18"/>
                    </w:rPr>
                    <w:t>d</w:t>
                  </w:r>
                  <w:r>
                    <w:rPr>
                      <w:rFonts w:hint="default" w:ascii="Times New Roman" w:hAnsi="Times New Roman" w:eastAsia="宋体" w:cs="Times New Roman"/>
                      <w:b/>
                      <w:bCs/>
                      <w:sz w:val="18"/>
                      <w:szCs w:val="18"/>
                    </w:rPr>
                    <w:t>B</w:t>
                  </w:r>
                </w:p>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(A)</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b/>
                      <w:bCs/>
                      <w:sz w:val="18"/>
                      <w:szCs w:val="18"/>
                      <w:lang w:eastAsia="en-US"/>
                    </w:rPr>
                  </w:pPr>
                </w:p>
              </w:tc>
              <w:tc>
                <w:tcPr>
                  <w:tcW w:w="413"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sz w:val="18"/>
                      <w:szCs w:val="18"/>
                    </w:rPr>
                    <w:t>X</w:t>
                  </w:r>
                </w:p>
              </w:tc>
              <w:tc>
                <w:tcPr>
                  <w:tcW w:w="413"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sz w:val="18"/>
                      <w:szCs w:val="18"/>
                    </w:rPr>
                    <w:t>Y</w:t>
                  </w:r>
                </w:p>
              </w:tc>
              <w:tc>
                <w:tcPr>
                  <w:tcW w:w="339" w:type="dxa"/>
                  <w:vMerge w:val="restart"/>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i/>
                      <w:sz w:val="18"/>
                      <w:szCs w:val="18"/>
                    </w:rPr>
                    <w:t>Z</w:t>
                  </w:r>
                </w:p>
              </w:tc>
              <w:tc>
                <w:tcPr>
                  <w:tcW w:w="408"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东</w:t>
                  </w:r>
                </w:p>
              </w:tc>
              <w:tc>
                <w:tcPr>
                  <w:tcW w:w="408"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西</w:t>
                  </w:r>
                </w:p>
              </w:tc>
              <w:tc>
                <w:tcPr>
                  <w:tcW w:w="408"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南</w:t>
                  </w:r>
                </w:p>
              </w:tc>
              <w:tc>
                <w:tcPr>
                  <w:tcW w:w="408"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北</w:t>
                  </w:r>
                </w:p>
              </w:tc>
              <w:tc>
                <w:tcPr>
                  <w:tcW w:w="470"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东</w:t>
                  </w:r>
                </w:p>
              </w:tc>
              <w:tc>
                <w:tcPr>
                  <w:tcW w:w="470"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西</w:t>
                  </w:r>
                </w:p>
              </w:tc>
              <w:tc>
                <w:tcPr>
                  <w:tcW w:w="473"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南</w:t>
                  </w:r>
                </w:p>
              </w:tc>
              <w:tc>
                <w:tcPr>
                  <w:tcW w:w="465" w:type="dxa"/>
                  <w:vMerge w:val="restart"/>
                  <w:shd w:val="clear" w:color="auto" w:fill="auto"/>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kern w:val="0"/>
                      <w:sz w:val="18"/>
                      <w:szCs w:val="18"/>
                      <w:lang w:val="en-US" w:eastAsia="en-US" w:bidi="ar-SA"/>
                    </w:rPr>
                  </w:pPr>
                  <w:r>
                    <w:rPr>
                      <w:rFonts w:hint="eastAsia" w:ascii="Times New Roman" w:hAnsi="Times New Roman" w:eastAsia="宋体" w:cs="Times New Roman"/>
                      <w:b/>
                      <w:bCs/>
                      <w:color w:val="FF0000"/>
                      <w:sz w:val="18"/>
                      <w:szCs w:val="18"/>
                      <w:lang w:val="en-US" w:eastAsia="zh-CN"/>
                    </w:rPr>
                    <w:t>北</w:t>
                  </w:r>
                </w:p>
              </w:tc>
              <w:tc>
                <w:tcPr>
                  <w:tcW w:w="419"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b/>
                      <w:bCs/>
                      <w:sz w:val="18"/>
                      <w:szCs w:val="18"/>
                      <w:lang w:eastAsia="en-US"/>
                    </w:rPr>
                  </w:pPr>
                </w:p>
              </w:tc>
              <w:tc>
                <w:tcPr>
                  <w:tcW w:w="606"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b/>
                      <w:bCs/>
                      <w:sz w:val="18"/>
                      <w:szCs w:val="18"/>
                      <w:lang w:eastAsia="en-US"/>
                    </w:rPr>
                  </w:pPr>
                </w:p>
              </w:tc>
              <w:tc>
                <w:tcPr>
                  <w:tcW w:w="1747" w:type="dxa"/>
                  <w:gridSpan w:val="4"/>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sz w:val="18"/>
                      <w:szCs w:val="18"/>
                    </w:rPr>
                  </w:pPr>
                  <w:r>
                    <w:rPr>
                      <w:rFonts w:hint="default" w:ascii="Times New Roman" w:hAnsi="Times New Roman" w:eastAsia="宋体" w:cs="Times New Roman"/>
                      <w:b/>
                      <w:bCs/>
                      <w:color w:val="FF0000"/>
                      <w:sz w:val="18"/>
                      <w:szCs w:val="18"/>
                    </w:rPr>
                    <w:t>声压级/</w:t>
                  </w:r>
                  <w:r>
                    <w:rPr>
                      <w:rFonts w:hint="default" w:ascii="Times New Roman" w:hAnsi="Times New Roman" w:eastAsia="宋体" w:cs="Times New Roman"/>
                      <w:b/>
                      <w:bCs/>
                      <w:color w:val="FF0000"/>
                      <w:spacing w:val="1"/>
                      <w:sz w:val="18"/>
                      <w:szCs w:val="18"/>
                    </w:rPr>
                    <w:t>d</w:t>
                  </w:r>
                  <w:r>
                    <w:rPr>
                      <w:rFonts w:hint="default" w:ascii="Times New Roman" w:hAnsi="Times New Roman" w:eastAsia="宋体" w:cs="Times New Roman"/>
                      <w:b/>
                      <w:bCs/>
                      <w:color w:val="FF0000"/>
                      <w:sz w:val="18"/>
                      <w:szCs w:val="18"/>
                    </w:rPr>
                    <w:t>B(A)</w:t>
                  </w:r>
                </w:p>
              </w:tc>
              <w:tc>
                <w:tcPr>
                  <w:tcW w:w="678" w:type="dxa"/>
                  <w:vMerge w:val="continue"/>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sz w:val="18"/>
                      <w:szCs w:val="18"/>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tblHeader/>
                <w:jc w:val="center"/>
              </w:trPr>
              <w:tc>
                <w:tcPr>
                  <w:tcW w:w="215"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411"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495"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885"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427"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800"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1001"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413"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413"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339"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408"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08"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08"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08"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70"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70"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73"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65" w:type="dxa"/>
                  <w:vMerge w:val="continue"/>
                  <w:noWrap w:val="0"/>
                  <w:vAlign w:val="center"/>
                </w:tcPr>
                <w:p>
                  <w:pPr>
                    <w:pStyle w:val="184"/>
                    <w:snapToGrid w:val="0"/>
                    <w:ind w:left="0" w:leftChars="0" w:right="0" w:rightChars="0" w:firstLine="0" w:firstLineChars="0"/>
                    <w:jc w:val="center"/>
                    <w:rPr>
                      <w:rFonts w:ascii="Times New Roman" w:eastAsia="宋体"/>
                      <w:b/>
                      <w:color w:val="FF0000"/>
                      <w:sz w:val="18"/>
                      <w:szCs w:val="21"/>
                    </w:rPr>
                  </w:pPr>
                </w:p>
              </w:tc>
              <w:tc>
                <w:tcPr>
                  <w:tcW w:w="419"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606" w:type="dxa"/>
                  <w:vMerge w:val="continue"/>
                  <w:noWrap w:val="0"/>
                  <w:vAlign w:val="center"/>
                </w:tcPr>
                <w:p>
                  <w:pPr>
                    <w:pStyle w:val="184"/>
                    <w:snapToGrid w:val="0"/>
                    <w:ind w:left="0" w:leftChars="0" w:right="0" w:rightChars="0" w:firstLine="0" w:firstLineChars="0"/>
                    <w:jc w:val="center"/>
                    <w:rPr>
                      <w:rFonts w:ascii="Times New Roman" w:eastAsia="宋体"/>
                      <w:b/>
                      <w:sz w:val="18"/>
                      <w:szCs w:val="21"/>
                    </w:rPr>
                  </w:pPr>
                </w:p>
              </w:tc>
              <w:tc>
                <w:tcPr>
                  <w:tcW w:w="369"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lang w:val="en-US" w:eastAsia="zh-CN"/>
                    </w:rPr>
                    <w:t>东</w:t>
                  </w:r>
                </w:p>
              </w:tc>
              <w:tc>
                <w:tcPr>
                  <w:tcW w:w="369"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lang w:val="en-US" w:eastAsia="zh-CN"/>
                    </w:rPr>
                    <w:t>西</w:t>
                  </w:r>
                </w:p>
              </w:tc>
              <w:tc>
                <w:tcPr>
                  <w:tcW w:w="368"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lang w:val="en-US" w:eastAsia="zh-CN"/>
                    </w:rPr>
                    <w:t>南</w:t>
                  </w:r>
                </w:p>
              </w:tc>
              <w:tc>
                <w:tcPr>
                  <w:tcW w:w="641"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b/>
                      <w:bCs/>
                      <w:color w:val="FF0000"/>
                      <w:sz w:val="18"/>
                      <w:szCs w:val="18"/>
                    </w:rPr>
                  </w:pPr>
                  <w:r>
                    <w:rPr>
                      <w:rFonts w:hint="eastAsia" w:ascii="Times New Roman" w:hAnsi="Times New Roman" w:eastAsia="宋体" w:cs="Times New Roman"/>
                      <w:b/>
                      <w:bCs/>
                      <w:color w:val="FF0000"/>
                      <w:sz w:val="18"/>
                      <w:szCs w:val="18"/>
                      <w:lang w:val="en-US" w:eastAsia="zh-CN"/>
                    </w:rPr>
                    <w:t>北</w:t>
                  </w:r>
                </w:p>
              </w:tc>
              <w:tc>
                <w:tcPr>
                  <w:tcW w:w="678" w:type="dxa"/>
                  <w:vMerge w:val="continue"/>
                  <w:noWrap w:val="0"/>
                  <w:vAlign w:val="center"/>
                </w:tcPr>
                <w:p>
                  <w:pPr>
                    <w:pStyle w:val="184"/>
                    <w:snapToGrid w:val="0"/>
                    <w:ind w:left="0" w:leftChars="0" w:right="0" w:rightChars="0" w:firstLine="0" w:firstLineChars="0"/>
                    <w:jc w:val="center"/>
                    <w:rPr>
                      <w:rFonts w:hint="eastAsia" w:ascii="Times New Roman" w:hAnsi="Times New Roman" w:eastAsia="宋体" w:cs="Times New Roman"/>
                      <w:b/>
                      <w:bCs/>
                      <w:color w:val="FF0000"/>
                      <w:sz w:val="18"/>
                      <w:szCs w:val="18"/>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411" w:type="dxa"/>
                  <w:vMerge w:val="restart"/>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default" w:ascii="Times New Roman" w:hAnsi="Times New Roman" w:eastAsia="宋体" w:cs="Times New Roman"/>
                      <w:sz w:val="18"/>
                      <w:szCs w:val="18"/>
                    </w:rPr>
                    <w:t>生产</w:t>
                  </w:r>
                  <w:r>
                    <w:rPr>
                      <w:rFonts w:hint="default" w:ascii="Times New Roman" w:hAnsi="Times New Roman" w:eastAsia="宋体" w:cs="Times New Roman"/>
                      <w:sz w:val="18"/>
                      <w:szCs w:val="18"/>
                      <w:lang w:eastAsia="en-US"/>
                    </w:rPr>
                    <w:t>车间</w:t>
                  </w: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定型机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rPr>
                    <w:t>300-320 型</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3</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90</w:t>
                  </w:r>
                </w:p>
              </w:tc>
              <w:tc>
                <w:tcPr>
                  <w:tcW w:w="1001" w:type="dxa"/>
                  <w:vMerge w:val="restart"/>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加装减震垫、厂房隔声、距离衰减</w:t>
                  </w:r>
                </w:p>
              </w:tc>
              <w:tc>
                <w:tcPr>
                  <w:tcW w:w="413" w:type="dxa"/>
                  <w:shd w:val="clear" w:color="auto" w:fill="auto"/>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5.5</w:t>
                  </w:r>
                </w:p>
              </w:tc>
              <w:tc>
                <w:tcPr>
                  <w:tcW w:w="413" w:type="dxa"/>
                  <w:shd w:val="clear" w:color="auto" w:fill="auto"/>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16</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54.5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5.5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16</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59.86</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69.44</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62.61</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71.99</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35.86</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45.44</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38.61</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47.99</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rPr>
                    <w:t>2</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预缩机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rPr>
                    <w:t>LMH431-340</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rPr>
                    <w:t>1</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en-US"/>
                    </w:rPr>
                    <w:t>8</w:t>
                  </w:r>
                  <w:r>
                    <w:rPr>
                      <w:rFonts w:hint="default" w:ascii="Times New Roman" w:hAnsi="Times New Roman" w:eastAsia="宋体" w:cs="Times New Roman"/>
                      <w:sz w:val="18"/>
                      <w:szCs w:val="18"/>
                    </w:rPr>
                    <w:t>5</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30</w:t>
                  </w: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30</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30</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18</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50.85</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50.85</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52.34</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74.03</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26.85</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26.85</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28.34</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50.03</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rPr>
                    <w:t>3</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摇粒机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lang w:val="en-US" w:eastAsia="zh-CN"/>
                    </w:rPr>
                    <w:t>/</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cs="Times New Roman"/>
                      <w:kern w:val="0"/>
                      <w:sz w:val="18"/>
                      <w:szCs w:val="18"/>
                      <w:lang w:val="en-US" w:eastAsia="zh-CN"/>
                    </w:rPr>
                    <w:t>19</w:t>
                  </w:r>
                </w:p>
              </w:tc>
              <w:tc>
                <w:tcPr>
                  <w:tcW w:w="80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en-US"/>
                    </w:rPr>
                    <w:t>8</w:t>
                  </w:r>
                  <w:r>
                    <w:rPr>
                      <w:rFonts w:hint="eastAsia" w:ascii="Times New Roman" w:hAnsi="Times New Roman" w:eastAsia="宋体" w:cs="Times New Roman"/>
                      <w:sz w:val="18"/>
                      <w:szCs w:val="18"/>
                      <w:lang w:val="en-US" w:eastAsia="zh-CN"/>
                    </w:rPr>
                    <w:t>5</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23</w:t>
                  </w: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3.5</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57</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23</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16.5</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62.85</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64.29</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76.11</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65.49</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38.85</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40.29</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52.11</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41.49</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rPr>
                    <w:t>4</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烫光机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rPr>
                    <w:t>SME472YQ</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cs="Times New Roman"/>
                      <w:kern w:val="0"/>
                      <w:sz w:val="18"/>
                      <w:szCs w:val="18"/>
                      <w:lang w:val="en-US" w:eastAsia="zh-CN"/>
                    </w:rPr>
                    <w:t>2</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lang w:eastAsia="en-US"/>
                    </w:rPr>
                    <w:t>8</w:t>
                  </w:r>
                  <w:r>
                    <w:rPr>
                      <w:rFonts w:hint="default" w:ascii="Times New Roman" w:hAnsi="Times New Roman" w:eastAsia="宋体" w:cs="Times New Roman"/>
                      <w:sz w:val="18"/>
                      <w:szCs w:val="18"/>
                    </w:rPr>
                    <w:t>5</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18.5</w:t>
                  </w: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14.5</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18.5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14.5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5.5</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53.36</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55.24</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56.30</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62.68</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29.36</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31.24</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32.3</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38.68</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rPr>
                    <w:t>5</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剪毛机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rPr>
                    <w:t>/</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lang w:eastAsia="en-US"/>
                    </w:rPr>
                  </w:pPr>
                  <w:r>
                    <w:rPr>
                      <w:rFonts w:hint="eastAsia" w:cs="Times New Roman"/>
                      <w:kern w:val="0"/>
                      <w:sz w:val="18"/>
                      <w:szCs w:val="18"/>
                      <w:lang w:val="en-US" w:eastAsia="zh-CN"/>
                    </w:rPr>
                    <w:t>2</w:t>
                  </w:r>
                </w:p>
              </w:tc>
              <w:tc>
                <w:tcPr>
                  <w:tcW w:w="80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en-US"/>
                    </w:rPr>
                    <w:t>8</w:t>
                  </w:r>
                  <w:r>
                    <w:rPr>
                      <w:rFonts w:hint="eastAsia" w:ascii="Times New Roman" w:hAnsi="Times New Roman" w:eastAsia="宋体" w:cs="Times New Roman"/>
                      <w:sz w:val="18"/>
                      <w:szCs w:val="18"/>
                      <w:lang w:val="en-US" w:eastAsia="zh-CN"/>
                    </w:rPr>
                    <w:t>5</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15</w:t>
                  </w: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2</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15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18</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53.27</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56.14</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71.06</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55.35</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eastAsia="en-US"/>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en-US"/>
                    </w:rPr>
                  </w:pPr>
                  <w:r>
                    <w:rPr>
                      <w:rFonts w:hint="eastAsia" w:ascii="Times New Roman" w:hAnsi="Times New Roman" w:eastAsia="宋体" w:cs="Times New Roman"/>
                      <w:color w:val="FF0000"/>
                      <w:sz w:val="18"/>
                      <w:szCs w:val="18"/>
                      <w:lang w:val="en-US" w:eastAsia="zh-CN"/>
                    </w:rPr>
                    <w:t>29.27</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32.14</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47.06</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31.35</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rPr>
                    <w:t>6</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lang w:eastAsia="en-US"/>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拉毛机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MB331C</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cs="Times New Roman"/>
                      <w:kern w:val="0"/>
                      <w:sz w:val="18"/>
                      <w:szCs w:val="18"/>
                      <w:lang w:val="en-US" w:eastAsia="zh-CN"/>
                    </w:rPr>
                    <w:t>3</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80</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13" w:type="dxa"/>
                  <w:shd w:val="clear" w:color="auto" w:fill="auto"/>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2</w:t>
                  </w:r>
                </w:p>
              </w:tc>
              <w:tc>
                <w:tcPr>
                  <w:tcW w:w="413" w:type="dxa"/>
                  <w:shd w:val="clear" w:color="auto" w:fill="auto"/>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1.2</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58</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1.2</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18.8</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49.82</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67.82</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72.22</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51.94</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25.82</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43.82</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48.22</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27.94</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lang w:val="en-US"/>
                    </w:rPr>
                  </w:pPr>
                  <w:r>
                    <w:rPr>
                      <w:rFonts w:hint="default" w:ascii="Times New Roman" w:hAnsi="Times New Roman" w:eastAsia="宋体" w:cs="Times New Roman"/>
                      <w:sz w:val="18"/>
                      <w:szCs w:val="18"/>
                      <w:lang w:val="en-US"/>
                    </w:rPr>
                    <w:t>7</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蒸呢机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lang w:val="en-US" w:eastAsia="zh-CN"/>
                    </w:rPr>
                    <w:t>WPF-120</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cs="Times New Roman"/>
                      <w:kern w:val="0"/>
                      <w:sz w:val="18"/>
                      <w:szCs w:val="18"/>
                      <w:lang w:val="en-US" w:eastAsia="zh-CN"/>
                    </w:rPr>
                    <w:t>3</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85</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35</w:t>
                  </w: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3</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17</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56.04</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55.35</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69.38</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57.34</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32.04</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31.35</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45.38</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33.34</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cs="Times New Roman"/>
                      <w:kern w:val="0"/>
                      <w:sz w:val="18"/>
                      <w:szCs w:val="18"/>
                      <w:lang w:val="en-US" w:eastAsia="zh-CN"/>
                    </w:rPr>
                    <w:t>空压机</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cs="Times New Roman"/>
                      <w:kern w:val="0"/>
                      <w:sz w:val="18"/>
                      <w:szCs w:val="18"/>
                      <w:lang w:val="en-US" w:eastAsia="zh-CN"/>
                    </w:rPr>
                    <w:t>/</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cs="Times New Roman"/>
                      <w:kern w:val="0"/>
                      <w:sz w:val="18"/>
                      <w:szCs w:val="18"/>
                      <w:lang w:val="en-US" w:eastAsia="zh-CN"/>
                    </w:rPr>
                    <w:t>2</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85</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13" w:type="dxa"/>
                  <w:shd w:val="clear" w:color="auto" w:fill="auto"/>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12</w:t>
                  </w:r>
                </w:p>
              </w:tc>
              <w:tc>
                <w:tcPr>
                  <w:tcW w:w="413" w:type="dxa"/>
                  <w:shd w:val="clear" w:color="auto" w:fill="auto"/>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2"/>
                      <w:sz w:val="18"/>
                      <w:szCs w:val="18"/>
                      <w:lang w:val="en-US" w:eastAsia="zh-CN" w:bidi="ar-SA"/>
                    </w:rPr>
                  </w:pPr>
                  <w:r>
                    <w:rPr>
                      <w:rFonts w:hint="eastAsia" w:ascii="Times New Roman" w:hAnsi="Times New Roman" w:eastAsia="宋体" w:cs="Times New Roman"/>
                      <w:sz w:val="18"/>
                      <w:szCs w:val="18"/>
                      <w:lang w:val="en-US" w:eastAsia="zh-CN"/>
                    </w:rPr>
                    <w:t>15</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48</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12</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15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53.21</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57.30</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56.14</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63.43</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29.21</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33.3</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32.14</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39.43</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9</w:t>
                  </w:r>
                </w:p>
              </w:tc>
              <w:tc>
                <w:tcPr>
                  <w:tcW w:w="411" w:type="dxa"/>
                  <w:vMerge w:val="restart"/>
                  <w:noWrap w:val="0"/>
                  <w:vAlign w:val="center"/>
                </w:tcPr>
                <w:p>
                  <w:pPr>
                    <w:snapToGrid w:val="0"/>
                    <w:ind w:left="0" w:leftChars="0" w:right="0" w:rightChars="0" w:firstLine="0" w:firstLineChars="0"/>
                    <w:jc w:val="center"/>
                    <w:rPr>
                      <w:rFonts w:hint="eastAsia"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锅炉房</w:t>
                  </w: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导热油锅炉</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360wh</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1</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90</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120</w:t>
                  </w:r>
                </w:p>
              </w:tc>
              <w:tc>
                <w:tcPr>
                  <w:tcW w:w="41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2</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18</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45.58</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55.42</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63.05</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47.34</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21.58</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31.42</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39.05</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23.34</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r>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0" w:type="dxa"/>
                  <w:bottom w:w="0" w:type="dxa"/>
                  <w:right w:w="0" w:type="dxa"/>
                </w:tblCellMar>
              </w:tblPrEx>
              <w:trPr>
                <w:trHeight w:val="0" w:hRule="atLeast"/>
                <w:jc w:val="center"/>
              </w:trPr>
              <w:tc>
                <w:tcPr>
                  <w:tcW w:w="215" w:type="dxa"/>
                  <w:noWrap w:val="0"/>
                  <w:vAlign w:val="center"/>
                </w:tcPr>
                <w:p>
                  <w:pPr>
                    <w:pStyle w:val="184"/>
                    <w:snapToGrid w:val="0"/>
                    <w:ind w:left="0" w:leftChars="0" w:right="0" w:rightChars="0" w:firstLine="0" w:firstLineChars="0"/>
                    <w:jc w:val="center"/>
                    <w:rPr>
                      <w:rFonts w:hint="default" w:ascii="Times New Roman" w:hAnsi="Times New Roman" w:eastAsia="宋体" w:cs="Times New Roman"/>
                      <w:sz w:val="18"/>
                      <w:szCs w:val="18"/>
                      <w:lang w:val="en-US" w:eastAsia="zh-CN"/>
                    </w:rPr>
                  </w:pPr>
                  <w:r>
                    <w:rPr>
                      <w:rFonts w:hint="eastAsia" w:ascii="Times New Roman" w:hAnsi="Times New Roman" w:eastAsia="宋体" w:cs="Times New Roman"/>
                      <w:sz w:val="18"/>
                      <w:szCs w:val="18"/>
                      <w:lang w:val="en-US" w:eastAsia="zh-CN"/>
                    </w:rPr>
                    <w:t>10</w:t>
                  </w:r>
                </w:p>
              </w:tc>
              <w:tc>
                <w:tcPr>
                  <w:tcW w:w="41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9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生物质蒸汽锅炉</w:t>
                  </w:r>
                </w:p>
              </w:tc>
              <w:tc>
                <w:tcPr>
                  <w:tcW w:w="885"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ascii="Times New Roman" w:hAnsi="Times New Roman" w:eastAsia="宋体" w:cs="Times New Roman"/>
                      <w:kern w:val="0"/>
                      <w:sz w:val="18"/>
                      <w:szCs w:val="18"/>
                    </w:rPr>
                    <w:t>6t/h</w:t>
                  </w:r>
                </w:p>
              </w:tc>
              <w:tc>
                <w:tcPr>
                  <w:tcW w:w="427" w:type="dxa"/>
                  <w:noWrap w:val="0"/>
                  <w:vAlign w:val="center"/>
                </w:tcPr>
                <w:p>
                  <w:pPr>
                    <w:widowControl/>
                    <w:snapToGrid w:val="0"/>
                    <w:ind w:left="0" w:leftChars="0" w:right="0" w:rightChars="0" w:firstLine="0" w:firstLineChars="0"/>
                    <w:jc w:val="center"/>
                    <w:rPr>
                      <w:rFonts w:hint="default" w:ascii="Times New Roman" w:hAnsi="Times New Roman" w:eastAsia="宋体" w:cs="Times New Roman"/>
                      <w:sz w:val="18"/>
                      <w:szCs w:val="18"/>
                    </w:rPr>
                  </w:pPr>
                  <w:r>
                    <w:rPr>
                      <w:rFonts w:hint="eastAsia" w:cs="Times New Roman"/>
                      <w:kern w:val="0"/>
                      <w:sz w:val="18"/>
                      <w:szCs w:val="18"/>
                      <w:lang w:val="en-US" w:eastAsia="zh-CN"/>
                    </w:rPr>
                    <w:t>1</w:t>
                  </w:r>
                </w:p>
              </w:tc>
              <w:tc>
                <w:tcPr>
                  <w:tcW w:w="800"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90</w:t>
                  </w:r>
                </w:p>
              </w:tc>
              <w:tc>
                <w:tcPr>
                  <w:tcW w:w="1001" w:type="dxa"/>
                  <w:vMerge w:val="continue"/>
                  <w:noWrap w:val="0"/>
                  <w:vAlign w:val="center"/>
                </w:tcPr>
                <w:p>
                  <w:pPr>
                    <w:snapToGrid w:val="0"/>
                    <w:ind w:left="0" w:leftChars="0" w:right="0" w:rightChars="0" w:firstLine="0" w:firstLineChars="0"/>
                    <w:jc w:val="center"/>
                    <w:rPr>
                      <w:rFonts w:hint="default" w:ascii="Times New Roman" w:hAnsi="Times New Roman" w:eastAsia="宋体" w:cs="Times New Roman"/>
                      <w:sz w:val="18"/>
                      <w:szCs w:val="18"/>
                    </w:rPr>
                  </w:pPr>
                </w:p>
              </w:tc>
              <w:tc>
                <w:tcPr>
                  <w:tcW w:w="413"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122</w:t>
                  </w:r>
                </w:p>
              </w:tc>
              <w:tc>
                <w:tcPr>
                  <w:tcW w:w="41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kern w:val="0"/>
                      <w:sz w:val="18"/>
                      <w:szCs w:val="18"/>
                      <w:lang w:val="en-US" w:eastAsia="zh-CN" w:bidi="ar"/>
                    </w:rPr>
                  </w:pPr>
                  <w:r>
                    <w:rPr>
                      <w:rFonts w:hint="eastAsia" w:ascii="Times New Roman" w:hAnsi="Times New Roman" w:eastAsia="宋体" w:cs="Times New Roman"/>
                      <w:kern w:val="0"/>
                      <w:sz w:val="18"/>
                      <w:szCs w:val="18"/>
                      <w:lang w:val="en-US" w:eastAsia="zh-CN" w:bidi="ar"/>
                    </w:rPr>
                    <w:t>2</w:t>
                  </w:r>
                </w:p>
              </w:tc>
              <w:tc>
                <w:tcPr>
                  <w:tcW w:w="33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kern w:val="0"/>
                      <w:sz w:val="18"/>
                      <w:szCs w:val="18"/>
                      <w:lang w:bidi="ar"/>
                    </w:rPr>
                  </w:pPr>
                  <w:r>
                    <w:rPr>
                      <w:rFonts w:hint="eastAsia" w:ascii="Times New Roman" w:hAnsi="Times New Roman" w:eastAsia="宋体" w:cs="Times New Roman"/>
                      <w:kern w:val="0"/>
                      <w:sz w:val="18"/>
                      <w:szCs w:val="18"/>
                      <w:lang w:val="en-US" w:eastAsia="zh-CN" w:bidi="ar"/>
                    </w:rPr>
                    <w:t>1.5</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33</w:t>
                  </w:r>
                </w:p>
              </w:tc>
              <w:tc>
                <w:tcPr>
                  <w:tcW w:w="40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7</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default" w:ascii="Times New Roman" w:hAnsi="Times New Roman" w:eastAsia="宋体" w:cs="Times New Roman"/>
                      <w:color w:val="FF0000"/>
                      <w:sz w:val="18"/>
                      <w:szCs w:val="18"/>
                      <w:lang w:val="en-US" w:eastAsia="zh-CN"/>
                    </w:rPr>
                    <w:t>2</w:t>
                  </w:r>
                </w:p>
              </w:tc>
              <w:tc>
                <w:tcPr>
                  <w:tcW w:w="40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18</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45.68</w:t>
                  </w:r>
                </w:p>
              </w:tc>
              <w:tc>
                <w:tcPr>
                  <w:tcW w:w="470"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52.84</w:t>
                  </w:r>
                </w:p>
              </w:tc>
              <w:tc>
                <w:tcPr>
                  <w:tcW w:w="473"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63.05</w:t>
                  </w:r>
                </w:p>
              </w:tc>
              <w:tc>
                <w:tcPr>
                  <w:tcW w:w="465"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47.34</w:t>
                  </w:r>
                </w:p>
              </w:tc>
              <w:tc>
                <w:tcPr>
                  <w:tcW w:w="41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ascii="Times New Roman" w:hAnsi="Times New Roman" w:eastAsia="宋体" w:cs="Times New Roman"/>
                      <w:sz w:val="18"/>
                      <w:szCs w:val="18"/>
                      <w:lang w:val="en-US" w:eastAsia="zh-CN"/>
                    </w:rPr>
                    <w:t>24</w:t>
                  </w:r>
                  <w:r>
                    <w:rPr>
                      <w:rFonts w:hint="default" w:ascii="Times New Roman" w:hAnsi="Times New Roman" w:eastAsia="宋体" w:cs="Times New Roman"/>
                      <w:sz w:val="18"/>
                      <w:szCs w:val="18"/>
                      <w:lang w:eastAsia="en-US"/>
                    </w:rPr>
                    <w:t>h</w:t>
                  </w:r>
                </w:p>
              </w:tc>
              <w:tc>
                <w:tcPr>
                  <w:tcW w:w="606"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sz w:val="18"/>
                      <w:szCs w:val="18"/>
                    </w:rPr>
                  </w:pPr>
                  <w:r>
                    <w:rPr>
                      <w:rFonts w:hint="eastAsia" w:cs="Times New Roman"/>
                      <w:sz w:val="18"/>
                      <w:szCs w:val="18"/>
                      <w:lang w:val="en-US" w:eastAsia="zh-CN"/>
                    </w:rPr>
                    <w:t>18</w:t>
                  </w:r>
                </w:p>
              </w:tc>
              <w:tc>
                <w:tcPr>
                  <w:tcW w:w="369"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21.68</w:t>
                  </w:r>
                </w:p>
              </w:tc>
              <w:tc>
                <w:tcPr>
                  <w:tcW w:w="369"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28.84</w:t>
                  </w:r>
                </w:p>
              </w:tc>
              <w:tc>
                <w:tcPr>
                  <w:tcW w:w="368"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39.05</w:t>
                  </w:r>
                </w:p>
              </w:tc>
              <w:tc>
                <w:tcPr>
                  <w:tcW w:w="641" w:type="dxa"/>
                  <w:noWrap w:val="0"/>
                  <w:vAlign w:val="center"/>
                </w:tcPr>
                <w:p>
                  <w:pPr>
                    <w:widowControl/>
                    <w:snapToGrid w:val="0"/>
                    <w:ind w:left="0" w:leftChars="0" w:right="0" w:rightChars="0" w:firstLine="0" w:firstLineChars="0"/>
                    <w:jc w:val="center"/>
                    <w:textAlignment w:val="center"/>
                    <w:rPr>
                      <w:rFonts w:hint="eastAsia" w:ascii="Times New Roman" w:hAnsi="Times New Roman" w:eastAsia="宋体" w:cs="Times New Roman"/>
                      <w:color w:val="FF0000"/>
                      <w:sz w:val="18"/>
                      <w:szCs w:val="18"/>
                      <w:lang w:val="en-US" w:eastAsia="zh-CN"/>
                    </w:rPr>
                  </w:pPr>
                  <w:r>
                    <w:rPr>
                      <w:rFonts w:hint="eastAsia" w:ascii="Times New Roman" w:hAnsi="Times New Roman" w:eastAsia="宋体" w:cs="Times New Roman"/>
                      <w:color w:val="FF0000"/>
                      <w:sz w:val="18"/>
                      <w:szCs w:val="18"/>
                      <w:lang w:val="en-US" w:eastAsia="zh-CN"/>
                    </w:rPr>
                    <w:t>23.34</w:t>
                  </w:r>
                </w:p>
              </w:tc>
              <w:tc>
                <w:tcPr>
                  <w:tcW w:w="678" w:type="dxa"/>
                  <w:noWrap w:val="0"/>
                  <w:vAlign w:val="center"/>
                </w:tcPr>
                <w:p>
                  <w:pPr>
                    <w:widowControl/>
                    <w:snapToGrid w:val="0"/>
                    <w:ind w:left="0" w:leftChars="0" w:right="0" w:rightChars="0" w:firstLine="0" w:firstLineChars="0"/>
                    <w:jc w:val="center"/>
                    <w:textAlignment w:val="center"/>
                    <w:rPr>
                      <w:rFonts w:hint="default" w:ascii="Times New Roman" w:hAnsi="Times New Roman" w:eastAsia="宋体" w:cs="Times New Roman"/>
                      <w:color w:val="FF0000"/>
                      <w:sz w:val="18"/>
                      <w:szCs w:val="18"/>
                      <w:lang w:val="en-US" w:eastAsia="zh-CN"/>
                    </w:rPr>
                  </w:pPr>
                  <w:r>
                    <w:rPr>
                      <w:rFonts w:hint="eastAsia" w:cs="Times New Roman"/>
                      <w:color w:val="FF0000"/>
                      <w:sz w:val="18"/>
                      <w:szCs w:val="18"/>
                      <w:lang w:val="en-US" w:eastAsia="zh-CN"/>
                    </w:rPr>
                    <w:t>1</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b/>
                <w:color w:val="auto"/>
                <w:kern w:val="0"/>
                <w:sz w:val="18"/>
                <w:szCs w:val="18"/>
                <w:lang w:val="en-US" w:eastAsia="zh-CN"/>
              </w:rPr>
            </w:pPr>
            <w:r>
              <w:rPr>
                <w:rFonts w:hint="eastAsia"/>
                <w:b/>
                <w:color w:val="auto"/>
                <w:kern w:val="0"/>
                <w:sz w:val="18"/>
                <w:szCs w:val="18"/>
                <w:lang w:val="en-US" w:eastAsia="zh-CN"/>
              </w:rPr>
              <w:t>注：室外设备均为依托现有，以厂区西南角为原点</w:t>
            </w:r>
          </w:p>
          <w:p>
            <w:pPr>
              <w:autoSpaceDE w:val="0"/>
              <w:autoSpaceDN w:val="0"/>
              <w:adjustRightInd w:val="0"/>
              <w:snapToGrid w:val="0"/>
              <w:spacing w:line="400" w:lineRule="exact"/>
              <w:jc w:val="center"/>
              <w:rPr>
                <w:b/>
                <w:color w:val="auto"/>
                <w:kern w:val="0"/>
                <w:szCs w:val="21"/>
              </w:rPr>
            </w:pPr>
            <w:r>
              <w:rPr>
                <w:b/>
                <w:color w:val="auto"/>
                <w:kern w:val="0"/>
                <w:szCs w:val="21"/>
              </w:rPr>
              <w:t>表4-</w:t>
            </w:r>
            <w:r>
              <w:rPr>
                <w:rFonts w:hint="eastAsia"/>
                <w:b/>
                <w:color w:val="auto"/>
                <w:kern w:val="0"/>
                <w:szCs w:val="21"/>
                <w:lang w:val="en-US" w:eastAsia="zh-CN"/>
              </w:rPr>
              <w:t>26</w:t>
            </w:r>
            <w:r>
              <w:rPr>
                <w:b/>
                <w:color w:val="auto"/>
                <w:kern w:val="0"/>
                <w:szCs w:val="21"/>
              </w:rPr>
              <w:t xml:space="preserve">  </w:t>
            </w:r>
            <w:r>
              <w:rPr>
                <w:rFonts w:hint="eastAsia"/>
                <w:b/>
                <w:color w:val="auto"/>
                <w:kern w:val="0"/>
                <w:szCs w:val="21"/>
                <w:lang w:val="en-US" w:eastAsia="zh-CN"/>
              </w:rPr>
              <w:t xml:space="preserve"> </w:t>
            </w:r>
            <w:r>
              <w:rPr>
                <w:b/>
                <w:color w:val="auto"/>
                <w:kern w:val="0"/>
                <w:szCs w:val="21"/>
              </w:rPr>
              <w:t>敏感点噪声贡献值预测结果（单位：dB(A)）</w:t>
            </w:r>
          </w:p>
          <w:tbl>
            <w:tblPr>
              <w:tblStyle w:val="9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64"/>
              <w:gridCol w:w="741"/>
              <w:gridCol w:w="741"/>
              <w:gridCol w:w="809"/>
              <w:gridCol w:w="809"/>
              <w:gridCol w:w="725"/>
              <w:gridCol w:w="725"/>
              <w:gridCol w:w="831"/>
              <w:gridCol w:w="831"/>
              <w:gridCol w:w="811"/>
              <w:gridCol w:w="667"/>
              <w:gridCol w:w="665"/>
              <w:gridCol w:w="665"/>
              <w:gridCol w:w="954"/>
              <w:gridCol w:w="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restart"/>
                  <w:tcBorders>
                    <w:top w:val="single" w:color="auto" w:sz="12" w:space="0"/>
                    <w:bottom w:val="single" w:color="auto" w:sz="4" w:space="0"/>
                  </w:tcBorders>
                  <w:vAlign w:val="center"/>
                </w:tcPr>
                <w:p>
                  <w:pPr>
                    <w:widowControl/>
                    <w:jc w:val="center"/>
                    <w:rPr>
                      <w:b/>
                      <w:bCs/>
                      <w:color w:val="auto"/>
                      <w:kern w:val="0"/>
                      <w:sz w:val="20"/>
                      <w:szCs w:val="20"/>
                    </w:rPr>
                  </w:pPr>
                  <w:r>
                    <w:rPr>
                      <w:b/>
                      <w:bCs/>
                      <w:color w:val="auto"/>
                      <w:kern w:val="0"/>
                      <w:sz w:val="20"/>
                      <w:szCs w:val="20"/>
                    </w:rPr>
                    <w:t>声环境保护目标名称</w:t>
                  </w:r>
                </w:p>
              </w:tc>
              <w:tc>
                <w:tcPr>
                  <w:tcW w:w="588" w:type="pct"/>
                  <w:gridSpan w:val="2"/>
                  <w:tcBorders>
                    <w:top w:val="single" w:color="auto" w:sz="12" w:space="0"/>
                    <w:bottom w:val="single" w:color="auto" w:sz="4" w:space="0"/>
                  </w:tcBorders>
                  <w:vAlign w:val="center"/>
                </w:tcPr>
                <w:p>
                  <w:pPr>
                    <w:widowControl/>
                    <w:jc w:val="center"/>
                    <w:rPr>
                      <w:b/>
                      <w:bCs/>
                      <w:color w:val="auto"/>
                      <w:kern w:val="0"/>
                      <w:sz w:val="20"/>
                      <w:szCs w:val="20"/>
                    </w:rPr>
                  </w:pPr>
                  <w:r>
                    <w:rPr>
                      <w:b/>
                      <w:bCs/>
                      <w:color w:val="auto"/>
                      <w:kern w:val="0"/>
                      <w:sz w:val="20"/>
                      <w:szCs w:val="20"/>
                    </w:rPr>
                    <w:t>噪声背景值</w:t>
                  </w:r>
                </w:p>
              </w:tc>
              <w:tc>
                <w:tcPr>
                  <w:tcW w:w="642" w:type="pct"/>
                  <w:gridSpan w:val="2"/>
                  <w:tcBorders>
                    <w:top w:val="single" w:color="auto" w:sz="12" w:space="0"/>
                    <w:bottom w:val="single" w:color="auto" w:sz="4" w:space="0"/>
                  </w:tcBorders>
                  <w:vAlign w:val="center"/>
                </w:tcPr>
                <w:p>
                  <w:pPr>
                    <w:widowControl/>
                    <w:jc w:val="center"/>
                    <w:rPr>
                      <w:rFonts w:hint="default"/>
                      <w:b/>
                      <w:bCs/>
                      <w:color w:val="auto"/>
                      <w:kern w:val="0"/>
                      <w:sz w:val="20"/>
                      <w:szCs w:val="20"/>
                      <w:lang w:val="en-US"/>
                    </w:rPr>
                  </w:pPr>
                  <w:r>
                    <w:rPr>
                      <w:b/>
                      <w:bCs/>
                      <w:color w:val="auto"/>
                      <w:kern w:val="0"/>
                      <w:sz w:val="20"/>
                      <w:szCs w:val="20"/>
                    </w:rPr>
                    <w:t>噪声现状值</w:t>
                  </w:r>
                  <w:r>
                    <w:rPr>
                      <w:rFonts w:hint="eastAsia"/>
                      <w:color w:val="FF0000"/>
                      <w:vertAlign w:val="superscript"/>
                      <w:lang w:val="en-US" w:eastAsia="zh-CN"/>
                    </w:rPr>
                    <w:t>[1]</w:t>
                  </w:r>
                </w:p>
              </w:tc>
              <w:tc>
                <w:tcPr>
                  <w:tcW w:w="575" w:type="pct"/>
                  <w:gridSpan w:val="2"/>
                  <w:tcBorders>
                    <w:top w:val="single" w:color="auto" w:sz="12" w:space="0"/>
                    <w:bottom w:val="single" w:color="auto" w:sz="4" w:space="0"/>
                  </w:tcBorders>
                  <w:vAlign w:val="center"/>
                </w:tcPr>
                <w:p>
                  <w:pPr>
                    <w:widowControl/>
                    <w:jc w:val="center"/>
                    <w:rPr>
                      <w:b/>
                      <w:bCs/>
                      <w:color w:val="auto"/>
                      <w:kern w:val="0"/>
                      <w:sz w:val="20"/>
                      <w:szCs w:val="20"/>
                    </w:rPr>
                  </w:pPr>
                  <w:r>
                    <w:rPr>
                      <w:b/>
                      <w:bCs/>
                      <w:color w:val="auto"/>
                      <w:kern w:val="0"/>
                      <w:sz w:val="20"/>
                      <w:szCs w:val="20"/>
                    </w:rPr>
                    <w:t>噪声标准</w:t>
                  </w:r>
                </w:p>
              </w:tc>
              <w:tc>
                <w:tcPr>
                  <w:tcW w:w="659" w:type="pct"/>
                  <w:gridSpan w:val="2"/>
                  <w:tcBorders>
                    <w:top w:val="single" w:color="auto" w:sz="12" w:space="0"/>
                    <w:bottom w:val="single" w:color="auto" w:sz="4" w:space="0"/>
                  </w:tcBorders>
                  <w:vAlign w:val="center"/>
                </w:tcPr>
                <w:p>
                  <w:pPr>
                    <w:widowControl/>
                    <w:jc w:val="center"/>
                    <w:rPr>
                      <w:b/>
                      <w:bCs/>
                      <w:color w:val="auto"/>
                      <w:kern w:val="0"/>
                      <w:sz w:val="20"/>
                      <w:szCs w:val="20"/>
                    </w:rPr>
                  </w:pPr>
                  <w:r>
                    <w:rPr>
                      <w:b/>
                      <w:bCs/>
                      <w:color w:val="auto"/>
                      <w:kern w:val="0"/>
                      <w:sz w:val="20"/>
                      <w:szCs w:val="20"/>
                    </w:rPr>
                    <w:t>噪声贡献值</w:t>
                  </w:r>
                </w:p>
              </w:tc>
              <w:tc>
                <w:tcPr>
                  <w:tcW w:w="586" w:type="pct"/>
                  <w:gridSpan w:val="2"/>
                  <w:tcBorders>
                    <w:top w:val="single" w:color="auto" w:sz="12" w:space="0"/>
                    <w:bottom w:val="single" w:color="auto" w:sz="4" w:space="0"/>
                  </w:tcBorders>
                  <w:vAlign w:val="center"/>
                </w:tcPr>
                <w:p>
                  <w:pPr>
                    <w:widowControl/>
                    <w:jc w:val="center"/>
                    <w:rPr>
                      <w:b/>
                      <w:bCs/>
                      <w:color w:val="auto"/>
                      <w:kern w:val="0"/>
                      <w:sz w:val="20"/>
                      <w:szCs w:val="20"/>
                    </w:rPr>
                  </w:pPr>
                  <w:r>
                    <w:rPr>
                      <w:b/>
                      <w:bCs/>
                      <w:color w:val="auto"/>
                      <w:kern w:val="0"/>
                      <w:sz w:val="20"/>
                      <w:szCs w:val="20"/>
                    </w:rPr>
                    <w:t>噪声预测值</w:t>
                  </w:r>
                </w:p>
              </w:tc>
              <w:tc>
                <w:tcPr>
                  <w:tcW w:w="528" w:type="pct"/>
                  <w:gridSpan w:val="2"/>
                  <w:tcBorders>
                    <w:top w:val="single" w:color="auto" w:sz="12" w:space="0"/>
                    <w:bottom w:val="single" w:color="auto" w:sz="4" w:space="0"/>
                  </w:tcBorders>
                  <w:vAlign w:val="center"/>
                </w:tcPr>
                <w:p>
                  <w:pPr>
                    <w:widowControl/>
                    <w:jc w:val="center"/>
                    <w:rPr>
                      <w:b/>
                      <w:bCs/>
                      <w:color w:val="auto"/>
                      <w:kern w:val="0"/>
                      <w:sz w:val="20"/>
                      <w:szCs w:val="20"/>
                    </w:rPr>
                  </w:pPr>
                  <w:r>
                    <w:rPr>
                      <w:b/>
                      <w:bCs/>
                      <w:color w:val="auto"/>
                      <w:kern w:val="0"/>
                      <w:sz w:val="20"/>
                      <w:szCs w:val="20"/>
                    </w:rPr>
                    <w:t>较现状增量</w:t>
                  </w:r>
                </w:p>
              </w:tc>
              <w:tc>
                <w:tcPr>
                  <w:tcW w:w="757" w:type="pct"/>
                  <w:gridSpan w:val="2"/>
                  <w:tcBorders>
                    <w:top w:val="single" w:color="auto" w:sz="12" w:space="0"/>
                    <w:bottom w:val="single" w:color="auto" w:sz="4" w:space="0"/>
                    <w:right w:val="nil"/>
                  </w:tcBorders>
                  <w:vAlign w:val="center"/>
                </w:tcPr>
                <w:p>
                  <w:pPr>
                    <w:widowControl/>
                    <w:jc w:val="center"/>
                    <w:rPr>
                      <w:b/>
                      <w:bCs/>
                      <w:color w:val="auto"/>
                      <w:kern w:val="0"/>
                      <w:sz w:val="20"/>
                      <w:szCs w:val="20"/>
                    </w:rPr>
                  </w:pPr>
                  <w:r>
                    <w:rPr>
                      <w:b/>
                      <w:bCs/>
                      <w:color w:val="auto"/>
                      <w:kern w:val="0"/>
                      <w:sz w:val="20"/>
                      <w:szCs w:val="20"/>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Merge w:val="continue"/>
                  <w:tcBorders>
                    <w:top w:val="single" w:color="auto" w:sz="4" w:space="0"/>
                    <w:bottom w:val="single" w:color="auto" w:sz="12" w:space="0"/>
                  </w:tcBorders>
                  <w:vAlign w:val="center"/>
                </w:tcPr>
                <w:p>
                  <w:pPr>
                    <w:widowControl/>
                    <w:jc w:val="center"/>
                    <w:rPr>
                      <w:b/>
                      <w:bCs/>
                      <w:color w:val="auto"/>
                      <w:kern w:val="0"/>
                      <w:sz w:val="20"/>
                      <w:szCs w:val="20"/>
                    </w:rPr>
                  </w:pPr>
                </w:p>
              </w:tc>
              <w:tc>
                <w:tcPr>
                  <w:tcW w:w="294"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昼间</w:t>
                  </w:r>
                </w:p>
              </w:tc>
              <w:tc>
                <w:tcPr>
                  <w:tcW w:w="294"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夜间</w:t>
                  </w:r>
                </w:p>
              </w:tc>
              <w:tc>
                <w:tcPr>
                  <w:tcW w:w="321"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昼间</w:t>
                  </w:r>
                </w:p>
              </w:tc>
              <w:tc>
                <w:tcPr>
                  <w:tcW w:w="321"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夜间</w:t>
                  </w:r>
                </w:p>
              </w:tc>
              <w:tc>
                <w:tcPr>
                  <w:tcW w:w="287"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昼间</w:t>
                  </w:r>
                </w:p>
              </w:tc>
              <w:tc>
                <w:tcPr>
                  <w:tcW w:w="287"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夜间</w:t>
                  </w:r>
                </w:p>
              </w:tc>
              <w:tc>
                <w:tcPr>
                  <w:tcW w:w="329"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昼间</w:t>
                  </w:r>
                </w:p>
              </w:tc>
              <w:tc>
                <w:tcPr>
                  <w:tcW w:w="329"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夜间</w:t>
                  </w:r>
                </w:p>
              </w:tc>
              <w:tc>
                <w:tcPr>
                  <w:tcW w:w="322"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昼间</w:t>
                  </w:r>
                </w:p>
              </w:tc>
              <w:tc>
                <w:tcPr>
                  <w:tcW w:w="264"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夜间</w:t>
                  </w:r>
                </w:p>
              </w:tc>
              <w:tc>
                <w:tcPr>
                  <w:tcW w:w="264"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昼间</w:t>
                  </w:r>
                </w:p>
              </w:tc>
              <w:tc>
                <w:tcPr>
                  <w:tcW w:w="264"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夜间</w:t>
                  </w:r>
                </w:p>
              </w:tc>
              <w:tc>
                <w:tcPr>
                  <w:tcW w:w="379" w:type="pct"/>
                  <w:tcBorders>
                    <w:top w:val="single" w:color="auto" w:sz="4" w:space="0"/>
                    <w:bottom w:val="single" w:color="auto" w:sz="12" w:space="0"/>
                  </w:tcBorders>
                  <w:vAlign w:val="center"/>
                </w:tcPr>
                <w:p>
                  <w:pPr>
                    <w:widowControl/>
                    <w:jc w:val="center"/>
                    <w:rPr>
                      <w:b/>
                      <w:bCs/>
                      <w:color w:val="auto"/>
                      <w:kern w:val="0"/>
                      <w:sz w:val="20"/>
                      <w:szCs w:val="20"/>
                    </w:rPr>
                  </w:pPr>
                  <w:r>
                    <w:rPr>
                      <w:b/>
                      <w:bCs/>
                      <w:color w:val="auto"/>
                      <w:kern w:val="0"/>
                      <w:sz w:val="20"/>
                      <w:szCs w:val="20"/>
                    </w:rPr>
                    <w:t>昼间</w:t>
                  </w:r>
                </w:p>
              </w:tc>
              <w:tc>
                <w:tcPr>
                  <w:tcW w:w="378" w:type="pct"/>
                  <w:tcBorders>
                    <w:top w:val="single" w:color="auto" w:sz="4" w:space="0"/>
                    <w:bottom w:val="single" w:color="auto" w:sz="12" w:space="0"/>
                    <w:right w:val="nil"/>
                  </w:tcBorders>
                  <w:vAlign w:val="center"/>
                </w:tcPr>
                <w:p>
                  <w:pPr>
                    <w:widowControl/>
                    <w:jc w:val="center"/>
                    <w:rPr>
                      <w:b/>
                      <w:bCs/>
                      <w:color w:val="auto"/>
                      <w:kern w:val="0"/>
                      <w:sz w:val="20"/>
                      <w:szCs w:val="20"/>
                    </w:rPr>
                  </w:pPr>
                  <w:r>
                    <w:rPr>
                      <w:b/>
                      <w:bCs/>
                      <w:color w:val="auto"/>
                      <w:kern w:val="0"/>
                      <w:sz w:val="20"/>
                      <w:szCs w:val="20"/>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tcBorders>
                    <w:top w:val="single" w:color="auto" w:sz="12" w:space="0"/>
                  </w:tcBorders>
                  <w:vAlign w:val="center"/>
                </w:tcPr>
                <w:p>
                  <w:pPr>
                    <w:widowControl/>
                    <w:jc w:val="center"/>
                    <w:rPr>
                      <w:color w:val="auto"/>
                      <w:kern w:val="0"/>
                      <w:sz w:val="20"/>
                      <w:szCs w:val="20"/>
                    </w:rPr>
                  </w:pPr>
                  <w:r>
                    <w:rPr>
                      <w:rFonts w:hint="eastAsia"/>
                      <w:color w:val="auto"/>
                      <w:kern w:val="0"/>
                      <w:sz w:val="20"/>
                      <w:szCs w:val="20"/>
                      <w:lang w:val="en-US" w:eastAsia="zh-CN"/>
                    </w:rPr>
                    <w:t>N1</w:t>
                  </w:r>
                  <w:r>
                    <w:rPr>
                      <w:color w:val="auto"/>
                      <w:kern w:val="0"/>
                      <w:sz w:val="20"/>
                      <w:szCs w:val="20"/>
                    </w:rPr>
                    <w:t>东厂界外1m</w:t>
                  </w:r>
                </w:p>
              </w:tc>
              <w:tc>
                <w:tcPr>
                  <w:tcW w:w="294" w:type="pct"/>
                  <w:tcBorders>
                    <w:top w:val="single" w:color="auto" w:sz="12" w:space="0"/>
                  </w:tcBorders>
                  <w:vAlign w:val="center"/>
                </w:tcPr>
                <w:p>
                  <w:pPr>
                    <w:widowControl/>
                    <w:jc w:val="center"/>
                    <w:rPr>
                      <w:color w:val="auto"/>
                      <w:kern w:val="0"/>
                      <w:sz w:val="20"/>
                      <w:szCs w:val="20"/>
                    </w:rPr>
                  </w:pPr>
                  <w:r>
                    <w:rPr>
                      <w:color w:val="auto"/>
                      <w:kern w:val="0"/>
                      <w:sz w:val="20"/>
                      <w:szCs w:val="20"/>
                    </w:rPr>
                    <w:t>/</w:t>
                  </w:r>
                </w:p>
              </w:tc>
              <w:tc>
                <w:tcPr>
                  <w:tcW w:w="294" w:type="pct"/>
                  <w:tcBorders>
                    <w:top w:val="single" w:color="auto" w:sz="12" w:space="0"/>
                  </w:tcBorders>
                  <w:vAlign w:val="center"/>
                </w:tcPr>
                <w:p>
                  <w:pPr>
                    <w:widowControl/>
                    <w:jc w:val="center"/>
                    <w:rPr>
                      <w:color w:val="auto"/>
                      <w:kern w:val="0"/>
                      <w:sz w:val="20"/>
                      <w:szCs w:val="20"/>
                    </w:rPr>
                  </w:pPr>
                  <w:r>
                    <w:rPr>
                      <w:color w:val="auto"/>
                      <w:kern w:val="0"/>
                      <w:sz w:val="20"/>
                      <w:szCs w:val="20"/>
                    </w:rPr>
                    <w:t>/</w:t>
                  </w:r>
                </w:p>
              </w:tc>
              <w:tc>
                <w:tcPr>
                  <w:tcW w:w="321" w:type="pct"/>
                  <w:tcBorders>
                    <w:top w:val="single" w:color="auto" w:sz="12" w:space="0"/>
                  </w:tcBorders>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53.1</w:t>
                  </w:r>
                </w:p>
              </w:tc>
              <w:tc>
                <w:tcPr>
                  <w:tcW w:w="321" w:type="pct"/>
                  <w:tcBorders>
                    <w:top w:val="single" w:color="auto" w:sz="12" w:space="0"/>
                  </w:tcBorders>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46.9</w:t>
                  </w:r>
                </w:p>
              </w:tc>
              <w:tc>
                <w:tcPr>
                  <w:tcW w:w="287" w:type="pct"/>
                  <w:tcBorders>
                    <w:top w:val="single" w:color="auto" w:sz="12" w:space="0"/>
                  </w:tcBorders>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60</w:t>
                  </w:r>
                </w:p>
              </w:tc>
              <w:tc>
                <w:tcPr>
                  <w:tcW w:w="287" w:type="pct"/>
                  <w:tcBorders>
                    <w:top w:val="single" w:color="auto" w:sz="12" w:space="0"/>
                  </w:tcBorders>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50</w:t>
                  </w:r>
                </w:p>
              </w:tc>
              <w:tc>
                <w:tcPr>
                  <w:tcW w:w="329" w:type="pct"/>
                  <w:tcBorders>
                    <w:top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11.9</w:t>
                  </w:r>
                </w:p>
              </w:tc>
              <w:tc>
                <w:tcPr>
                  <w:tcW w:w="329" w:type="pct"/>
                  <w:tcBorders>
                    <w:top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11.9</w:t>
                  </w:r>
                </w:p>
              </w:tc>
              <w:tc>
                <w:tcPr>
                  <w:tcW w:w="322" w:type="pct"/>
                  <w:tcBorders>
                    <w:top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53.1</w:t>
                  </w:r>
                </w:p>
              </w:tc>
              <w:tc>
                <w:tcPr>
                  <w:tcW w:w="264" w:type="pct"/>
                  <w:tcBorders>
                    <w:top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46.9</w:t>
                  </w:r>
                </w:p>
              </w:tc>
              <w:tc>
                <w:tcPr>
                  <w:tcW w:w="264" w:type="pct"/>
                  <w:tcBorders>
                    <w:top w:val="single" w:color="auto" w:sz="12" w:space="0"/>
                  </w:tcBorders>
                  <w:vAlign w:val="center"/>
                </w:tcPr>
                <w:p>
                  <w:pPr>
                    <w:widowControl/>
                    <w:jc w:val="center"/>
                    <w:rPr>
                      <w:color w:val="auto"/>
                      <w:kern w:val="0"/>
                      <w:sz w:val="20"/>
                      <w:szCs w:val="20"/>
                    </w:rPr>
                  </w:pPr>
                  <w:r>
                    <w:rPr>
                      <w:color w:val="auto"/>
                      <w:kern w:val="0"/>
                      <w:sz w:val="20"/>
                      <w:szCs w:val="20"/>
                    </w:rPr>
                    <w:t>/</w:t>
                  </w:r>
                </w:p>
              </w:tc>
              <w:tc>
                <w:tcPr>
                  <w:tcW w:w="264" w:type="pct"/>
                  <w:tcBorders>
                    <w:top w:val="single" w:color="auto" w:sz="12" w:space="0"/>
                  </w:tcBorders>
                  <w:vAlign w:val="center"/>
                </w:tcPr>
                <w:p>
                  <w:pPr>
                    <w:widowControl/>
                    <w:jc w:val="center"/>
                    <w:rPr>
                      <w:color w:val="auto"/>
                      <w:kern w:val="0"/>
                      <w:sz w:val="20"/>
                      <w:szCs w:val="20"/>
                    </w:rPr>
                  </w:pPr>
                  <w:r>
                    <w:rPr>
                      <w:color w:val="auto"/>
                      <w:kern w:val="0"/>
                      <w:sz w:val="20"/>
                      <w:szCs w:val="20"/>
                    </w:rPr>
                    <w:t>/</w:t>
                  </w:r>
                </w:p>
              </w:tc>
              <w:tc>
                <w:tcPr>
                  <w:tcW w:w="379" w:type="pct"/>
                  <w:tcBorders>
                    <w:top w:val="single" w:color="auto" w:sz="12" w:space="0"/>
                  </w:tcBorders>
                  <w:vAlign w:val="center"/>
                </w:tcPr>
                <w:p>
                  <w:pPr>
                    <w:widowControl/>
                    <w:jc w:val="center"/>
                    <w:rPr>
                      <w:color w:val="auto"/>
                      <w:kern w:val="0"/>
                      <w:sz w:val="20"/>
                      <w:szCs w:val="20"/>
                    </w:rPr>
                  </w:pPr>
                  <w:r>
                    <w:rPr>
                      <w:color w:val="auto"/>
                      <w:kern w:val="0"/>
                      <w:sz w:val="20"/>
                      <w:szCs w:val="20"/>
                    </w:rPr>
                    <w:t>达标</w:t>
                  </w:r>
                </w:p>
              </w:tc>
              <w:tc>
                <w:tcPr>
                  <w:tcW w:w="378" w:type="pct"/>
                  <w:tcBorders>
                    <w:top w:val="single" w:color="auto" w:sz="12" w:space="0"/>
                    <w:right w:val="nil"/>
                  </w:tcBorders>
                  <w:vAlign w:val="center"/>
                </w:tcPr>
                <w:p>
                  <w:pPr>
                    <w:widowControl/>
                    <w:jc w:val="center"/>
                    <w:rPr>
                      <w:color w:val="auto"/>
                      <w:kern w:val="0"/>
                      <w:sz w:val="20"/>
                      <w:szCs w:val="20"/>
                    </w:rPr>
                  </w:pPr>
                  <w:r>
                    <w:rPr>
                      <w:color w:val="auto"/>
                      <w:kern w:val="0"/>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pPr>
                    <w:widowControl/>
                    <w:jc w:val="center"/>
                    <w:rPr>
                      <w:color w:val="auto"/>
                      <w:kern w:val="0"/>
                      <w:sz w:val="20"/>
                      <w:szCs w:val="20"/>
                    </w:rPr>
                  </w:pPr>
                  <w:r>
                    <w:rPr>
                      <w:rFonts w:hint="eastAsia"/>
                      <w:color w:val="auto"/>
                      <w:kern w:val="0"/>
                      <w:sz w:val="20"/>
                      <w:szCs w:val="20"/>
                      <w:lang w:val="en-US" w:eastAsia="zh-CN"/>
                    </w:rPr>
                    <w:t>N2</w:t>
                  </w:r>
                  <w:r>
                    <w:rPr>
                      <w:color w:val="auto"/>
                      <w:kern w:val="0"/>
                      <w:sz w:val="20"/>
                      <w:szCs w:val="20"/>
                    </w:rPr>
                    <w:t>东厂界外1m</w:t>
                  </w:r>
                </w:p>
              </w:tc>
              <w:tc>
                <w:tcPr>
                  <w:tcW w:w="294" w:type="pct"/>
                  <w:vAlign w:val="center"/>
                </w:tcPr>
                <w:p>
                  <w:pPr>
                    <w:widowControl/>
                    <w:jc w:val="center"/>
                    <w:rPr>
                      <w:rFonts w:hint="eastAsia" w:eastAsia="宋体"/>
                      <w:color w:val="auto"/>
                      <w:kern w:val="0"/>
                      <w:sz w:val="20"/>
                      <w:szCs w:val="20"/>
                      <w:lang w:val="en-US" w:eastAsia="zh-CN"/>
                    </w:rPr>
                  </w:pPr>
                  <w:r>
                    <w:rPr>
                      <w:rFonts w:hint="eastAsia"/>
                      <w:color w:val="auto"/>
                      <w:kern w:val="0"/>
                      <w:sz w:val="20"/>
                      <w:szCs w:val="20"/>
                      <w:lang w:val="en-US" w:eastAsia="zh-CN"/>
                    </w:rPr>
                    <w:t>/</w:t>
                  </w:r>
                </w:p>
              </w:tc>
              <w:tc>
                <w:tcPr>
                  <w:tcW w:w="294" w:type="pct"/>
                  <w:vAlign w:val="center"/>
                </w:tcPr>
                <w:p>
                  <w:pPr>
                    <w:widowControl/>
                    <w:jc w:val="center"/>
                    <w:rPr>
                      <w:rFonts w:hint="eastAsia" w:eastAsia="宋体"/>
                      <w:color w:val="auto"/>
                      <w:kern w:val="0"/>
                      <w:sz w:val="20"/>
                      <w:szCs w:val="20"/>
                      <w:lang w:val="en-US" w:eastAsia="zh-CN"/>
                    </w:rPr>
                  </w:pPr>
                  <w:r>
                    <w:rPr>
                      <w:rFonts w:hint="eastAsia"/>
                      <w:color w:val="auto"/>
                      <w:kern w:val="0"/>
                      <w:sz w:val="20"/>
                      <w:szCs w:val="20"/>
                      <w:lang w:val="en-US" w:eastAsia="zh-CN"/>
                    </w:rPr>
                    <w:t>/</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50.1</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44.5</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60</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50</w:t>
                  </w:r>
                </w:p>
              </w:tc>
              <w:tc>
                <w:tcPr>
                  <w:tcW w:w="329"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19.5</w:t>
                  </w:r>
                </w:p>
              </w:tc>
              <w:tc>
                <w:tcPr>
                  <w:tcW w:w="329"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19.5</w:t>
                  </w:r>
                </w:p>
              </w:tc>
              <w:tc>
                <w:tcPr>
                  <w:tcW w:w="322"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50.1</w:t>
                  </w:r>
                </w:p>
              </w:tc>
              <w:tc>
                <w:tcPr>
                  <w:tcW w:w="264"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44.5</w:t>
                  </w:r>
                </w:p>
              </w:tc>
              <w:tc>
                <w:tcPr>
                  <w:tcW w:w="264" w:type="pct"/>
                  <w:vAlign w:val="center"/>
                </w:tcPr>
                <w:p>
                  <w:pPr>
                    <w:widowControl/>
                    <w:jc w:val="center"/>
                    <w:rPr>
                      <w:rFonts w:hint="eastAsia" w:eastAsia="宋体"/>
                      <w:color w:val="auto"/>
                      <w:kern w:val="0"/>
                      <w:sz w:val="20"/>
                      <w:szCs w:val="20"/>
                      <w:lang w:val="en-US" w:eastAsia="zh-CN"/>
                    </w:rPr>
                  </w:pPr>
                  <w:r>
                    <w:rPr>
                      <w:rFonts w:hint="eastAsia"/>
                      <w:color w:val="auto"/>
                      <w:kern w:val="0"/>
                      <w:sz w:val="20"/>
                      <w:szCs w:val="20"/>
                      <w:lang w:val="en-US" w:eastAsia="zh-CN"/>
                    </w:rPr>
                    <w:t>/</w:t>
                  </w:r>
                </w:p>
              </w:tc>
              <w:tc>
                <w:tcPr>
                  <w:tcW w:w="264" w:type="pct"/>
                  <w:vAlign w:val="center"/>
                </w:tcPr>
                <w:p>
                  <w:pPr>
                    <w:widowControl/>
                    <w:jc w:val="center"/>
                    <w:rPr>
                      <w:rFonts w:hint="eastAsia" w:eastAsia="宋体"/>
                      <w:color w:val="auto"/>
                      <w:kern w:val="0"/>
                      <w:sz w:val="20"/>
                      <w:szCs w:val="20"/>
                      <w:lang w:val="en-US" w:eastAsia="zh-CN"/>
                    </w:rPr>
                  </w:pPr>
                  <w:r>
                    <w:rPr>
                      <w:rFonts w:hint="eastAsia"/>
                      <w:color w:val="auto"/>
                      <w:kern w:val="0"/>
                      <w:sz w:val="20"/>
                      <w:szCs w:val="20"/>
                      <w:lang w:val="en-US" w:eastAsia="zh-CN"/>
                    </w:rPr>
                    <w:t>/</w:t>
                  </w:r>
                </w:p>
              </w:tc>
              <w:tc>
                <w:tcPr>
                  <w:tcW w:w="379" w:type="pct"/>
                  <w:vAlign w:val="center"/>
                </w:tcPr>
                <w:p>
                  <w:pPr>
                    <w:widowControl/>
                    <w:jc w:val="center"/>
                    <w:rPr>
                      <w:color w:val="auto"/>
                      <w:kern w:val="0"/>
                      <w:sz w:val="20"/>
                      <w:szCs w:val="20"/>
                    </w:rPr>
                  </w:pPr>
                  <w:r>
                    <w:rPr>
                      <w:color w:val="auto"/>
                      <w:kern w:val="0"/>
                      <w:sz w:val="20"/>
                      <w:szCs w:val="20"/>
                    </w:rPr>
                    <w:t>达标</w:t>
                  </w:r>
                </w:p>
              </w:tc>
              <w:tc>
                <w:tcPr>
                  <w:tcW w:w="378" w:type="pct"/>
                  <w:tcBorders>
                    <w:right w:val="nil"/>
                  </w:tcBorders>
                  <w:vAlign w:val="center"/>
                </w:tcPr>
                <w:p>
                  <w:pPr>
                    <w:widowControl/>
                    <w:jc w:val="center"/>
                    <w:rPr>
                      <w:color w:val="auto"/>
                      <w:kern w:val="0"/>
                      <w:sz w:val="20"/>
                      <w:szCs w:val="20"/>
                    </w:rPr>
                  </w:pPr>
                  <w:r>
                    <w:rPr>
                      <w:color w:val="auto"/>
                      <w:kern w:val="0"/>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pPr>
                    <w:widowControl/>
                    <w:jc w:val="center"/>
                    <w:rPr>
                      <w:color w:val="auto"/>
                      <w:kern w:val="0"/>
                      <w:sz w:val="20"/>
                      <w:szCs w:val="20"/>
                    </w:rPr>
                  </w:pPr>
                  <w:r>
                    <w:rPr>
                      <w:rFonts w:hint="eastAsia"/>
                      <w:color w:val="auto"/>
                      <w:kern w:val="0"/>
                      <w:sz w:val="20"/>
                      <w:szCs w:val="20"/>
                      <w:lang w:val="en-US" w:eastAsia="zh-CN"/>
                    </w:rPr>
                    <w:t>N3</w:t>
                  </w:r>
                  <w:r>
                    <w:rPr>
                      <w:color w:val="auto"/>
                      <w:kern w:val="0"/>
                      <w:sz w:val="20"/>
                      <w:szCs w:val="20"/>
                    </w:rPr>
                    <w:t>南厂界外1m</w:t>
                  </w:r>
                </w:p>
              </w:tc>
              <w:tc>
                <w:tcPr>
                  <w:tcW w:w="294" w:type="pct"/>
                  <w:vAlign w:val="center"/>
                </w:tcPr>
                <w:p>
                  <w:pPr>
                    <w:widowControl/>
                    <w:jc w:val="center"/>
                    <w:rPr>
                      <w:color w:val="auto"/>
                      <w:kern w:val="0"/>
                      <w:sz w:val="20"/>
                      <w:szCs w:val="20"/>
                    </w:rPr>
                  </w:pPr>
                  <w:r>
                    <w:rPr>
                      <w:color w:val="auto"/>
                      <w:kern w:val="0"/>
                      <w:sz w:val="20"/>
                      <w:szCs w:val="20"/>
                    </w:rPr>
                    <w:t>/</w:t>
                  </w:r>
                </w:p>
              </w:tc>
              <w:tc>
                <w:tcPr>
                  <w:tcW w:w="294" w:type="pct"/>
                  <w:vAlign w:val="center"/>
                </w:tcPr>
                <w:p>
                  <w:pPr>
                    <w:widowControl/>
                    <w:jc w:val="center"/>
                    <w:rPr>
                      <w:color w:val="auto"/>
                      <w:kern w:val="0"/>
                      <w:sz w:val="20"/>
                      <w:szCs w:val="20"/>
                    </w:rPr>
                  </w:pPr>
                  <w:r>
                    <w:rPr>
                      <w:color w:val="auto"/>
                      <w:kern w:val="0"/>
                      <w:sz w:val="20"/>
                      <w:szCs w:val="20"/>
                    </w:rPr>
                    <w:t>/</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55.8</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42.1</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60</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50</w:t>
                  </w:r>
                </w:p>
              </w:tc>
              <w:tc>
                <w:tcPr>
                  <w:tcW w:w="329"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8.0</w:t>
                  </w:r>
                </w:p>
              </w:tc>
              <w:tc>
                <w:tcPr>
                  <w:tcW w:w="329" w:type="pct"/>
                  <w:shd w:val="clear" w:color="auto" w:fill="auto"/>
                  <w:vAlign w:val="center"/>
                </w:tcPr>
                <w:p>
                  <w:pPr>
                    <w:widowControl/>
                    <w:jc w:val="center"/>
                    <w:rPr>
                      <w:rFonts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8.0</w:t>
                  </w:r>
                </w:p>
              </w:tc>
              <w:tc>
                <w:tcPr>
                  <w:tcW w:w="322"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55.8</w:t>
                  </w:r>
                </w:p>
              </w:tc>
              <w:tc>
                <w:tcPr>
                  <w:tcW w:w="264"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42.1</w:t>
                  </w:r>
                </w:p>
              </w:tc>
              <w:tc>
                <w:tcPr>
                  <w:tcW w:w="264" w:type="pct"/>
                  <w:vAlign w:val="center"/>
                </w:tcPr>
                <w:p>
                  <w:pPr>
                    <w:widowControl/>
                    <w:jc w:val="center"/>
                    <w:rPr>
                      <w:color w:val="auto"/>
                      <w:kern w:val="0"/>
                      <w:sz w:val="20"/>
                      <w:szCs w:val="20"/>
                    </w:rPr>
                  </w:pPr>
                  <w:r>
                    <w:rPr>
                      <w:color w:val="auto"/>
                      <w:kern w:val="0"/>
                      <w:sz w:val="20"/>
                      <w:szCs w:val="20"/>
                    </w:rPr>
                    <w:t>/</w:t>
                  </w:r>
                </w:p>
              </w:tc>
              <w:tc>
                <w:tcPr>
                  <w:tcW w:w="264" w:type="pct"/>
                  <w:vAlign w:val="center"/>
                </w:tcPr>
                <w:p>
                  <w:pPr>
                    <w:widowControl/>
                    <w:jc w:val="center"/>
                    <w:rPr>
                      <w:color w:val="auto"/>
                      <w:kern w:val="0"/>
                      <w:sz w:val="20"/>
                      <w:szCs w:val="20"/>
                    </w:rPr>
                  </w:pPr>
                  <w:r>
                    <w:rPr>
                      <w:color w:val="auto"/>
                      <w:kern w:val="0"/>
                      <w:sz w:val="20"/>
                      <w:szCs w:val="20"/>
                    </w:rPr>
                    <w:t>/</w:t>
                  </w:r>
                </w:p>
              </w:tc>
              <w:tc>
                <w:tcPr>
                  <w:tcW w:w="379" w:type="pct"/>
                  <w:vAlign w:val="center"/>
                </w:tcPr>
                <w:p>
                  <w:pPr>
                    <w:widowControl/>
                    <w:jc w:val="center"/>
                    <w:rPr>
                      <w:color w:val="auto"/>
                      <w:kern w:val="0"/>
                      <w:sz w:val="20"/>
                      <w:szCs w:val="20"/>
                    </w:rPr>
                  </w:pPr>
                  <w:r>
                    <w:rPr>
                      <w:color w:val="auto"/>
                      <w:kern w:val="0"/>
                      <w:sz w:val="20"/>
                      <w:szCs w:val="20"/>
                    </w:rPr>
                    <w:t>达标</w:t>
                  </w:r>
                </w:p>
              </w:tc>
              <w:tc>
                <w:tcPr>
                  <w:tcW w:w="378" w:type="pct"/>
                  <w:tcBorders>
                    <w:right w:val="nil"/>
                  </w:tcBorders>
                  <w:vAlign w:val="center"/>
                </w:tcPr>
                <w:p>
                  <w:pPr>
                    <w:widowControl/>
                    <w:jc w:val="center"/>
                    <w:rPr>
                      <w:color w:val="auto"/>
                      <w:kern w:val="0"/>
                      <w:sz w:val="20"/>
                      <w:szCs w:val="20"/>
                    </w:rPr>
                  </w:pPr>
                  <w:r>
                    <w:rPr>
                      <w:color w:val="auto"/>
                      <w:kern w:val="0"/>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pPr>
                    <w:widowControl/>
                    <w:jc w:val="center"/>
                    <w:rPr>
                      <w:color w:val="auto"/>
                      <w:sz w:val="20"/>
                      <w:szCs w:val="20"/>
                    </w:rPr>
                  </w:pPr>
                  <w:r>
                    <w:rPr>
                      <w:rFonts w:hint="eastAsia"/>
                      <w:color w:val="auto"/>
                      <w:kern w:val="0"/>
                      <w:sz w:val="20"/>
                      <w:szCs w:val="20"/>
                      <w:lang w:val="en-US" w:eastAsia="zh-CN"/>
                    </w:rPr>
                    <w:t>N4</w:t>
                  </w:r>
                  <w:r>
                    <w:rPr>
                      <w:color w:val="auto"/>
                      <w:kern w:val="0"/>
                      <w:sz w:val="20"/>
                      <w:szCs w:val="20"/>
                    </w:rPr>
                    <w:t>西厂界外1m</w:t>
                  </w:r>
                </w:p>
              </w:tc>
              <w:tc>
                <w:tcPr>
                  <w:tcW w:w="294" w:type="pct"/>
                  <w:vAlign w:val="center"/>
                </w:tcPr>
                <w:p>
                  <w:pPr>
                    <w:widowControl/>
                    <w:jc w:val="center"/>
                    <w:rPr>
                      <w:color w:val="auto"/>
                      <w:sz w:val="20"/>
                      <w:szCs w:val="20"/>
                    </w:rPr>
                  </w:pPr>
                  <w:r>
                    <w:rPr>
                      <w:color w:val="auto"/>
                      <w:kern w:val="0"/>
                      <w:sz w:val="20"/>
                      <w:szCs w:val="20"/>
                    </w:rPr>
                    <w:t>/</w:t>
                  </w:r>
                </w:p>
              </w:tc>
              <w:tc>
                <w:tcPr>
                  <w:tcW w:w="294" w:type="pct"/>
                  <w:vAlign w:val="center"/>
                </w:tcPr>
                <w:p>
                  <w:pPr>
                    <w:widowControl/>
                    <w:jc w:val="center"/>
                    <w:rPr>
                      <w:color w:val="auto"/>
                      <w:sz w:val="20"/>
                      <w:szCs w:val="20"/>
                    </w:rPr>
                  </w:pPr>
                  <w:r>
                    <w:rPr>
                      <w:color w:val="auto"/>
                      <w:kern w:val="0"/>
                      <w:sz w:val="20"/>
                      <w:szCs w:val="20"/>
                    </w:rPr>
                    <w:t>/</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49.6</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43.2</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60</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50</w:t>
                  </w:r>
                </w:p>
              </w:tc>
              <w:tc>
                <w:tcPr>
                  <w:tcW w:w="329" w:type="pct"/>
                  <w:shd w:val="clear" w:color="auto" w:fill="auto"/>
                  <w:vAlign w:val="center"/>
                </w:tcPr>
                <w:p>
                  <w:pPr>
                    <w:widowControl/>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8.7</w:t>
                  </w:r>
                </w:p>
              </w:tc>
              <w:tc>
                <w:tcPr>
                  <w:tcW w:w="329" w:type="pct"/>
                  <w:shd w:val="clear" w:color="auto" w:fill="auto"/>
                  <w:vAlign w:val="center"/>
                </w:tcPr>
                <w:p>
                  <w:pPr>
                    <w:widowControl/>
                    <w:jc w:val="center"/>
                    <w:rPr>
                      <w:rFonts w:ascii="Times New Roman" w:hAnsi="Times New Roman" w:eastAsia="宋体" w:cs="Times New Roman"/>
                      <w:color w:val="auto"/>
                      <w:kern w:val="0"/>
                      <w:sz w:val="20"/>
                      <w:szCs w:val="20"/>
                      <w:lang w:val="en-US" w:eastAsia="zh-CN" w:bidi="ar-SA"/>
                    </w:rPr>
                  </w:pPr>
                  <w:r>
                    <w:rPr>
                      <w:rFonts w:hint="eastAsia" w:cs="Times New Roman"/>
                      <w:color w:val="auto"/>
                      <w:kern w:val="2"/>
                      <w:sz w:val="20"/>
                      <w:szCs w:val="20"/>
                      <w:lang w:val="en-US" w:eastAsia="zh-CN" w:bidi="ar-SA"/>
                    </w:rPr>
                    <w:t>8.7</w:t>
                  </w:r>
                </w:p>
              </w:tc>
              <w:tc>
                <w:tcPr>
                  <w:tcW w:w="322"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49.6</w:t>
                  </w:r>
                </w:p>
              </w:tc>
              <w:tc>
                <w:tcPr>
                  <w:tcW w:w="264"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43.2</w:t>
                  </w:r>
                </w:p>
              </w:tc>
              <w:tc>
                <w:tcPr>
                  <w:tcW w:w="264" w:type="pct"/>
                  <w:vAlign w:val="center"/>
                </w:tcPr>
                <w:p>
                  <w:pPr>
                    <w:widowControl/>
                    <w:jc w:val="center"/>
                    <w:rPr>
                      <w:color w:val="auto"/>
                      <w:sz w:val="20"/>
                      <w:szCs w:val="20"/>
                    </w:rPr>
                  </w:pPr>
                  <w:r>
                    <w:rPr>
                      <w:color w:val="auto"/>
                      <w:kern w:val="0"/>
                      <w:sz w:val="20"/>
                      <w:szCs w:val="20"/>
                    </w:rPr>
                    <w:t>/</w:t>
                  </w:r>
                </w:p>
              </w:tc>
              <w:tc>
                <w:tcPr>
                  <w:tcW w:w="264" w:type="pct"/>
                  <w:vAlign w:val="center"/>
                </w:tcPr>
                <w:p>
                  <w:pPr>
                    <w:widowControl/>
                    <w:jc w:val="center"/>
                    <w:rPr>
                      <w:color w:val="auto"/>
                      <w:kern w:val="0"/>
                      <w:sz w:val="20"/>
                      <w:szCs w:val="20"/>
                    </w:rPr>
                  </w:pPr>
                  <w:r>
                    <w:rPr>
                      <w:color w:val="auto"/>
                      <w:kern w:val="0"/>
                      <w:sz w:val="20"/>
                      <w:szCs w:val="20"/>
                    </w:rPr>
                    <w:t>/</w:t>
                  </w:r>
                </w:p>
              </w:tc>
              <w:tc>
                <w:tcPr>
                  <w:tcW w:w="379" w:type="pct"/>
                  <w:vAlign w:val="center"/>
                </w:tcPr>
                <w:p>
                  <w:pPr>
                    <w:widowControl/>
                    <w:jc w:val="center"/>
                    <w:rPr>
                      <w:color w:val="auto"/>
                      <w:kern w:val="0"/>
                      <w:sz w:val="20"/>
                      <w:szCs w:val="20"/>
                    </w:rPr>
                  </w:pPr>
                  <w:r>
                    <w:rPr>
                      <w:color w:val="auto"/>
                      <w:kern w:val="0"/>
                      <w:sz w:val="20"/>
                      <w:szCs w:val="20"/>
                    </w:rPr>
                    <w:t>达标</w:t>
                  </w:r>
                </w:p>
              </w:tc>
              <w:tc>
                <w:tcPr>
                  <w:tcW w:w="378" w:type="pct"/>
                  <w:tcBorders>
                    <w:right w:val="nil"/>
                  </w:tcBorders>
                  <w:vAlign w:val="center"/>
                </w:tcPr>
                <w:p>
                  <w:pPr>
                    <w:widowControl/>
                    <w:jc w:val="center"/>
                    <w:rPr>
                      <w:color w:val="auto"/>
                      <w:kern w:val="0"/>
                      <w:sz w:val="20"/>
                      <w:szCs w:val="20"/>
                    </w:rPr>
                  </w:pPr>
                  <w:r>
                    <w:rPr>
                      <w:color w:val="auto"/>
                      <w:kern w:val="0"/>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pPr>
                    <w:widowControl/>
                    <w:jc w:val="center"/>
                    <w:rPr>
                      <w:color w:val="auto"/>
                      <w:sz w:val="20"/>
                      <w:szCs w:val="20"/>
                    </w:rPr>
                  </w:pPr>
                  <w:r>
                    <w:rPr>
                      <w:rFonts w:hint="eastAsia"/>
                      <w:color w:val="auto"/>
                      <w:kern w:val="0"/>
                      <w:sz w:val="20"/>
                      <w:szCs w:val="20"/>
                      <w:lang w:val="en-US" w:eastAsia="zh-CN"/>
                    </w:rPr>
                    <w:t>N5</w:t>
                  </w:r>
                  <w:r>
                    <w:rPr>
                      <w:color w:val="auto"/>
                      <w:kern w:val="0"/>
                      <w:sz w:val="20"/>
                      <w:szCs w:val="20"/>
                    </w:rPr>
                    <w:t>北厂界外1m</w:t>
                  </w:r>
                </w:p>
              </w:tc>
              <w:tc>
                <w:tcPr>
                  <w:tcW w:w="294" w:type="pct"/>
                  <w:vAlign w:val="center"/>
                </w:tcPr>
                <w:p>
                  <w:pPr>
                    <w:widowControl/>
                    <w:jc w:val="center"/>
                    <w:rPr>
                      <w:color w:val="auto"/>
                      <w:sz w:val="20"/>
                      <w:szCs w:val="20"/>
                    </w:rPr>
                  </w:pPr>
                  <w:r>
                    <w:rPr>
                      <w:color w:val="auto"/>
                      <w:kern w:val="0"/>
                      <w:sz w:val="20"/>
                      <w:szCs w:val="20"/>
                    </w:rPr>
                    <w:t>/</w:t>
                  </w:r>
                </w:p>
              </w:tc>
              <w:tc>
                <w:tcPr>
                  <w:tcW w:w="294" w:type="pct"/>
                  <w:vAlign w:val="center"/>
                </w:tcPr>
                <w:p>
                  <w:pPr>
                    <w:widowControl/>
                    <w:jc w:val="center"/>
                    <w:rPr>
                      <w:color w:val="auto"/>
                      <w:sz w:val="20"/>
                      <w:szCs w:val="20"/>
                    </w:rPr>
                  </w:pPr>
                  <w:r>
                    <w:rPr>
                      <w:color w:val="auto"/>
                      <w:kern w:val="0"/>
                      <w:sz w:val="20"/>
                      <w:szCs w:val="20"/>
                    </w:rPr>
                    <w:t>/</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51.6</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46.5</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60</w:t>
                  </w:r>
                </w:p>
              </w:tc>
              <w:tc>
                <w:tcPr>
                  <w:tcW w:w="725" w:type="dxa"/>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50</w:t>
                  </w:r>
                </w:p>
              </w:tc>
              <w:tc>
                <w:tcPr>
                  <w:tcW w:w="329" w:type="pct"/>
                  <w:shd w:val="clear" w:color="auto" w:fill="auto"/>
                  <w:vAlign w:val="center"/>
                </w:tcPr>
                <w:p>
                  <w:pPr>
                    <w:widowControl/>
                    <w:jc w:val="center"/>
                    <w:rPr>
                      <w:rFonts w:hint="default" w:ascii="Times New Roman" w:hAnsi="Times New Roman" w:eastAsia="宋体" w:cs="Times New Roman"/>
                      <w:color w:val="auto"/>
                      <w:kern w:val="2"/>
                      <w:sz w:val="20"/>
                      <w:szCs w:val="20"/>
                      <w:lang w:val="en-US" w:eastAsia="zh-CN" w:bidi="ar-SA"/>
                    </w:rPr>
                  </w:pPr>
                  <w:r>
                    <w:rPr>
                      <w:rFonts w:hint="eastAsia" w:cs="Times New Roman"/>
                      <w:color w:val="auto"/>
                      <w:kern w:val="2"/>
                      <w:sz w:val="20"/>
                      <w:szCs w:val="20"/>
                      <w:lang w:val="en-US" w:eastAsia="zh-CN" w:bidi="ar-SA"/>
                    </w:rPr>
                    <w:t>20.4</w:t>
                  </w:r>
                </w:p>
              </w:tc>
              <w:tc>
                <w:tcPr>
                  <w:tcW w:w="329" w:type="pct"/>
                  <w:shd w:val="clear" w:color="auto" w:fill="auto"/>
                  <w:vAlign w:val="center"/>
                </w:tcPr>
                <w:p>
                  <w:pPr>
                    <w:widowControl/>
                    <w:jc w:val="center"/>
                    <w:rPr>
                      <w:rFonts w:ascii="Times New Roman" w:hAnsi="Times New Roman" w:eastAsia="宋体" w:cs="Times New Roman"/>
                      <w:color w:val="auto"/>
                      <w:kern w:val="0"/>
                      <w:sz w:val="20"/>
                      <w:szCs w:val="20"/>
                      <w:lang w:val="en-US" w:eastAsia="zh-CN" w:bidi="ar-SA"/>
                    </w:rPr>
                  </w:pPr>
                  <w:r>
                    <w:rPr>
                      <w:rFonts w:hint="eastAsia" w:cs="Times New Roman"/>
                      <w:color w:val="auto"/>
                      <w:kern w:val="2"/>
                      <w:sz w:val="20"/>
                      <w:szCs w:val="20"/>
                      <w:lang w:val="en-US" w:eastAsia="zh-CN" w:bidi="ar-SA"/>
                    </w:rPr>
                    <w:t>20.4</w:t>
                  </w:r>
                </w:p>
              </w:tc>
              <w:tc>
                <w:tcPr>
                  <w:tcW w:w="322"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51.6</w:t>
                  </w:r>
                </w:p>
              </w:tc>
              <w:tc>
                <w:tcPr>
                  <w:tcW w:w="264"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46.5</w:t>
                  </w:r>
                </w:p>
              </w:tc>
              <w:tc>
                <w:tcPr>
                  <w:tcW w:w="264" w:type="pct"/>
                  <w:vAlign w:val="center"/>
                </w:tcPr>
                <w:p>
                  <w:pPr>
                    <w:widowControl/>
                    <w:jc w:val="center"/>
                    <w:rPr>
                      <w:color w:val="auto"/>
                      <w:sz w:val="20"/>
                      <w:szCs w:val="20"/>
                    </w:rPr>
                  </w:pPr>
                  <w:r>
                    <w:rPr>
                      <w:color w:val="auto"/>
                      <w:kern w:val="0"/>
                      <w:sz w:val="20"/>
                      <w:szCs w:val="20"/>
                    </w:rPr>
                    <w:t>/</w:t>
                  </w:r>
                </w:p>
              </w:tc>
              <w:tc>
                <w:tcPr>
                  <w:tcW w:w="264" w:type="pct"/>
                  <w:vAlign w:val="center"/>
                </w:tcPr>
                <w:p>
                  <w:pPr>
                    <w:widowControl/>
                    <w:jc w:val="center"/>
                    <w:rPr>
                      <w:color w:val="auto"/>
                      <w:kern w:val="0"/>
                      <w:sz w:val="20"/>
                      <w:szCs w:val="20"/>
                    </w:rPr>
                  </w:pPr>
                  <w:r>
                    <w:rPr>
                      <w:color w:val="auto"/>
                      <w:kern w:val="0"/>
                      <w:sz w:val="20"/>
                      <w:szCs w:val="20"/>
                    </w:rPr>
                    <w:t>/</w:t>
                  </w:r>
                </w:p>
              </w:tc>
              <w:tc>
                <w:tcPr>
                  <w:tcW w:w="379" w:type="pct"/>
                  <w:vAlign w:val="center"/>
                </w:tcPr>
                <w:p>
                  <w:pPr>
                    <w:widowControl/>
                    <w:jc w:val="center"/>
                    <w:rPr>
                      <w:color w:val="auto"/>
                      <w:kern w:val="0"/>
                      <w:sz w:val="20"/>
                      <w:szCs w:val="20"/>
                    </w:rPr>
                  </w:pPr>
                  <w:r>
                    <w:rPr>
                      <w:color w:val="auto"/>
                      <w:kern w:val="0"/>
                      <w:sz w:val="20"/>
                      <w:szCs w:val="20"/>
                    </w:rPr>
                    <w:t>达标</w:t>
                  </w:r>
                </w:p>
              </w:tc>
              <w:tc>
                <w:tcPr>
                  <w:tcW w:w="378" w:type="pct"/>
                  <w:tcBorders>
                    <w:right w:val="nil"/>
                  </w:tcBorders>
                  <w:vAlign w:val="center"/>
                </w:tcPr>
                <w:p>
                  <w:pPr>
                    <w:widowControl/>
                    <w:jc w:val="center"/>
                    <w:rPr>
                      <w:color w:val="auto"/>
                      <w:kern w:val="0"/>
                      <w:sz w:val="20"/>
                      <w:szCs w:val="20"/>
                    </w:rPr>
                  </w:pPr>
                  <w:r>
                    <w:rPr>
                      <w:color w:val="auto"/>
                      <w:kern w:val="0"/>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N6西侧九华镇卫生院</w:t>
                  </w:r>
                </w:p>
              </w:tc>
              <w:tc>
                <w:tcPr>
                  <w:tcW w:w="294" w:type="pct"/>
                  <w:vAlign w:val="center"/>
                </w:tcPr>
                <w:p>
                  <w:pPr>
                    <w:widowControl/>
                    <w:jc w:val="center"/>
                    <w:rPr>
                      <w:color w:val="auto"/>
                      <w:kern w:val="0"/>
                      <w:sz w:val="20"/>
                      <w:szCs w:val="20"/>
                    </w:rPr>
                  </w:pPr>
                  <w:r>
                    <w:rPr>
                      <w:color w:val="auto"/>
                      <w:kern w:val="0"/>
                      <w:sz w:val="20"/>
                      <w:szCs w:val="20"/>
                    </w:rPr>
                    <w:t>/</w:t>
                  </w:r>
                </w:p>
              </w:tc>
              <w:tc>
                <w:tcPr>
                  <w:tcW w:w="294" w:type="pct"/>
                  <w:vAlign w:val="center"/>
                </w:tcPr>
                <w:p>
                  <w:pPr>
                    <w:widowControl/>
                    <w:jc w:val="center"/>
                    <w:rPr>
                      <w:color w:val="auto"/>
                      <w:kern w:val="0"/>
                      <w:sz w:val="20"/>
                      <w:szCs w:val="20"/>
                    </w:rPr>
                  </w:pPr>
                  <w:r>
                    <w:rPr>
                      <w:color w:val="auto"/>
                      <w:kern w:val="0"/>
                      <w:sz w:val="20"/>
                      <w:szCs w:val="20"/>
                    </w:rPr>
                    <w:t>/</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45.7</w:t>
                  </w:r>
                </w:p>
              </w:tc>
              <w:tc>
                <w:tcPr>
                  <w:tcW w:w="321" w:type="pct"/>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39.6</w:t>
                  </w:r>
                </w:p>
              </w:tc>
              <w:tc>
                <w:tcPr>
                  <w:tcW w:w="287" w:type="pct"/>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55</w:t>
                  </w:r>
                </w:p>
              </w:tc>
              <w:tc>
                <w:tcPr>
                  <w:tcW w:w="287" w:type="pct"/>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45</w:t>
                  </w:r>
                </w:p>
              </w:tc>
              <w:tc>
                <w:tcPr>
                  <w:tcW w:w="329"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15.3</w:t>
                  </w:r>
                </w:p>
              </w:tc>
              <w:tc>
                <w:tcPr>
                  <w:tcW w:w="329" w:type="pct"/>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15.3</w:t>
                  </w:r>
                </w:p>
              </w:tc>
              <w:tc>
                <w:tcPr>
                  <w:tcW w:w="322" w:type="pct"/>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45.7</w:t>
                  </w:r>
                </w:p>
              </w:tc>
              <w:tc>
                <w:tcPr>
                  <w:tcW w:w="264" w:type="pct"/>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39.6</w:t>
                  </w:r>
                </w:p>
              </w:tc>
              <w:tc>
                <w:tcPr>
                  <w:tcW w:w="264" w:type="pct"/>
                  <w:vAlign w:val="center"/>
                </w:tcPr>
                <w:p>
                  <w:pPr>
                    <w:widowControl/>
                    <w:jc w:val="center"/>
                    <w:rPr>
                      <w:rFonts w:hint="eastAsia" w:eastAsia="宋体"/>
                      <w:color w:val="FF0000"/>
                      <w:kern w:val="0"/>
                      <w:sz w:val="20"/>
                      <w:szCs w:val="20"/>
                      <w:highlight w:val="none"/>
                      <w:lang w:eastAsia="zh-CN"/>
                    </w:rPr>
                  </w:pPr>
                  <w:r>
                    <w:rPr>
                      <w:rFonts w:hint="eastAsia"/>
                      <w:color w:val="FF0000"/>
                      <w:kern w:val="0"/>
                      <w:sz w:val="20"/>
                      <w:szCs w:val="20"/>
                      <w:highlight w:val="none"/>
                      <w:lang w:val="en-US" w:eastAsia="zh-CN"/>
                    </w:rPr>
                    <w:t>0</w:t>
                  </w:r>
                </w:p>
              </w:tc>
              <w:tc>
                <w:tcPr>
                  <w:tcW w:w="264" w:type="pct"/>
                  <w:vAlign w:val="center"/>
                </w:tcPr>
                <w:p>
                  <w:pPr>
                    <w:widowControl/>
                    <w:jc w:val="center"/>
                    <w:rPr>
                      <w:rFonts w:hint="eastAsia" w:eastAsia="宋体"/>
                      <w:color w:val="FF0000"/>
                      <w:kern w:val="0"/>
                      <w:sz w:val="20"/>
                      <w:szCs w:val="20"/>
                      <w:highlight w:val="none"/>
                      <w:lang w:eastAsia="zh-CN"/>
                    </w:rPr>
                  </w:pPr>
                  <w:r>
                    <w:rPr>
                      <w:rFonts w:hint="eastAsia"/>
                      <w:color w:val="FF0000"/>
                      <w:kern w:val="0"/>
                      <w:sz w:val="20"/>
                      <w:szCs w:val="20"/>
                      <w:highlight w:val="none"/>
                      <w:lang w:val="en-US" w:eastAsia="zh-CN"/>
                    </w:rPr>
                    <w:t>0</w:t>
                  </w:r>
                </w:p>
              </w:tc>
              <w:tc>
                <w:tcPr>
                  <w:tcW w:w="379" w:type="pct"/>
                  <w:vAlign w:val="center"/>
                </w:tcPr>
                <w:p>
                  <w:pPr>
                    <w:widowControl/>
                    <w:jc w:val="center"/>
                    <w:rPr>
                      <w:color w:val="auto"/>
                      <w:kern w:val="0"/>
                      <w:sz w:val="20"/>
                      <w:szCs w:val="20"/>
                    </w:rPr>
                  </w:pPr>
                  <w:r>
                    <w:rPr>
                      <w:color w:val="auto"/>
                      <w:kern w:val="0"/>
                      <w:sz w:val="20"/>
                      <w:szCs w:val="20"/>
                    </w:rPr>
                    <w:t>达标</w:t>
                  </w:r>
                </w:p>
              </w:tc>
              <w:tc>
                <w:tcPr>
                  <w:tcW w:w="378" w:type="pct"/>
                  <w:tcBorders>
                    <w:right w:val="nil"/>
                  </w:tcBorders>
                  <w:vAlign w:val="center"/>
                </w:tcPr>
                <w:p>
                  <w:pPr>
                    <w:widowControl/>
                    <w:jc w:val="center"/>
                    <w:rPr>
                      <w:color w:val="auto"/>
                      <w:kern w:val="0"/>
                      <w:sz w:val="20"/>
                      <w:szCs w:val="20"/>
                    </w:rPr>
                  </w:pPr>
                  <w:r>
                    <w:rPr>
                      <w:color w:val="auto"/>
                      <w:kern w:val="0"/>
                      <w:sz w:val="20"/>
                      <w:szCs w:val="20"/>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1" w:type="pct"/>
                  <w:tcBorders>
                    <w:bottom w:val="single" w:color="auto" w:sz="12" w:space="0"/>
                  </w:tcBorders>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N7南侧居民（</w:t>
                  </w:r>
                  <w:r>
                    <w:rPr>
                      <w:rFonts w:hint="eastAsia"/>
                      <w:bCs/>
                      <w:color w:val="FF0000"/>
                      <w:sz w:val="20"/>
                      <w:szCs w:val="20"/>
                      <w:lang w:val="en-US" w:eastAsia="zh-CN"/>
                    </w:rPr>
                    <w:t>马桥村十九组</w:t>
                  </w:r>
                  <w:r>
                    <w:rPr>
                      <w:rFonts w:hint="eastAsia"/>
                      <w:color w:val="auto"/>
                      <w:kern w:val="0"/>
                      <w:sz w:val="20"/>
                      <w:szCs w:val="20"/>
                      <w:lang w:val="en-US" w:eastAsia="zh-CN"/>
                    </w:rPr>
                    <w:t>）</w:t>
                  </w:r>
                </w:p>
              </w:tc>
              <w:tc>
                <w:tcPr>
                  <w:tcW w:w="294" w:type="pct"/>
                  <w:tcBorders>
                    <w:bottom w:val="single" w:color="auto" w:sz="12" w:space="0"/>
                  </w:tcBorders>
                  <w:vAlign w:val="center"/>
                </w:tcPr>
                <w:p>
                  <w:pPr>
                    <w:widowControl/>
                    <w:jc w:val="center"/>
                    <w:rPr>
                      <w:color w:val="auto"/>
                      <w:kern w:val="0"/>
                      <w:sz w:val="20"/>
                      <w:szCs w:val="20"/>
                    </w:rPr>
                  </w:pPr>
                  <w:r>
                    <w:rPr>
                      <w:color w:val="auto"/>
                      <w:kern w:val="0"/>
                      <w:sz w:val="20"/>
                      <w:szCs w:val="20"/>
                    </w:rPr>
                    <w:t>/</w:t>
                  </w:r>
                </w:p>
              </w:tc>
              <w:tc>
                <w:tcPr>
                  <w:tcW w:w="294" w:type="pct"/>
                  <w:tcBorders>
                    <w:bottom w:val="single" w:color="auto" w:sz="12" w:space="0"/>
                  </w:tcBorders>
                  <w:vAlign w:val="center"/>
                </w:tcPr>
                <w:p>
                  <w:pPr>
                    <w:widowControl/>
                    <w:jc w:val="center"/>
                    <w:rPr>
                      <w:color w:val="auto"/>
                      <w:kern w:val="0"/>
                      <w:sz w:val="20"/>
                      <w:szCs w:val="20"/>
                    </w:rPr>
                  </w:pPr>
                  <w:r>
                    <w:rPr>
                      <w:color w:val="auto"/>
                      <w:kern w:val="0"/>
                      <w:sz w:val="20"/>
                      <w:szCs w:val="20"/>
                    </w:rPr>
                    <w:t>/</w:t>
                  </w:r>
                </w:p>
              </w:tc>
              <w:tc>
                <w:tcPr>
                  <w:tcW w:w="321" w:type="pct"/>
                  <w:tcBorders>
                    <w:bottom w:val="single" w:color="auto" w:sz="12" w:space="0"/>
                  </w:tcBorders>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53.1</w:t>
                  </w:r>
                </w:p>
              </w:tc>
              <w:tc>
                <w:tcPr>
                  <w:tcW w:w="321" w:type="pct"/>
                  <w:tcBorders>
                    <w:bottom w:val="single" w:color="auto" w:sz="12" w:space="0"/>
                  </w:tcBorders>
                  <w:vAlign w:val="center"/>
                </w:tcPr>
                <w:p>
                  <w:pPr>
                    <w:widowControl/>
                    <w:jc w:val="center"/>
                    <w:rPr>
                      <w:rFonts w:hint="eastAsia" w:ascii="Times New Roman" w:hAnsi="Times New Roman" w:eastAsia="宋体" w:cs="Times New Roman"/>
                      <w:color w:val="auto"/>
                      <w:kern w:val="0"/>
                      <w:sz w:val="20"/>
                      <w:szCs w:val="20"/>
                      <w:lang w:val="en-US" w:eastAsia="zh-CN"/>
                    </w:rPr>
                  </w:pPr>
                  <w:r>
                    <w:rPr>
                      <w:rFonts w:hint="eastAsia" w:ascii="Times New Roman" w:hAnsi="Times New Roman" w:eastAsia="宋体" w:cs="Times New Roman"/>
                      <w:color w:val="auto"/>
                      <w:kern w:val="0"/>
                      <w:sz w:val="20"/>
                      <w:szCs w:val="20"/>
                      <w:lang w:val="en-US" w:eastAsia="zh-CN"/>
                    </w:rPr>
                    <w:t>40.8</w:t>
                  </w:r>
                </w:p>
              </w:tc>
              <w:tc>
                <w:tcPr>
                  <w:tcW w:w="725" w:type="dxa"/>
                  <w:tcBorders>
                    <w:bottom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70</w:t>
                  </w:r>
                </w:p>
              </w:tc>
              <w:tc>
                <w:tcPr>
                  <w:tcW w:w="725" w:type="dxa"/>
                  <w:tcBorders>
                    <w:bottom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55</w:t>
                  </w:r>
                </w:p>
              </w:tc>
              <w:tc>
                <w:tcPr>
                  <w:tcW w:w="329" w:type="pct"/>
                  <w:tcBorders>
                    <w:bottom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13.9</w:t>
                  </w:r>
                </w:p>
              </w:tc>
              <w:tc>
                <w:tcPr>
                  <w:tcW w:w="329" w:type="pct"/>
                  <w:tcBorders>
                    <w:bottom w:val="single" w:color="auto" w:sz="12" w:space="0"/>
                  </w:tcBorders>
                  <w:shd w:val="clear" w:color="auto" w:fill="auto"/>
                  <w:vAlign w:val="center"/>
                </w:tcPr>
                <w:p>
                  <w:pPr>
                    <w:widowControl/>
                    <w:jc w:val="center"/>
                    <w:rPr>
                      <w:rFonts w:hint="default" w:ascii="Times New Roman" w:hAnsi="Times New Roman" w:eastAsia="宋体" w:cs="Times New Roman"/>
                      <w:color w:val="auto"/>
                      <w:kern w:val="0"/>
                      <w:sz w:val="20"/>
                      <w:szCs w:val="20"/>
                      <w:lang w:val="en-US" w:eastAsia="zh-CN" w:bidi="ar-SA"/>
                    </w:rPr>
                  </w:pPr>
                  <w:r>
                    <w:rPr>
                      <w:rFonts w:hint="eastAsia" w:cs="Times New Roman"/>
                      <w:color w:val="auto"/>
                      <w:kern w:val="0"/>
                      <w:sz w:val="20"/>
                      <w:szCs w:val="20"/>
                      <w:lang w:val="en-US" w:eastAsia="zh-CN" w:bidi="ar-SA"/>
                    </w:rPr>
                    <w:t>13.9</w:t>
                  </w:r>
                </w:p>
              </w:tc>
              <w:tc>
                <w:tcPr>
                  <w:tcW w:w="322" w:type="pct"/>
                  <w:tcBorders>
                    <w:bottom w:val="single" w:color="auto" w:sz="12" w:space="0"/>
                  </w:tcBorders>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53.1</w:t>
                  </w:r>
                </w:p>
              </w:tc>
              <w:tc>
                <w:tcPr>
                  <w:tcW w:w="264" w:type="pct"/>
                  <w:tcBorders>
                    <w:bottom w:val="single" w:color="auto" w:sz="12" w:space="0"/>
                  </w:tcBorders>
                  <w:vAlign w:val="center"/>
                </w:tcPr>
                <w:p>
                  <w:pPr>
                    <w:widowControl/>
                    <w:jc w:val="center"/>
                    <w:rPr>
                      <w:rFonts w:hint="default" w:eastAsia="宋体"/>
                      <w:color w:val="auto"/>
                      <w:kern w:val="0"/>
                      <w:sz w:val="20"/>
                      <w:szCs w:val="20"/>
                      <w:lang w:val="en-US" w:eastAsia="zh-CN"/>
                    </w:rPr>
                  </w:pPr>
                  <w:r>
                    <w:rPr>
                      <w:rFonts w:hint="eastAsia"/>
                      <w:color w:val="auto"/>
                      <w:kern w:val="0"/>
                      <w:sz w:val="20"/>
                      <w:szCs w:val="20"/>
                      <w:lang w:val="en-US" w:eastAsia="zh-CN"/>
                    </w:rPr>
                    <w:t>40.8</w:t>
                  </w:r>
                </w:p>
              </w:tc>
              <w:tc>
                <w:tcPr>
                  <w:tcW w:w="264" w:type="pct"/>
                  <w:tcBorders>
                    <w:bottom w:val="single" w:color="auto" w:sz="12" w:space="0"/>
                  </w:tcBorders>
                  <w:vAlign w:val="center"/>
                </w:tcPr>
                <w:p>
                  <w:pPr>
                    <w:widowControl/>
                    <w:jc w:val="center"/>
                    <w:rPr>
                      <w:rFonts w:hint="eastAsia" w:eastAsia="宋体"/>
                      <w:color w:val="FF0000"/>
                      <w:kern w:val="0"/>
                      <w:sz w:val="20"/>
                      <w:szCs w:val="20"/>
                      <w:highlight w:val="none"/>
                      <w:lang w:eastAsia="zh-CN"/>
                    </w:rPr>
                  </w:pPr>
                  <w:r>
                    <w:rPr>
                      <w:rFonts w:hint="eastAsia"/>
                      <w:color w:val="FF0000"/>
                      <w:kern w:val="0"/>
                      <w:sz w:val="20"/>
                      <w:szCs w:val="20"/>
                      <w:highlight w:val="none"/>
                      <w:lang w:val="en-US" w:eastAsia="zh-CN"/>
                    </w:rPr>
                    <w:t>0</w:t>
                  </w:r>
                </w:p>
              </w:tc>
              <w:tc>
                <w:tcPr>
                  <w:tcW w:w="264" w:type="pct"/>
                  <w:tcBorders>
                    <w:bottom w:val="single" w:color="auto" w:sz="12" w:space="0"/>
                  </w:tcBorders>
                  <w:vAlign w:val="center"/>
                </w:tcPr>
                <w:p>
                  <w:pPr>
                    <w:widowControl/>
                    <w:jc w:val="center"/>
                    <w:rPr>
                      <w:rFonts w:hint="eastAsia" w:eastAsia="宋体"/>
                      <w:color w:val="FF0000"/>
                      <w:kern w:val="0"/>
                      <w:sz w:val="20"/>
                      <w:szCs w:val="20"/>
                      <w:highlight w:val="none"/>
                      <w:lang w:eastAsia="zh-CN"/>
                    </w:rPr>
                  </w:pPr>
                  <w:r>
                    <w:rPr>
                      <w:rFonts w:hint="eastAsia"/>
                      <w:color w:val="FF0000"/>
                      <w:kern w:val="0"/>
                      <w:sz w:val="20"/>
                      <w:szCs w:val="20"/>
                      <w:highlight w:val="none"/>
                      <w:lang w:val="en-US" w:eastAsia="zh-CN"/>
                    </w:rPr>
                    <w:t>0</w:t>
                  </w:r>
                </w:p>
              </w:tc>
              <w:tc>
                <w:tcPr>
                  <w:tcW w:w="379" w:type="pct"/>
                  <w:tcBorders>
                    <w:bottom w:val="single" w:color="auto" w:sz="12" w:space="0"/>
                  </w:tcBorders>
                  <w:vAlign w:val="center"/>
                </w:tcPr>
                <w:p>
                  <w:pPr>
                    <w:widowControl/>
                    <w:jc w:val="center"/>
                    <w:rPr>
                      <w:color w:val="auto"/>
                      <w:kern w:val="0"/>
                      <w:sz w:val="20"/>
                      <w:szCs w:val="20"/>
                    </w:rPr>
                  </w:pPr>
                  <w:r>
                    <w:rPr>
                      <w:color w:val="auto"/>
                      <w:kern w:val="0"/>
                      <w:sz w:val="20"/>
                      <w:szCs w:val="20"/>
                    </w:rPr>
                    <w:t>达标</w:t>
                  </w:r>
                </w:p>
              </w:tc>
              <w:tc>
                <w:tcPr>
                  <w:tcW w:w="378" w:type="pct"/>
                  <w:tcBorders>
                    <w:bottom w:val="single" w:color="auto" w:sz="12" w:space="0"/>
                    <w:right w:val="nil"/>
                  </w:tcBorders>
                  <w:vAlign w:val="center"/>
                </w:tcPr>
                <w:p>
                  <w:pPr>
                    <w:widowControl/>
                    <w:jc w:val="center"/>
                    <w:rPr>
                      <w:color w:val="auto"/>
                      <w:kern w:val="0"/>
                      <w:sz w:val="20"/>
                      <w:szCs w:val="20"/>
                    </w:rPr>
                  </w:pPr>
                  <w:r>
                    <w:rPr>
                      <w:color w:val="auto"/>
                      <w:kern w:val="0"/>
                      <w:sz w:val="20"/>
                      <w:szCs w:val="20"/>
                    </w:rPr>
                    <w:t>达标</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eastAsia="宋体"/>
                <w:b/>
                <w:bCs w:val="0"/>
                <w:color w:val="FF0000"/>
                <w:kern w:val="0"/>
                <w:sz w:val="18"/>
                <w:szCs w:val="18"/>
                <w:lang w:val="en-US" w:eastAsia="zh-CN"/>
              </w:rPr>
            </w:pPr>
            <w:r>
              <w:rPr>
                <w:rFonts w:hint="eastAsia"/>
                <w:b/>
                <w:bCs w:val="0"/>
                <w:color w:val="FF0000"/>
                <w:kern w:val="0"/>
                <w:sz w:val="18"/>
                <w:szCs w:val="18"/>
                <w:lang w:val="en-US" w:eastAsia="zh-CN"/>
              </w:rPr>
              <w:t>注：[1]噪声现状值</w:t>
            </w:r>
            <w:r>
              <w:rPr>
                <w:rFonts w:hint="eastAsia" w:cs="Times New Roman"/>
                <w:b/>
                <w:bCs w:val="0"/>
                <w:color w:val="FF0000"/>
                <w:sz w:val="18"/>
                <w:szCs w:val="18"/>
                <w:lang w:val="en-US" w:eastAsia="zh-CN"/>
              </w:rPr>
              <w:t>来自</w:t>
            </w:r>
            <w:r>
              <w:rPr>
                <w:rFonts w:hint="eastAsia" w:ascii="Times New Roman" w:hAnsi="Times New Roman" w:eastAsia="宋体" w:cs="Times New Roman"/>
                <w:b/>
                <w:bCs w:val="0"/>
                <w:color w:val="FF0000"/>
                <w:sz w:val="18"/>
                <w:szCs w:val="18"/>
                <w:lang w:val="en-US" w:eastAsia="zh-CN"/>
              </w:rPr>
              <w:t>江苏科测检测科技有限公司</w:t>
            </w:r>
            <w:r>
              <w:rPr>
                <w:rFonts w:hint="eastAsia" w:ascii="Times New Roman" w:hAnsi="Times New Roman" w:eastAsia="宋体" w:cs="Times New Roman"/>
                <w:b/>
                <w:bCs w:val="0"/>
                <w:color w:val="FF0000"/>
                <w:sz w:val="18"/>
                <w:szCs w:val="18"/>
                <w:lang w:eastAsia="zh-CN"/>
              </w:rPr>
              <w:t>202</w:t>
            </w:r>
            <w:r>
              <w:rPr>
                <w:rFonts w:hint="eastAsia" w:ascii="Times New Roman" w:hAnsi="Times New Roman" w:eastAsia="宋体" w:cs="Times New Roman"/>
                <w:b/>
                <w:bCs w:val="0"/>
                <w:color w:val="FF0000"/>
                <w:sz w:val="18"/>
                <w:szCs w:val="18"/>
                <w:lang w:val="en-US" w:eastAsia="zh-CN"/>
              </w:rPr>
              <w:t>6</w:t>
            </w:r>
            <w:r>
              <w:rPr>
                <w:rFonts w:hint="eastAsia" w:ascii="Times New Roman" w:hAnsi="Times New Roman" w:eastAsia="宋体" w:cs="Times New Roman"/>
                <w:b/>
                <w:bCs w:val="0"/>
                <w:color w:val="FF0000"/>
                <w:sz w:val="18"/>
                <w:szCs w:val="18"/>
                <w:lang w:eastAsia="zh-CN"/>
              </w:rPr>
              <w:t>年</w:t>
            </w:r>
            <w:r>
              <w:rPr>
                <w:rFonts w:hint="eastAsia" w:ascii="Times New Roman" w:hAnsi="Times New Roman" w:eastAsia="宋体" w:cs="Times New Roman"/>
                <w:b/>
                <w:bCs w:val="0"/>
                <w:color w:val="FF0000"/>
                <w:sz w:val="18"/>
                <w:szCs w:val="18"/>
                <w:lang w:val="en-US" w:eastAsia="zh-CN"/>
              </w:rPr>
              <w:t>3</w:t>
            </w:r>
            <w:r>
              <w:rPr>
                <w:rFonts w:hint="eastAsia" w:ascii="Times New Roman" w:hAnsi="Times New Roman" w:eastAsia="宋体" w:cs="Times New Roman"/>
                <w:b/>
                <w:bCs w:val="0"/>
                <w:color w:val="FF0000"/>
                <w:sz w:val="18"/>
                <w:szCs w:val="18"/>
                <w:lang w:eastAsia="zh-CN"/>
              </w:rPr>
              <w:t>月</w:t>
            </w:r>
            <w:r>
              <w:rPr>
                <w:rFonts w:hint="eastAsia" w:ascii="Times New Roman" w:hAnsi="Times New Roman" w:eastAsia="宋体" w:cs="Times New Roman"/>
                <w:b/>
                <w:bCs w:val="0"/>
                <w:color w:val="FF0000"/>
                <w:sz w:val="18"/>
                <w:szCs w:val="18"/>
                <w:lang w:val="en-US" w:eastAsia="zh-CN"/>
              </w:rPr>
              <w:t>28</w:t>
            </w:r>
            <w:r>
              <w:rPr>
                <w:rFonts w:hint="eastAsia" w:ascii="Times New Roman" w:hAnsi="Times New Roman" w:eastAsia="宋体" w:cs="Times New Roman"/>
                <w:b/>
                <w:bCs w:val="0"/>
                <w:color w:val="FF0000"/>
                <w:sz w:val="18"/>
                <w:szCs w:val="18"/>
                <w:lang w:eastAsia="zh-CN"/>
              </w:rPr>
              <w:t>日</w:t>
            </w:r>
            <w:r>
              <w:rPr>
                <w:rFonts w:hint="eastAsia" w:ascii="Times New Roman" w:hAnsi="Times New Roman" w:eastAsia="宋体" w:cs="Times New Roman"/>
                <w:b/>
                <w:bCs w:val="0"/>
                <w:color w:val="FF0000"/>
                <w:sz w:val="18"/>
                <w:szCs w:val="18"/>
                <w:lang w:val="en-US" w:eastAsia="zh-CN"/>
              </w:rPr>
              <w:t>~</w:t>
            </w:r>
            <w:r>
              <w:rPr>
                <w:rFonts w:hint="eastAsia" w:ascii="Times New Roman" w:hAnsi="Times New Roman" w:eastAsia="宋体" w:cs="Times New Roman"/>
                <w:b/>
                <w:bCs w:val="0"/>
                <w:color w:val="FF0000"/>
                <w:sz w:val="18"/>
                <w:szCs w:val="18"/>
                <w:lang w:eastAsia="zh-CN"/>
              </w:rPr>
              <w:t>202</w:t>
            </w:r>
            <w:r>
              <w:rPr>
                <w:rFonts w:hint="eastAsia" w:ascii="Times New Roman" w:hAnsi="Times New Roman" w:eastAsia="宋体" w:cs="Times New Roman"/>
                <w:b/>
                <w:bCs w:val="0"/>
                <w:color w:val="FF0000"/>
                <w:sz w:val="18"/>
                <w:szCs w:val="18"/>
                <w:lang w:val="en-US" w:eastAsia="zh-CN"/>
              </w:rPr>
              <w:t>6</w:t>
            </w:r>
            <w:r>
              <w:rPr>
                <w:rFonts w:hint="eastAsia" w:ascii="Times New Roman" w:hAnsi="Times New Roman" w:eastAsia="宋体" w:cs="Times New Roman"/>
                <w:b/>
                <w:bCs w:val="0"/>
                <w:color w:val="FF0000"/>
                <w:sz w:val="18"/>
                <w:szCs w:val="18"/>
                <w:lang w:eastAsia="zh-CN"/>
              </w:rPr>
              <w:t>年</w:t>
            </w:r>
            <w:r>
              <w:rPr>
                <w:rFonts w:hint="eastAsia" w:ascii="Times New Roman" w:hAnsi="Times New Roman" w:eastAsia="宋体" w:cs="Times New Roman"/>
                <w:b/>
                <w:bCs w:val="0"/>
                <w:color w:val="FF0000"/>
                <w:sz w:val="18"/>
                <w:szCs w:val="18"/>
                <w:lang w:val="en-US" w:eastAsia="zh-CN"/>
              </w:rPr>
              <w:t>3</w:t>
            </w:r>
            <w:r>
              <w:rPr>
                <w:rFonts w:hint="eastAsia" w:ascii="Times New Roman" w:hAnsi="Times New Roman" w:eastAsia="宋体" w:cs="Times New Roman"/>
                <w:b/>
                <w:bCs w:val="0"/>
                <w:color w:val="FF0000"/>
                <w:sz w:val="18"/>
                <w:szCs w:val="18"/>
                <w:lang w:eastAsia="zh-CN"/>
              </w:rPr>
              <w:t>月</w:t>
            </w:r>
            <w:r>
              <w:rPr>
                <w:rFonts w:hint="eastAsia" w:ascii="Times New Roman" w:hAnsi="Times New Roman" w:eastAsia="宋体" w:cs="Times New Roman"/>
                <w:b/>
                <w:bCs w:val="0"/>
                <w:color w:val="FF0000"/>
                <w:sz w:val="18"/>
                <w:szCs w:val="18"/>
                <w:lang w:val="en-US" w:eastAsia="zh-CN"/>
              </w:rPr>
              <w:t>29</w:t>
            </w:r>
            <w:r>
              <w:rPr>
                <w:rFonts w:hint="eastAsia" w:ascii="Times New Roman" w:hAnsi="Times New Roman" w:eastAsia="宋体" w:cs="Times New Roman"/>
                <w:b/>
                <w:bCs w:val="0"/>
                <w:color w:val="FF0000"/>
                <w:sz w:val="18"/>
                <w:szCs w:val="18"/>
                <w:lang w:eastAsia="zh-CN"/>
              </w:rPr>
              <w:t>在</w:t>
            </w:r>
            <w:r>
              <w:rPr>
                <w:rFonts w:hint="eastAsia" w:cs="Times New Roman"/>
                <w:b/>
                <w:bCs w:val="0"/>
                <w:color w:val="FF0000"/>
                <w:sz w:val="18"/>
                <w:szCs w:val="18"/>
                <w:lang w:val="en-US" w:eastAsia="zh-CN"/>
              </w:rPr>
              <w:t>本项目</w:t>
            </w:r>
            <w:r>
              <w:rPr>
                <w:rFonts w:hint="eastAsia" w:ascii="Times New Roman" w:hAnsi="Times New Roman" w:eastAsia="宋体" w:cs="Times New Roman"/>
                <w:b/>
                <w:bCs w:val="0"/>
                <w:color w:val="FF0000"/>
                <w:sz w:val="18"/>
                <w:szCs w:val="18"/>
                <w:lang w:eastAsia="zh-CN"/>
              </w:rPr>
              <w:t>厂界四周</w:t>
            </w:r>
            <w:r>
              <w:rPr>
                <w:rFonts w:hint="eastAsia" w:ascii="Times New Roman" w:hAnsi="Times New Roman" w:eastAsia="宋体" w:cs="Times New Roman"/>
                <w:b/>
                <w:bCs w:val="0"/>
                <w:color w:val="FF0000"/>
                <w:sz w:val="18"/>
                <w:szCs w:val="18"/>
                <w:lang w:val="en-US" w:eastAsia="zh-CN"/>
              </w:rPr>
              <w:t>及最近敏感点</w:t>
            </w:r>
            <w:r>
              <w:rPr>
                <w:rFonts w:hint="eastAsia" w:cs="Times New Roman"/>
                <w:b/>
                <w:bCs w:val="0"/>
                <w:color w:val="FF0000"/>
                <w:sz w:val="18"/>
                <w:szCs w:val="18"/>
                <w:lang w:val="en-US" w:eastAsia="zh-CN"/>
              </w:rPr>
              <w:t>噪声监测（报告编号：A260316-1-1</w:t>
            </w:r>
            <w:r>
              <w:rPr>
                <w:rFonts w:hint="eastAsia" w:cs="Times New Roman"/>
                <w:b/>
                <w:bCs w:val="0"/>
                <w:color w:val="FF0000"/>
                <w:sz w:val="18"/>
                <w:szCs w:val="18"/>
                <w:lang w:eastAsia="zh-CN"/>
              </w:rPr>
              <w:t>）</w:t>
            </w:r>
          </w:p>
          <w:p>
            <w:pPr>
              <w:autoSpaceDE w:val="0"/>
              <w:autoSpaceDN w:val="0"/>
              <w:adjustRightInd w:val="0"/>
              <w:snapToGrid w:val="0"/>
              <w:spacing w:line="400" w:lineRule="exact"/>
              <w:jc w:val="center"/>
              <w:rPr>
                <w:b/>
                <w:color w:val="auto"/>
                <w:kern w:val="0"/>
                <w:szCs w:val="21"/>
              </w:rPr>
            </w:pPr>
          </w:p>
          <w:p>
            <w:pPr>
              <w:autoSpaceDE w:val="0"/>
              <w:autoSpaceDN w:val="0"/>
              <w:adjustRightInd w:val="0"/>
              <w:snapToGrid w:val="0"/>
              <w:spacing w:line="400" w:lineRule="exact"/>
              <w:jc w:val="left"/>
              <w:rPr>
                <w:color w:val="auto"/>
                <w:kern w:val="0"/>
                <w:szCs w:val="21"/>
              </w:rPr>
            </w:pPr>
          </w:p>
        </w:tc>
      </w:tr>
    </w:tbl>
    <w:p>
      <w:pPr>
        <w:rPr>
          <w:color w:val="auto"/>
        </w:rPr>
      </w:pPr>
    </w:p>
    <w:p>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90"/>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7"/>
        <w:gridCol w:w="8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416" w:type="dxa"/>
            <w:tcMar>
              <w:left w:w="113" w:type="dxa"/>
              <w:right w:w="113" w:type="dxa"/>
            </w:tcMar>
            <w:vAlign w:val="center"/>
          </w:tcPr>
          <w:p>
            <w:pPr>
              <w:adjustRightInd w:val="0"/>
              <w:snapToGrid w:val="0"/>
              <w:jc w:val="center"/>
              <w:rPr>
                <w:bCs/>
                <w:color w:val="auto"/>
                <w:szCs w:val="21"/>
              </w:rPr>
            </w:pPr>
            <w:r>
              <w:rPr>
                <w:bCs/>
                <w:color w:val="auto"/>
                <w:szCs w:val="21"/>
              </w:rPr>
              <w:t>运营</w:t>
            </w:r>
          </w:p>
          <w:p>
            <w:pPr>
              <w:adjustRightInd w:val="0"/>
              <w:snapToGrid w:val="0"/>
              <w:jc w:val="center"/>
              <w:rPr>
                <w:bCs/>
                <w:color w:val="auto"/>
                <w:szCs w:val="21"/>
              </w:rPr>
            </w:pPr>
            <w:r>
              <w:rPr>
                <w:bCs/>
                <w:color w:val="auto"/>
                <w:szCs w:val="21"/>
              </w:rPr>
              <w:t>期环</w:t>
            </w:r>
          </w:p>
          <w:p>
            <w:pPr>
              <w:adjustRightInd w:val="0"/>
              <w:snapToGrid w:val="0"/>
              <w:jc w:val="center"/>
              <w:rPr>
                <w:bCs/>
                <w:color w:val="auto"/>
                <w:szCs w:val="21"/>
              </w:rPr>
            </w:pPr>
            <w:r>
              <w:rPr>
                <w:bCs/>
                <w:color w:val="auto"/>
                <w:szCs w:val="21"/>
              </w:rPr>
              <w:t>境影</w:t>
            </w:r>
          </w:p>
          <w:p>
            <w:pPr>
              <w:adjustRightInd w:val="0"/>
              <w:snapToGrid w:val="0"/>
              <w:jc w:val="center"/>
              <w:rPr>
                <w:bCs/>
                <w:color w:val="auto"/>
                <w:szCs w:val="21"/>
              </w:rPr>
            </w:pPr>
            <w:r>
              <w:rPr>
                <w:bCs/>
                <w:color w:val="auto"/>
                <w:szCs w:val="21"/>
              </w:rPr>
              <w:t>响和</w:t>
            </w:r>
          </w:p>
          <w:p>
            <w:pPr>
              <w:adjustRightInd w:val="0"/>
              <w:snapToGrid w:val="0"/>
              <w:jc w:val="center"/>
              <w:rPr>
                <w:bCs/>
                <w:color w:val="auto"/>
                <w:szCs w:val="21"/>
              </w:rPr>
            </w:pPr>
            <w:r>
              <w:rPr>
                <w:bCs/>
                <w:color w:val="auto"/>
                <w:szCs w:val="21"/>
              </w:rPr>
              <w:t>保护</w:t>
            </w:r>
          </w:p>
          <w:p>
            <w:pPr>
              <w:adjustRightInd w:val="0"/>
              <w:snapToGrid w:val="0"/>
              <w:jc w:val="center"/>
              <w:rPr>
                <w:bCs/>
                <w:color w:val="auto"/>
                <w:szCs w:val="21"/>
              </w:rPr>
            </w:pPr>
            <w:r>
              <w:rPr>
                <w:bCs/>
                <w:color w:val="auto"/>
                <w:szCs w:val="21"/>
              </w:rPr>
              <w:t>措施</w:t>
            </w:r>
          </w:p>
        </w:tc>
        <w:tc>
          <w:tcPr>
            <w:tcW w:w="8409" w:type="dxa"/>
            <w:vAlign w:val="center"/>
          </w:tcPr>
          <w:p>
            <w:pPr>
              <w:adjustRightInd w:val="0"/>
              <w:snapToGrid w:val="0"/>
              <w:spacing w:line="400" w:lineRule="exact"/>
              <w:ind w:firstLine="480"/>
              <w:rPr>
                <w:color w:val="auto"/>
                <w:szCs w:val="21"/>
              </w:rPr>
            </w:pPr>
            <w:r>
              <w:rPr>
                <w:color w:val="auto"/>
                <w:szCs w:val="21"/>
              </w:rPr>
              <w:t>经预测，本项目建成后，</w:t>
            </w:r>
            <w:r>
              <w:rPr>
                <w:rFonts w:hint="eastAsia"/>
                <w:color w:val="auto"/>
                <w:szCs w:val="21"/>
                <w:lang w:val="en-US" w:eastAsia="zh-CN"/>
              </w:rPr>
              <w:t>四侧</w:t>
            </w:r>
            <w:r>
              <w:rPr>
                <w:color w:val="auto"/>
                <w:szCs w:val="21"/>
              </w:rPr>
              <w:t>厂界噪声</w:t>
            </w:r>
            <w:r>
              <w:rPr>
                <w:rFonts w:hint="eastAsia"/>
                <w:color w:val="auto"/>
                <w:szCs w:val="21"/>
                <w:lang w:val="en-US" w:eastAsia="zh-CN"/>
              </w:rPr>
              <w:t>预测值</w:t>
            </w:r>
            <w:r>
              <w:rPr>
                <w:color w:val="auto"/>
                <w:szCs w:val="21"/>
              </w:rPr>
              <w:t>可满足《工业企业厂界环境噪声排放标准》（GB12348-2008）中</w:t>
            </w:r>
            <w:r>
              <w:rPr>
                <w:rFonts w:hint="eastAsia"/>
                <w:color w:val="auto"/>
                <w:szCs w:val="21"/>
                <w:lang w:val="en-US" w:eastAsia="zh-CN"/>
              </w:rPr>
              <w:t>2</w:t>
            </w:r>
            <w:r>
              <w:rPr>
                <w:color w:val="auto"/>
                <w:szCs w:val="21"/>
              </w:rPr>
              <w:t>类标准</w:t>
            </w:r>
            <w:r>
              <w:rPr>
                <w:rFonts w:hint="eastAsia"/>
                <w:color w:val="auto"/>
                <w:szCs w:val="21"/>
                <w:lang w:eastAsia="zh-CN"/>
              </w:rPr>
              <w:t>，</w:t>
            </w:r>
            <w:r>
              <w:rPr>
                <w:rFonts w:hint="eastAsia"/>
                <w:color w:val="auto"/>
                <w:szCs w:val="21"/>
                <w:lang w:val="en-US" w:eastAsia="zh-CN"/>
              </w:rPr>
              <w:t>南侧居民（</w:t>
            </w:r>
            <w:r>
              <w:rPr>
                <w:rFonts w:hint="eastAsia"/>
                <w:bCs/>
                <w:color w:val="FF0000"/>
                <w:sz w:val="20"/>
                <w:szCs w:val="20"/>
                <w:lang w:val="en-US" w:eastAsia="zh-CN"/>
              </w:rPr>
              <w:t>马桥村十九组</w:t>
            </w:r>
            <w:r>
              <w:rPr>
                <w:rFonts w:hint="eastAsia"/>
                <w:color w:val="auto"/>
                <w:szCs w:val="21"/>
                <w:lang w:val="en-US" w:eastAsia="zh-CN"/>
              </w:rPr>
              <w:t>）满足4a类标准，西侧九华镇卫生院预测值满足1类标准，</w:t>
            </w:r>
            <w:r>
              <w:rPr>
                <w:color w:val="auto"/>
                <w:szCs w:val="21"/>
              </w:rPr>
              <w:t>表明本项目对周边声环境影响较小。</w:t>
            </w:r>
          </w:p>
          <w:p>
            <w:pPr>
              <w:autoSpaceDE w:val="0"/>
              <w:autoSpaceDN w:val="0"/>
              <w:adjustRightInd w:val="0"/>
              <w:snapToGrid w:val="0"/>
              <w:spacing w:line="400" w:lineRule="exact"/>
              <w:ind w:firstLine="422" w:firstLineChars="200"/>
              <w:jc w:val="left"/>
              <w:rPr>
                <w:b/>
                <w:bCs/>
                <w:color w:val="auto"/>
                <w:kern w:val="0"/>
                <w:szCs w:val="21"/>
              </w:rPr>
            </w:pPr>
            <w:r>
              <w:rPr>
                <w:b/>
                <w:bCs/>
                <w:color w:val="auto"/>
                <w:kern w:val="0"/>
                <w:szCs w:val="21"/>
              </w:rPr>
              <w:t>（4）噪声监测计划</w:t>
            </w:r>
          </w:p>
          <w:p>
            <w:pPr>
              <w:autoSpaceDE w:val="0"/>
              <w:autoSpaceDN w:val="0"/>
              <w:adjustRightInd w:val="0"/>
              <w:snapToGrid w:val="0"/>
              <w:spacing w:line="400" w:lineRule="exact"/>
              <w:ind w:firstLine="420" w:firstLineChars="200"/>
              <w:rPr>
                <w:color w:val="auto"/>
                <w:kern w:val="0"/>
                <w:szCs w:val="21"/>
              </w:rPr>
            </w:pPr>
            <w:r>
              <w:rPr>
                <w:color w:val="auto"/>
                <w:kern w:val="0"/>
                <w:szCs w:val="21"/>
              </w:rPr>
              <w:t>对照《排污单位自行监测技术指南 总则》（HJ819-2017）、</w:t>
            </w:r>
            <w:r>
              <w:rPr>
                <w:color w:val="auto"/>
                <w:szCs w:val="21"/>
              </w:rPr>
              <w:t>《</w:t>
            </w:r>
            <w:r>
              <w:rPr>
                <w:rFonts w:hint="eastAsia"/>
                <w:color w:val="auto"/>
                <w:szCs w:val="21"/>
              </w:rPr>
              <w:t xml:space="preserve">排污单位自行监测技术指南 </w:t>
            </w:r>
            <w:r>
              <w:rPr>
                <w:rFonts w:hint="eastAsia"/>
                <w:color w:val="auto"/>
                <w:szCs w:val="21"/>
                <w:lang w:val="en-US" w:eastAsia="zh-CN"/>
              </w:rPr>
              <w:t>纺织印染</w:t>
            </w:r>
            <w:r>
              <w:rPr>
                <w:rFonts w:hint="eastAsia"/>
                <w:color w:val="auto"/>
                <w:szCs w:val="21"/>
              </w:rPr>
              <w:t>工业</w:t>
            </w:r>
            <w:r>
              <w:rPr>
                <w:color w:val="auto"/>
                <w:szCs w:val="21"/>
              </w:rPr>
              <w:t>》（HJ</w:t>
            </w:r>
            <w:r>
              <w:rPr>
                <w:rFonts w:hint="eastAsia"/>
                <w:color w:val="auto"/>
                <w:szCs w:val="21"/>
                <w:lang w:val="en-US" w:eastAsia="zh-CN"/>
              </w:rPr>
              <w:t>879</w:t>
            </w:r>
            <w:r>
              <w:rPr>
                <w:rFonts w:hint="eastAsia"/>
                <w:color w:val="auto"/>
                <w:szCs w:val="21"/>
              </w:rPr>
              <w:t>-20</w:t>
            </w:r>
            <w:r>
              <w:rPr>
                <w:rFonts w:hint="eastAsia"/>
                <w:color w:val="auto"/>
                <w:szCs w:val="21"/>
                <w:lang w:val="en-US" w:eastAsia="zh-CN"/>
              </w:rPr>
              <w:t>17</w:t>
            </w:r>
            <w:r>
              <w:rPr>
                <w:color w:val="auto"/>
                <w:szCs w:val="21"/>
              </w:rPr>
              <w:t>）</w:t>
            </w:r>
            <w:r>
              <w:rPr>
                <w:rFonts w:hint="eastAsia"/>
                <w:color w:val="auto"/>
                <w:szCs w:val="21"/>
                <w:lang w:val="en-US" w:eastAsia="zh-CN"/>
              </w:rPr>
              <w:t>、</w:t>
            </w:r>
            <w:r>
              <w:rPr>
                <w:color w:val="auto"/>
                <w:szCs w:val="21"/>
              </w:rPr>
              <w:t>《</w:t>
            </w:r>
            <w:r>
              <w:rPr>
                <w:rFonts w:hint="eastAsia"/>
                <w:color w:val="auto"/>
                <w:szCs w:val="21"/>
              </w:rPr>
              <w:t>排污单位自行监测技术指南</w:t>
            </w:r>
            <w:r>
              <w:rPr>
                <w:rFonts w:hint="eastAsia"/>
                <w:color w:val="auto"/>
                <w:szCs w:val="21"/>
                <w:lang w:val="en-US" w:eastAsia="zh-CN"/>
              </w:rPr>
              <w:t>火力发电及锅炉</w:t>
            </w:r>
            <w:r>
              <w:rPr>
                <w:color w:val="auto"/>
                <w:szCs w:val="21"/>
              </w:rPr>
              <w:t>》（HJ</w:t>
            </w:r>
            <w:r>
              <w:rPr>
                <w:rFonts w:hint="eastAsia"/>
                <w:color w:val="auto"/>
                <w:szCs w:val="21"/>
                <w:lang w:val="en-US" w:eastAsia="zh-CN"/>
              </w:rPr>
              <w:t>8720</w:t>
            </w:r>
            <w:r>
              <w:rPr>
                <w:rFonts w:hint="eastAsia"/>
                <w:color w:val="auto"/>
                <w:szCs w:val="21"/>
              </w:rPr>
              <w:t>-20</w:t>
            </w:r>
            <w:r>
              <w:rPr>
                <w:rFonts w:hint="eastAsia"/>
                <w:color w:val="auto"/>
                <w:szCs w:val="21"/>
                <w:lang w:val="en-US" w:eastAsia="zh-CN"/>
              </w:rPr>
              <w:t>17</w:t>
            </w:r>
            <w:r>
              <w:rPr>
                <w:color w:val="auto"/>
                <w:szCs w:val="21"/>
              </w:rPr>
              <w:t>）</w:t>
            </w:r>
            <w:r>
              <w:rPr>
                <w:rFonts w:hint="eastAsia"/>
                <w:color w:val="auto"/>
                <w:szCs w:val="21"/>
                <w:lang w:val="en-US" w:eastAsia="zh-CN"/>
              </w:rPr>
              <w:t>和</w:t>
            </w:r>
            <w:r>
              <w:rPr>
                <w:color w:val="auto"/>
                <w:kern w:val="0"/>
                <w:szCs w:val="21"/>
              </w:rPr>
              <w:t>《排污许可证申请与核发技术规范 工业噪声》（HJ1301-2023），企业需开展噪声污染源监测，具体监测计划见表4-</w:t>
            </w:r>
            <w:r>
              <w:rPr>
                <w:rFonts w:hint="eastAsia"/>
                <w:color w:val="auto"/>
                <w:kern w:val="0"/>
                <w:szCs w:val="21"/>
                <w:lang w:val="en-US" w:eastAsia="zh-CN"/>
              </w:rPr>
              <w:t>27</w:t>
            </w:r>
            <w:r>
              <w:rPr>
                <w:color w:val="auto"/>
                <w:kern w:val="0"/>
                <w:szCs w:val="21"/>
              </w:rPr>
              <w:t>。</w:t>
            </w:r>
          </w:p>
          <w:p>
            <w:pPr>
              <w:autoSpaceDE w:val="0"/>
              <w:autoSpaceDN w:val="0"/>
              <w:adjustRightInd w:val="0"/>
              <w:snapToGrid w:val="0"/>
              <w:spacing w:line="400" w:lineRule="exact"/>
              <w:jc w:val="center"/>
              <w:rPr>
                <w:b/>
                <w:color w:val="auto"/>
                <w:kern w:val="0"/>
                <w:szCs w:val="21"/>
              </w:rPr>
            </w:pPr>
            <w:r>
              <w:rPr>
                <w:b/>
                <w:color w:val="auto"/>
                <w:kern w:val="0"/>
                <w:szCs w:val="21"/>
              </w:rPr>
              <w:t>表4-</w:t>
            </w:r>
            <w:r>
              <w:rPr>
                <w:rFonts w:hint="eastAsia"/>
                <w:b/>
                <w:color w:val="auto"/>
                <w:kern w:val="0"/>
                <w:szCs w:val="21"/>
                <w:lang w:val="en-US" w:eastAsia="zh-CN"/>
              </w:rPr>
              <w:t>27</w:t>
            </w:r>
            <w:r>
              <w:rPr>
                <w:b/>
                <w:color w:val="auto"/>
                <w:kern w:val="0"/>
                <w:szCs w:val="21"/>
              </w:rPr>
              <w:t xml:space="preserve">  噪声污染源监测计划</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Layout w:type="fixed"/>
              <w:tblCellMar>
                <w:top w:w="0" w:type="dxa"/>
                <w:left w:w="0" w:type="dxa"/>
                <w:bottom w:w="0" w:type="dxa"/>
                <w:right w:w="0" w:type="dxa"/>
              </w:tblCellMar>
            </w:tblPr>
            <w:tblGrid>
              <w:gridCol w:w="698"/>
              <w:gridCol w:w="1485"/>
              <w:gridCol w:w="1690"/>
              <w:gridCol w:w="1076"/>
              <w:gridCol w:w="3474"/>
            </w:tblGrid>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0" w:type="dxa"/>
                  <w:bottom w:w="0" w:type="dxa"/>
                  <w:right w:w="0" w:type="dxa"/>
                </w:tblCellMar>
              </w:tblPrEx>
              <w:trPr>
                <w:trHeight w:val="340" w:hRule="atLeast"/>
                <w:jc w:val="center"/>
              </w:trPr>
              <w:tc>
                <w:tcPr>
                  <w:tcW w:w="414" w:type="pct"/>
                  <w:tcMar>
                    <w:left w:w="0" w:type="dxa"/>
                    <w:right w:w="0" w:type="dxa"/>
                  </w:tcMar>
                  <w:vAlign w:val="center"/>
                </w:tcPr>
                <w:p>
                  <w:pPr>
                    <w:jc w:val="center"/>
                    <w:rPr>
                      <w:b/>
                      <w:color w:val="auto"/>
                      <w:sz w:val="20"/>
                      <w:szCs w:val="20"/>
                    </w:rPr>
                  </w:pPr>
                  <w:r>
                    <w:rPr>
                      <w:b/>
                      <w:color w:val="auto"/>
                      <w:sz w:val="20"/>
                      <w:szCs w:val="20"/>
                    </w:rPr>
                    <w:t>类别</w:t>
                  </w:r>
                </w:p>
              </w:tc>
              <w:tc>
                <w:tcPr>
                  <w:tcW w:w="881" w:type="pct"/>
                  <w:tcMar>
                    <w:left w:w="0" w:type="dxa"/>
                    <w:right w:w="0" w:type="dxa"/>
                  </w:tcMar>
                  <w:vAlign w:val="center"/>
                </w:tcPr>
                <w:p>
                  <w:pPr>
                    <w:jc w:val="center"/>
                    <w:rPr>
                      <w:b/>
                      <w:color w:val="auto"/>
                      <w:sz w:val="20"/>
                      <w:szCs w:val="20"/>
                    </w:rPr>
                  </w:pPr>
                  <w:r>
                    <w:rPr>
                      <w:b/>
                      <w:color w:val="auto"/>
                      <w:sz w:val="20"/>
                      <w:szCs w:val="20"/>
                    </w:rPr>
                    <w:t>监测点位</w:t>
                  </w:r>
                </w:p>
              </w:tc>
              <w:tc>
                <w:tcPr>
                  <w:tcW w:w="1003" w:type="pct"/>
                  <w:vAlign w:val="center"/>
                </w:tcPr>
                <w:p>
                  <w:pPr>
                    <w:jc w:val="center"/>
                    <w:rPr>
                      <w:b/>
                      <w:color w:val="auto"/>
                      <w:sz w:val="20"/>
                      <w:szCs w:val="20"/>
                    </w:rPr>
                  </w:pPr>
                  <w:r>
                    <w:rPr>
                      <w:b/>
                      <w:color w:val="auto"/>
                      <w:sz w:val="20"/>
                      <w:szCs w:val="20"/>
                    </w:rPr>
                    <w:t>监测因子</w:t>
                  </w:r>
                </w:p>
              </w:tc>
              <w:tc>
                <w:tcPr>
                  <w:tcW w:w="639" w:type="pct"/>
                  <w:vAlign w:val="center"/>
                </w:tcPr>
                <w:p>
                  <w:pPr>
                    <w:jc w:val="center"/>
                    <w:rPr>
                      <w:b/>
                      <w:color w:val="auto"/>
                      <w:sz w:val="20"/>
                      <w:szCs w:val="20"/>
                    </w:rPr>
                  </w:pPr>
                  <w:r>
                    <w:rPr>
                      <w:b/>
                      <w:color w:val="auto"/>
                      <w:sz w:val="20"/>
                      <w:szCs w:val="20"/>
                    </w:rPr>
                    <w:t>监测频次</w:t>
                  </w:r>
                </w:p>
              </w:tc>
              <w:tc>
                <w:tcPr>
                  <w:tcW w:w="2062" w:type="pct"/>
                  <w:vAlign w:val="center"/>
                </w:tcPr>
                <w:p>
                  <w:pPr>
                    <w:jc w:val="center"/>
                    <w:rPr>
                      <w:b/>
                      <w:color w:val="auto"/>
                      <w:sz w:val="20"/>
                      <w:szCs w:val="20"/>
                    </w:rPr>
                  </w:pPr>
                  <w:r>
                    <w:rPr>
                      <w:b/>
                      <w:color w:val="auto"/>
                      <w:sz w:val="20"/>
                      <w:szCs w:val="20"/>
                    </w:rPr>
                    <w:t>执行标准</w:t>
                  </w:r>
                </w:p>
              </w:tc>
            </w:tr>
            <w:tr>
              <w:tblPrEx>
                <w:tblBorders>
                  <w:top w:val="single" w:color="auto" w:sz="12" w:space="0"/>
                  <w:left w:val="none" w:color="auto" w:sz="0" w:space="0"/>
                  <w:bottom w:val="single" w:color="auto" w:sz="12" w:space="0"/>
                  <w:right w:val="none" w:color="auto" w:sz="0" w:space="0"/>
                  <w:insideH w:val="single" w:color="auto" w:sz="12" w:space="0"/>
                  <w:insideV w:val="single" w:color="auto" w:sz="4" w:space="0"/>
                </w:tblBorders>
                <w:tblCellMar>
                  <w:top w:w="0" w:type="dxa"/>
                  <w:left w:w="0" w:type="dxa"/>
                  <w:bottom w:w="0" w:type="dxa"/>
                  <w:right w:w="0" w:type="dxa"/>
                </w:tblCellMar>
              </w:tblPrEx>
              <w:trPr>
                <w:trHeight w:val="340" w:hRule="atLeast"/>
                <w:jc w:val="center"/>
              </w:trPr>
              <w:tc>
                <w:tcPr>
                  <w:tcW w:w="414" w:type="pct"/>
                  <w:tcMar>
                    <w:left w:w="0" w:type="dxa"/>
                    <w:right w:w="0" w:type="dxa"/>
                  </w:tcMar>
                  <w:vAlign w:val="center"/>
                </w:tcPr>
                <w:p>
                  <w:pPr>
                    <w:jc w:val="center"/>
                    <w:rPr>
                      <w:color w:val="auto"/>
                      <w:sz w:val="20"/>
                      <w:szCs w:val="20"/>
                    </w:rPr>
                  </w:pPr>
                  <w:r>
                    <w:rPr>
                      <w:color w:val="auto"/>
                      <w:sz w:val="20"/>
                      <w:szCs w:val="20"/>
                    </w:rPr>
                    <w:t>噪声</w:t>
                  </w:r>
                </w:p>
              </w:tc>
              <w:tc>
                <w:tcPr>
                  <w:tcW w:w="881" w:type="pct"/>
                  <w:tcMar>
                    <w:left w:w="0" w:type="dxa"/>
                    <w:right w:w="0" w:type="dxa"/>
                  </w:tcMar>
                  <w:vAlign w:val="center"/>
                </w:tcPr>
                <w:p>
                  <w:pPr>
                    <w:jc w:val="center"/>
                    <w:rPr>
                      <w:rFonts w:hint="default" w:eastAsia="宋体"/>
                      <w:color w:val="auto"/>
                      <w:sz w:val="20"/>
                      <w:szCs w:val="20"/>
                      <w:lang w:val="en-US" w:eastAsia="zh-CN"/>
                    </w:rPr>
                  </w:pPr>
                  <w:r>
                    <w:rPr>
                      <w:color w:val="auto"/>
                      <w:sz w:val="20"/>
                      <w:szCs w:val="20"/>
                    </w:rPr>
                    <w:t>厂界外1m处</w:t>
                  </w:r>
                </w:p>
              </w:tc>
              <w:tc>
                <w:tcPr>
                  <w:tcW w:w="1003" w:type="pct"/>
                  <w:tcMar>
                    <w:left w:w="0" w:type="dxa"/>
                    <w:right w:w="0" w:type="dxa"/>
                  </w:tcMar>
                  <w:vAlign w:val="center"/>
                </w:tcPr>
                <w:p>
                  <w:pPr>
                    <w:jc w:val="center"/>
                    <w:rPr>
                      <w:color w:val="auto"/>
                      <w:sz w:val="20"/>
                      <w:szCs w:val="20"/>
                    </w:rPr>
                  </w:pPr>
                  <w:r>
                    <w:rPr>
                      <w:color w:val="auto"/>
                      <w:sz w:val="20"/>
                      <w:szCs w:val="20"/>
                    </w:rPr>
                    <w:t>等效连续A声级</w:t>
                  </w:r>
                </w:p>
              </w:tc>
              <w:tc>
                <w:tcPr>
                  <w:tcW w:w="639" w:type="pct"/>
                  <w:vAlign w:val="center"/>
                </w:tcPr>
                <w:p>
                  <w:pPr>
                    <w:jc w:val="center"/>
                    <w:rPr>
                      <w:color w:val="auto"/>
                      <w:sz w:val="20"/>
                      <w:szCs w:val="20"/>
                    </w:rPr>
                  </w:pPr>
                  <w:r>
                    <w:rPr>
                      <w:color w:val="auto"/>
                      <w:sz w:val="20"/>
                      <w:szCs w:val="20"/>
                    </w:rPr>
                    <w:t>1次/季度</w:t>
                  </w:r>
                </w:p>
                <w:p>
                  <w:pPr>
                    <w:jc w:val="center"/>
                    <w:rPr>
                      <w:color w:val="auto"/>
                      <w:sz w:val="20"/>
                      <w:szCs w:val="20"/>
                    </w:rPr>
                  </w:pPr>
                  <w:r>
                    <w:rPr>
                      <w:color w:val="auto"/>
                      <w:sz w:val="20"/>
                      <w:szCs w:val="20"/>
                    </w:rPr>
                    <w:t>昼</w:t>
                  </w:r>
                  <w:r>
                    <w:rPr>
                      <w:rFonts w:hint="eastAsia"/>
                      <w:color w:val="auto"/>
                      <w:sz w:val="20"/>
                      <w:szCs w:val="20"/>
                    </w:rPr>
                    <w:t>夜</w:t>
                  </w:r>
                  <w:r>
                    <w:rPr>
                      <w:color w:val="auto"/>
                      <w:sz w:val="20"/>
                      <w:szCs w:val="20"/>
                    </w:rPr>
                    <w:t>监测</w:t>
                  </w:r>
                </w:p>
              </w:tc>
              <w:tc>
                <w:tcPr>
                  <w:tcW w:w="2062" w:type="pct"/>
                  <w:vAlign w:val="center"/>
                </w:tcPr>
                <w:p>
                  <w:pPr>
                    <w:jc w:val="center"/>
                    <w:rPr>
                      <w:rFonts w:hint="default" w:eastAsia="宋体"/>
                      <w:color w:val="auto"/>
                      <w:sz w:val="20"/>
                      <w:szCs w:val="20"/>
                      <w:lang w:val="en-US" w:eastAsia="zh-CN"/>
                    </w:rPr>
                  </w:pPr>
                  <w:r>
                    <w:rPr>
                      <w:rFonts w:hint="eastAsia"/>
                      <w:color w:val="auto"/>
                      <w:sz w:val="20"/>
                      <w:szCs w:val="20"/>
                      <w:lang w:val="en-US" w:eastAsia="zh-CN"/>
                    </w:rPr>
                    <w:t>东、南、西和北厂界执行</w:t>
                  </w:r>
                  <w:r>
                    <w:rPr>
                      <w:color w:val="auto"/>
                      <w:sz w:val="20"/>
                      <w:szCs w:val="20"/>
                    </w:rPr>
                    <w:t>《工业企业厂界环境噪声排放标准》（GB12348-2008）中</w:t>
                  </w:r>
                  <w:r>
                    <w:rPr>
                      <w:rFonts w:hint="eastAsia"/>
                      <w:color w:val="auto"/>
                      <w:sz w:val="20"/>
                      <w:szCs w:val="20"/>
                      <w:lang w:val="en-US" w:eastAsia="zh-CN"/>
                    </w:rPr>
                    <w:t>2</w:t>
                  </w:r>
                  <w:r>
                    <w:rPr>
                      <w:color w:val="auto"/>
                      <w:sz w:val="20"/>
                      <w:szCs w:val="20"/>
                    </w:rPr>
                    <w:t>类标准</w:t>
                  </w:r>
                </w:p>
              </w:tc>
            </w:tr>
          </w:tbl>
          <w:p>
            <w:pPr>
              <w:spacing w:line="360" w:lineRule="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注：</w:t>
            </w:r>
            <w:r>
              <w:rPr>
                <w:rFonts w:hint="eastAsia" w:ascii="Times New Roman" w:hAnsi="Times New Roman" w:eastAsia="宋体" w:cs="Times New Roman"/>
                <w:b/>
                <w:bCs/>
                <w:color w:val="auto"/>
                <w:sz w:val="18"/>
                <w:szCs w:val="18"/>
                <w:lang w:val="en-US" w:eastAsia="zh-CN"/>
              </w:rPr>
              <w:t>本报告保守考虑以华胜公司厂界作为本项目厂界</w:t>
            </w:r>
          </w:p>
          <w:p>
            <w:pPr>
              <w:autoSpaceDE w:val="0"/>
              <w:autoSpaceDN w:val="0"/>
              <w:adjustRightInd w:val="0"/>
              <w:snapToGrid w:val="0"/>
              <w:spacing w:line="400" w:lineRule="exact"/>
              <w:ind w:firstLine="420" w:firstLineChars="200"/>
              <w:rPr>
                <w:rFonts w:hint="eastAsia" w:eastAsia="宋体"/>
                <w:color w:val="auto"/>
                <w:kern w:val="0"/>
                <w:szCs w:val="21"/>
                <w:lang w:val="en-US" w:eastAsia="zh-CN"/>
              </w:rPr>
            </w:pPr>
            <w:r>
              <w:rPr>
                <w:rFonts w:hint="eastAsia" w:eastAsia="宋体"/>
                <w:color w:val="auto"/>
                <w:kern w:val="0"/>
                <w:szCs w:val="21"/>
                <w:lang w:val="en-US" w:eastAsia="zh-CN"/>
              </w:rPr>
              <w:t>根据《建设项目竣工环境保护验收技术指南 污染影响类》，建设项目需针对噪声污染源制定验收监测计划。本项目噪声监测点、监测项目及监测频次见下表。</w:t>
            </w:r>
          </w:p>
          <w:p>
            <w:pPr>
              <w:autoSpaceDE w:val="0"/>
              <w:autoSpaceDN w:val="0"/>
              <w:adjustRightInd w:val="0"/>
              <w:snapToGrid w:val="0"/>
              <w:spacing w:line="400" w:lineRule="exact"/>
              <w:jc w:val="center"/>
              <w:rPr>
                <w:rFonts w:hint="eastAsia" w:eastAsia="宋体"/>
                <w:b/>
                <w:color w:val="auto"/>
                <w:kern w:val="0"/>
                <w:szCs w:val="21"/>
                <w:lang w:val="en-US" w:eastAsia="zh-CN"/>
              </w:rPr>
            </w:pPr>
            <w:r>
              <w:rPr>
                <w:rFonts w:hint="eastAsia" w:eastAsia="宋体"/>
                <w:b/>
                <w:color w:val="auto"/>
                <w:kern w:val="0"/>
                <w:szCs w:val="21"/>
                <w:lang w:val="en-US" w:eastAsia="zh-CN"/>
              </w:rPr>
              <w:t>表4-2</w:t>
            </w:r>
            <w:r>
              <w:rPr>
                <w:rFonts w:hint="eastAsia"/>
                <w:b/>
                <w:color w:val="auto"/>
                <w:kern w:val="0"/>
                <w:szCs w:val="21"/>
                <w:lang w:val="en-US" w:eastAsia="zh-CN"/>
              </w:rPr>
              <w:t>8</w:t>
            </w:r>
            <w:r>
              <w:rPr>
                <w:rFonts w:hint="eastAsia" w:eastAsia="宋体"/>
                <w:b/>
                <w:color w:val="auto"/>
                <w:kern w:val="0"/>
                <w:szCs w:val="21"/>
                <w:lang w:val="en-US" w:eastAsia="zh-CN"/>
              </w:rPr>
              <w:t xml:space="preserve">  验收监测计划表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1"/>
              <w:gridCol w:w="2130"/>
              <w:gridCol w:w="1819"/>
              <w:gridCol w:w="807"/>
              <w:gridCol w:w="2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01" w:type="dxa"/>
                  <w:noWrap w:val="0"/>
                  <w:tcMar>
                    <w:top w:w="0" w:type="dxa"/>
                    <w:left w:w="0" w:type="dxa"/>
                    <w:bottom w:w="0" w:type="dxa"/>
                    <w:right w:w="0" w:type="dxa"/>
                  </w:tcMar>
                  <w:vAlign w:val="center"/>
                </w:tcPr>
                <w:p>
                  <w:pPr>
                    <w:spacing w:line="320" w:lineRule="exact"/>
                    <w:jc w:val="center"/>
                    <w:rPr>
                      <w:b/>
                      <w:bCs/>
                      <w:color w:val="auto"/>
                      <w:sz w:val="20"/>
                      <w:szCs w:val="20"/>
                    </w:rPr>
                  </w:pPr>
                  <w:r>
                    <w:rPr>
                      <w:b/>
                      <w:bCs/>
                      <w:color w:val="auto"/>
                      <w:sz w:val="20"/>
                      <w:szCs w:val="20"/>
                    </w:rPr>
                    <w:t>种类</w:t>
                  </w:r>
                </w:p>
              </w:tc>
              <w:tc>
                <w:tcPr>
                  <w:tcW w:w="2240" w:type="dxa"/>
                  <w:noWrap w:val="0"/>
                  <w:tcMar>
                    <w:top w:w="0" w:type="dxa"/>
                    <w:left w:w="0" w:type="dxa"/>
                    <w:bottom w:w="0" w:type="dxa"/>
                    <w:right w:w="0" w:type="dxa"/>
                  </w:tcMar>
                  <w:vAlign w:val="center"/>
                </w:tcPr>
                <w:p>
                  <w:pPr>
                    <w:spacing w:line="320" w:lineRule="exact"/>
                    <w:jc w:val="center"/>
                    <w:rPr>
                      <w:b/>
                      <w:bCs/>
                      <w:color w:val="auto"/>
                      <w:sz w:val="20"/>
                      <w:szCs w:val="20"/>
                    </w:rPr>
                  </w:pPr>
                  <w:r>
                    <w:rPr>
                      <w:b/>
                      <w:bCs/>
                      <w:color w:val="auto"/>
                      <w:sz w:val="20"/>
                      <w:szCs w:val="20"/>
                    </w:rPr>
                    <w:t>监测点位</w:t>
                  </w:r>
                </w:p>
              </w:tc>
              <w:tc>
                <w:tcPr>
                  <w:tcW w:w="1892" w:type="dxa"/>
                  <w:noWrap w:val="0"/>
                  <w:tcMar>
                    <w:top w:w="0" w:type="dxa"/>
                    <w:left w:w="0" w:type="dxa"/>
                    <w:bottom w:w="0" w:type="dxa"/>
                    <w:right w:w="0" w:type="dxa"/>
                  </w:tcMar>
                  <w:vAlign w:val="center"/>
                </w:tcPr>
                <w:p>
                  <w:pPr>
                    <w:spacing w:line="320" w:lineRule="exact"/>
                    <w:jc w:val="center"/>
                    <w:rPr>
                      <w:b/>
                      <w:bCs/>
                      <w:color w:val="auto"/>
                      <w:sz w:val="20"/>
                      <w:szCs w:val="20"/>
                    </w:rPr>
                  </w:pPr>
                  <w:r>
                    <w:rPr>
                      <w:b/>
                      <w:bCs/>
                      <w:color w:val="auto"/>
                      <w:sz w:val="20"/>
                      <w:szCs w:val="20"/>
                    </w:rPr>
                    <w:t>监测项目</w:t>
                  </w:r>
                </w:p>
              </w:tc>
              <w:tc>
                <w:tcPr>
                  <w:tcW w:w="840" w:type="dxa"/>
                  <w:noWrap w:val="0"/>
                  <w:tcMar>
                    <w:top w:w="0" w:type="dxa"/>
                    <w:left w:w="0" w:type="dxa"/>
                    <w:bottom w:w="0" w:type="dxa"/>
                    <w:right w:w="0" w:type="dxa"/>
                  </w:tcMar>
                  <w:vAlign w:val="center"/>
                </w:tcPr>
                <w:p>
                  <w:pPr>
                    <w:spacing w:line="320" w:lineRule="exact"/>
                    <w:jc w:val="center"/>
                    <w:rPr>
                      <w:b/>
                      <w:bCs/>
                      <w:color w:val="auto"/>
                      <w:sz w:val="20"/>
                      <w:szCs w:val="20"/>
                    </w:rPr>
                  </w:pPr>
                  <w:r>
                    <w:rPr>
                      <w:b/>
                      <w:bCs/>
                      <w:color w:val="auto"/>
                      <w:sz w:val="20"/>
                      <w:szCs w:val="20"/>
                    </w:rPr>
                    <w:t>点位数</w:t>
                  </w:r>
                </w:p>
              </w:tc>
              <w:tc>
                <w:tcPr>
                  <w:tcW w:w="2647" w:type="dxa"/>
                  <w:noWrap w:val="0"/>
                  <w:tcMar>
                    <w:top w:w="0" w:type="dxa"/>
                    <w:left w:w="0" w:type="dxa"/>
                    <w:bottom w:w="0" w:type="dxa"/>
                    <w:right w:w="0" w:type="dxa"/>
                  </w:tcMar>
                  <w:vAlign w:val="center"/>
                </w:tcPr>
                <w:p>
                  <w:pPr>
                    <w:spacing w:line="320" w:lineRule="exact"/>
                    <w:jc w:val="center"/>
                    <w:rPr>
                      <w:b/>
                      <w:bCs/>
                      <w:color w:val="auto"/>
                      <w:sz w:val="20"/>
                      <w:szCs w:val="20"/>
                    </w:rPr>
                  </w:pPr>
                  <w:r>
                    <w:rPr>
                      <w:b/>
                      <w:bCs/>
                      <w:color w:val="auto"/>
                      <w:sz w:val="20"/>
                      <w:szCs w:val="20"/>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tcMar>
                    <w:top w:w="0" w:type="dxa"/>
                    <w:left w:w="0" w:type="dxa"/>
                    <w:bottom w:w="0" w:type="dxa"/>
                    <w:right w:w="0" w:type="dxa"/>
                  </w:tcMar>
                  <w:vAlign w:val="center"/>
                </w:tcPr>
                <w:p>
                  <w:pPr>
                    <w:spacing w:line="320" w:lineRule="exact"/>
                    <w:jc w:val="center"/>
                    <w:rPr>
                      <w:color w:val="auto"/>
                      <w:sz w:val="20"/>
                      <w:szCs w:val="20"/>
                    </w:rPr>
                  </w:pPr>
                  <w:r>
                    <w:rPr>
                      <w:color w:val="auto"/>
                      <w:sz w:val="20"/>
                      <w:szCs w:val="20"/>
                    </w:rPr>
                    <w:t>噪声</w:t>
                  </w:r>
                </w:p>
              </w:tc>
              <w:tc>
                <w:tcPr>
                  <w:tcW w:w="2240" w:type="dxa"/>
                  <w:noWrap w:val="0"/>
                  <w:tcMar>
                    <w:top w:w="0" w:type="dxa"/>
                    <w:left w:w="0" w:type="dxa"/>
                    <w:bottom w:w="0" w:type="dxa"/>
                    <w:right w:w="0" w:type="dxa"/>
                  </w:tcMar>
                  <w:vAlign w:val="center"/>
                </w:tcPr>
                <w:p>
                  <w:pPr>
                    <w:spacing w:line="320" w:lineRule="exact"/>
                    <w:jc w:val="center"/>
                    <w:rPr>
                      <w:color w:val="auto"/>
                      <w:sz w:val="20"/>
                      <w:szCs w:val="20"/>
                    </w:rPr>
                  </w:pPr>
                  <w:r>
                    <w:rPr>
                      <w:color w:val="auto"/>
                      <w:sz w:val="20"/>
                      <w:szCs w:val="20"/>
                    </w:rPr>
                    <w:t>厂界外1m处</w:t>
                  </w:r>
                </w:p>
              </w:tc>
              <w:tc>
                <w:tcPr>
                  <w:tcW w:w="1892" w:type="dxa"/>
                  <w:noWrap w:val="0"/>
                  <w:tcMar>
                    <w:top w:w="0" w:type="dxa"/>
                    <w:left w:w="0" w:type="dxa"/>
                    <w:bottom w:w="0" w:type="dxa"/>
                    <w:right w:w="0" w:type="dxa"/>
                  </w:tcMar>
                  <w:vAlign w:val="center"/>
                </w:tcPr>
                <w:p>
                  <w:pPr>
                    <w:spacing w:line="320" w:lineRule="exact"/>
                    <w:jc w:val="center"/>
                    <w:rPr>
                      <w:color w:val="auto"/>
                      <w:sz w:val="20"/>
                      <w:szCs w:val="20"/>
                    </w:rPr>
                  </w:pPr>
                  <w:r>
                    <w:rPr>
                      <w:color w:val="auto"/>
                      <w:sz w:val="20"/>
                      <w:szCs w:val="20"/>
                    </w:rPr>
                    <w:t>连续等效A声级</w:t>
                  </w:r>
                </w:p>
              </w:tc>
              <w:tc>
                <w:tcPr>
                  <w:tcW w:w="840" w:type="dxa"/>
                  <w:noWrap w:val="0"/>
                  <w:tcMar>
                    <w:top w:w="0" w:type="dxa"/>
                    <w:left w:w="0" w:type="dxa"/>
                    <w:bottom w:w="0" w:type="dxa"/>
                    <w:right w:w="0" w:type="dxa"/>
                  </w:tcMar>
                  <w:vAlign w:val="center"/>
                </w:tcPr>
                <w:p>
                  <w:pPr>
                    <w:spacing w:line="320" w:lineRule="exact"/>
                    <w:jc w:val="center"/>
                    <w:rPr>
                      <w:rFonts w:hint="eastAsia" w:eastAsia="宋体"/>
                      <w:color w:val="auto"/>
                      <w:sz w:val="20"/>
                      <w:szCs w:val="20"/>
                      <w:lang w:eastAsia="zh-CN"/>
                    </w:rPr>
                  </w:pPr>
                  <w:r>
                    <w:rPr>
                      <w:rFonts w:hint="eastAsia"/>
                      <w:color w:val="auto"/>
                      <w:sz w:val="20"/>
                      <w:szCs w:val="20"/>
                      <w:lang w:val="en-US" w:eastAsia="zh-CN"/>
                    </w:rPr>
                    <w:t>7</w:t>
                  </w:r>
                </w:p>
              </w:tc>
              <w:tc>
                <w:tcPr>
                  <w:tcW w:w="2647" w:type="dxa"/>
                  <w:noWrap w:val="0"/>
                  <w:tcMar>
                    <w:top w:w="0" w:type="dxa"/>
                    <w:left w:w="0" w:type="dxa"/>
                    <w:bottom w:w="0" w:type="dxa"/>
                    <w:right w:w="0" w:type="dxa"/>
                  </w:tcMar>
                  <w:vAlign w:val="center"/>
                </w:tcPr>
                <w:p>
                  <w:pPr>
                    <w:spacing w:line="320" w:lineRule="exact"/>
                    <w:jc w:val="center"/>
                    <w:rPr>
                      <w:color w:val="auto"/>
                      <w:sz w:val="20"/>
                      <w:szCs w:val="20"/>
                    </w:rPr>
                  </w:pPr>
                  <w:r>
                    <w:rPr>
                      <w:color w:val="auto"/>
                      <w:sz w:val="20"/>
                      <w:szCs w:val="20"/>
                    </w:rPr>
                    <w:t>监测2天，昼</w:t>
                  </w:r>
                  <w:r>
                    <w:rPr>
                      <w:rFonts w:hint="eastAsia"/>
                      <w:color w:val="auto"/>
                      <w:sz w:val="20"/>
                      <w:szCs w:val="20"/>
                      <w:lang w:eastAsia="zh-CN"/>
                    </w:rPr>
                    <w:t>、</w:t>
                  </w:r>
                  <w:r>
                    <w:rPr>
                      <w:rFonts w:hint="eastAsia"/>
                      <w:color w:val="auto"/>
                      <w:sz w:val="20"/>
                      <w:szCs w:val="20"/>
                      <w:lang w:val="en-US" w:eastAsia="zh-CN"/>
                    </w:rPr>
                    <w:t>夜间各</w:t>
                  </w:r>
                  <w:r>
                    <w:rPr>
                      <w:color w:val="auto"/>
                      <w:sz w:val="20"/>
                      <w:szCs w:val="20"/>
                    </w:rPr>
                    <w:t>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1" w:type="dxa"/>
                  <w:noWrap w:val="0"/>
                  <w:tcMar>
                    <w:top w:w="0" w:type="dxa"/>
                    <w:left w:w="0" w:type="dxa"/>
                    <w:bottom w:w="0" w:type="dxa"/>
                    <w:right w:w="0" w:type="dxa"/>
                  </w:tcMar>
                  <w:vAlign w:val="center"/>
                </w:tcPr>
                <w:p>
                  <w:pPr>
                    <w:spacing w:line="320" w:lineRule="exact"/>
                    <w:jc w:val="center"/>
                    <w:rPr>
                      <w:color w:val="auto"/>
                      <w:sz w:val="20"/>
                      <w:szCs w:val="20"/>
                    </w:rPr>
                  </w:pPr>
                  <w:r>
                    <w:rPr>
                      <w:color w:val="auto"/>
                      <w:sz w:val="20"/>
                      <w:szCs w:val="20"/>
                    </w:rPr>
                    <w:t>注意事项</w:t>
                  </w:r>
                </w:p>
              </w:tc>
              <w:tc>
                <w:tcPr>
                  <w:tcW w:w="7619" w:type="dxa"/>
                  <w:gridSpan w:val="4"/>
                  <w:noWrap w:val="0"/>
                  <w:tcMar>
                    <w:top w:w="0" w:type="dxa"/>
                    <w:left w:w="0" w:type="dxa"/>
                    <w:bottom w:w="0" w:type="dxa"/>
                    <w:right w:w="0" w:type="dxa"/>
                  </w:tcMar>
                  <w:vAlign w:val="center"/>
                </w:tcPr>
                <w:p>
                  <w:pPr>
                    <w:spacing w:line="320" w:lineRule="exact"/>
                    <w:jc w:val="center"/>
                    <w:rPr>
                      <w:color w:val="auto"/>
                      <w:sz w:val="20"/>
                      <w:szCs w:val="20"/>
                    </w:rPr>
                  </w:pPr>
                  <w:r>
                    <w:rPr>
                      <w:color w:val="auto"/>
                      <w:sz w:val="20"/>
                      <w:szCs w:val="20"/>
                    </w:rPr>
                    <w:t>列出监测期间天气状况。</w:t>
                  </w:r>
                </w:p>
              </w:tc>
            </w:tr>
          </w:tbl>
          <w:p>
            <w:pPr>
              <w:spacing w:line="360" w:lineRule="auto"/>
              <w:rPr>
                <w:rFonts w:hint="eastAsia" w:ascii="Times New Roman" w:hAnsi="Times New Roman" w:eastAsia="宋体" w:cs="Times New Roman"/>
                <w:b/>
                <w:bCs/>
                <w:color w:val="auto"/>
                <w:sz w:val="18"/>
                <w:szCs w:val="18"/>
                <w:lang w:val="en-US" w:eastAsia="zh-CN"/>
              </w:rPr>
            </w:pPr>
            <w:r>
              <w:rPr>
                <w:rFonts w:hint="eastAsia" w:cs="Times New Roman"/>
                <w:b/>
                <w:bCs/>
                <w:color w:val="auto"/>
                <w:sz w:val="18"/>
                <w:szCs w:val="18"/>
                <w:lang w:val="en-US" w:eastAsia="zh-CN"/>
              </w:rPr>
              <w:t>注：</w:t>
            </w:r>
            <w:r>
              <w:rPr>
                <w:rFonts w:hint="eastAsia" w:ascii="Times New Roman" w:hAnsi="Times New Roman" w:eastAsia="宋体" w:cs="Times New Roman"/>
                <w:b/>
                <w:bCs/>
                <w:color w:val="auto"/>
                <w:sz w:val="18"/>
                <w:szCs w:val="18"/>
                <w:lang w:val="en-US" w:eastAsia="zh-CN"/>
              </w:rPr>
              <w:t>本报告保守考虑以华胜公司厂界作为本项目厂界</w:t>
            </w:r>
          </w:p>
          <w:p>
            <w:pPr>
              <w:pStyle w:val="47"/>
              <w:ind w:left="0" w:leftChars="0" w:firstLine="422" w:firstLineChars="200"/>
              <w:outlineLvl w:val="0"/>
              <w:rPr>
                <w:rFonts w:ascii="Times New Roman" w:hAnsi="Times New Roman"/>
                <w:b/>
                <w:bCs/>
                <w:color w:val="auto"/>
                <w:szCs w:val="21"/>
                <w:lang w:val="en-US"/>
              </w:rPr>
            </w:pPr>
            <w:r>
              <w:rPr>
                <w:rFonts w:hint="eastAsia" w:ascii="Times New Roman" w:hAnsi="Times New Roman"/>
                <w:b/>
                <w:bCs/>
                <w:color w:val="auto"/>
                <w:szCs w:val="21"/>
                <w:lang w:val="en-US"/>
              </w:rPr>
              <w:t>（5）声环境影响评价结论</w:t>
            </w:r>
          </w:p>
          <w:p>
            <w:pPr>
              <w:pStyle w:val="47"/>
              <w:ind w:firstLine="420"/>
              <w:outlineLvl w:val="0"/>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rPr>
              <w:t>本项目建成后，</w:t>
            </w:r>
            <w:r>
              <w:rPr>
                <w:rFonts w:hint="default" w:ascii="Times New Roman" w:hAnsi="Times New Roman" w:cs="Times New Roman"/>
                <w:color w:val="auto"/>
                <w:szCs w:val="21"/>
                <w:lang w:val="en-US" w:eastAsia="zh-CN"/>
              </w:rPr>
              <w:t>东</w:t>
            </w:r>
            <w:r>
              <w:rPr>
                <w:rFonts w:hint="eastAsia" w:ascii="Times New Roman" w:hAnsi="Times New Roman" w:cs="Times New Roman"/>
                <w:color w:val="auto"/>
                <w:szCs w:val="21"/>
                <w:lang w:val="en-US" w:eastAsia="zh-CN"/>
              </w:rPr>
              <w:t>、南</w:t>
            </w:r>
            <w:r>
              <w:rPr>
                <w:rFonts w:hint="default" w:ascii="Times New Roman" w:hAnsi="Times New Roman" w:cs="Times New Roman"/>
                <w:color w:val="auto"/>
                <w:szCs w:val="21"/>
                <w:lang w:val="en-US" w:eastAsia="zh-CN"/>
              </w:rPr>
              <w:t>、西和北</w:t>
            </w:r>
            <w:r>
              <w:rPr>
                <w:rFonts w:hint="default" w:ascii="Times New Roman" w:hAnsi="Times New Roman" w:cs="Times New Roman"/>
                <w:color w:val="auto"/>
                <w:szCs w:val="21"/>
              </w:rPr>
              <w:t>厂界噪声</w:t>
            </w:r>
            <w:r>
              <w:rPr>
                <w:rFonts w:hint="default" w:ascii="Times New Roman" w:hAnsi="Times New Roman" w:cs="Times New Roman"/>
                <w:color w:val="auto"/>
                <w:szCs w:val="21"/>
                <w:lang w:val="en-US" w:eastAsia="zh-CN"/>
              </w:rPr>
              <w:t>预测值</w:t>
            </w:r>
            <w:r>
              <w:rPr>
                <w:rFonts w:hint="default" w:ascii="Times New Roman" w:hAnsi="Times New Roman" w:cs="Times New Roman"/>
                <w:color w:val="auto"/>
                <w:szCs w:val="21"/>
              </w:rPr>
              <w:t>可满足《工业企业厂界环境噪声排放标准》（GB12348-2008）中</w:t>
            </w:r>
            <w:r>
              <w:rPr>
                <w:rFonts w:hint="default" w:ascii="Times New Roman" w:hAnsi="Times New Roman" w:cs="Times New Roman"/>
                <w:color w:val="auto"/>
                <w:szCs w:val="21"/>
                <w:lang w:val="en-US" w:eastAsia="zh-CN"/>
              </w:rPr>
              <w:t>2</w:t>
            </w:r>
            <w:r>
              <w:rPr>
                <w:rFonts w:hint="default" w:ascii="Times New Roman" w:hAnsi="Times New Roman" w:cs="Times New Roman"/>
                <w:color w:val="auto"/>
                <w:szCs w:val="21"/>
              </w:rPr>
              <w:t>类标准</w:t>
            </w:r>
            <w:r>
              <w:rPr>
                <w:rFonts w:hint="eastAsia" w:ascii="Times New Roman" w:hAnsi="Times New Roman" w:cs="Times New Roman"/>
                <w:color w:val="auto"/>
                <w:szCs w:val="21"/>
                <w:lang w:eastAsia="zh-CN"/>
              </w:rPr>
              <w:t>，</w:t>
            </w:r>
            <w:r>
              <w:rPr>
                <w:rFonts w:hint="eastAsia" w:ascii="Times New Roman" w:hAnsi="Times New Roman" w:cs="Times New Roman"/>
                <w:color w:val="auto"/>
                <w:szCs w:val="21"/>
                <w:lang w:val="en-US" w:eastAsia="zh-CN"/>
              </w:rPr>
              <w:t>经预测</w:t>
            </w:r>
            <w:r>
              <w:rPr>
                <w:rFonts w:hint="default" w:ascii="Times New Roman" w:hAnsi="Times New Roman" w:cs="Times New Roman"/>
                <w:color w:val="auto"/>
                <w:szCs w:val="21"/>
                <w:lang w:val="en-US"/>
              </w:rPr>
              <w:t>本项目对周边声环境影响较小，不会改变周边声环境质量现状。</w:t>
            </w:r>
          </w:p>
          <w:p>
            <w:pPr>
              <w:pStyle w:val="47"/>
              <w:ind w:firstLine="422"/>
              <w:outlineLvl w:val="0"/>
              <w:rPr>
                <w:rFonts w:ascii="Times New Roman" w:hAnsi="Times New Roman"/>
                <w:b/>
                <w:bCs/>
                <w:color w:val="auto"/>
                <w:szCs w:val="21"/>
                <w:lang w:val="en-US"/>
              </w:rPr>
            </w:pPr>
            <w:r>
              <w:rPr>
                <w:rFonts w:hint="eastAsia" w:ascii="Times New Roman" w:hAnsi="Times New Roman"/>
                <w:b/>
                <w:bCs/>
                <w:color w:val="auto"/>
                <w:szCs w:val="21"/>
                <w:lang w:val="en-US"/>
              </w:rPr>
              <w:t>4、固体废物</w:t>
            </w:r>
          </w:p>
          <w:p>
            <w:pPr>
              <w:pStyle w:val="47"/>
              <w:ind w:firstLine="422"/>
              <w:outlineLvl w:val="0"/>
              <w:rPr>
                <w:rFonts w:ascii="Times New Roman" w:hAnsi="Times New Roman"/>
                <w:b/>
                <w:bCs/>
                <w:color w:val="auto"/>
                <w:szCs w:val="21"/>
                <w:lang w:val="en-US"/>
              </w:rPr>
            </w:pPr>
            <w:r>
              <w:rPr>
                <w:rFonts w:hint="eastAsia" w:ascii="Times New Roman" w:hAnsi="Times New Roman"/>
                <w:b/>
                <w:bCs/>
                <w:color w:val="auto"/>
                <w:szCs w:val="21"/>
                <w:lang w:val="en-US"/>
              </w:rPr>
              <w:t>（1）固废产生情况</w:t>
            </w:r>
          </w:p>
          <w:p>
            <w:pPr>
              <w:pStyle w:val="47"/>
              <w:ind w:firstLine="420"/>
              <w:outlineLvl w:val="0"/>
              <w:rPr>
                <w:rFonts w:ascii="Times New Roman" w:hAnsi="Times New Roman"/>
                <w:color w:val="auto"/>
                <w:szCs w:val="21"/>
                <w:lang w:val="en-US"/>
              </w:rPr>
            </w:pPr>
            <w:r>
              <w:rPr>
                <w:rFonts w:ascii="Times New Roman" w:hAnsi="Times New Roman"/>
                <w:color w:val="auto"/>
                <w:szCs w:val="21"/>
                <w:lang w:val="en-US"/>
              </w:rPr>
              <w:t>1）</w:t>
            </w:r>
            <w:r>
              <w:rPr>
                <w:rFonts w:hint="eastAsia" w:ascii="Times New Roman" w:hAnsi="Times New Roman"/>
                <w:color w:val="auto"/>
                <w:szCs w:val="21"/>
                <w:lang w:val="en-US" w:eastAsia="zh-CN"/>
              </w:rPr>
              <w:t>废布料</w:t>
            </w:r>
          </w:p>
          <w:p>
            <w:pPr>
              <w:pStyle w:val="47"/>
              <w:ind w:firstLine="420"/>
              <w:outlineLvl w:val="0"/>
              <w:rPr>
                <w:rFonts w:hint="eastAsia" w:ascii="Times New Roman" w:hAnsi="Times New Roman"/>
              </w:rPr>
            </w:pPr>
            <w:r>
              <w:rPr>
                <w:rFonts w:hint="eastAsia" w:ascii="Times New Roman" w:hAnsi="Times New Roman"/>
              </w:rPr>
              <w:t>本项目使用</w:t>
            </w:r>
            <w:r>
              <w:rPr>
                <w:rFonts w:hint="eastAsia" w:ascii="Times New Roman" w:hAnsi="Times New Roman"/>
                <w:lang w:val="en-US" w:eastAsia="zh-CN"/>
              </w:rPr>
              <w:t>羊毛</w:t>
            </w:r>
            <w:r>
              <w:rPr>
                <w:rFonts w:hint="eastAsia" w:ascii="Times New Roman" w:hAnsi="Times New Roman"/>
              </w:rPr>
              <w:t>布</w:t>
            </w:r>
            <w:r>
              <w:rPr>
                <w:rFonts w:hint="eastAsia" w:ascii="Times New Roman" w:hAnsi="Times New Roman"/>
                <w:lang w:val="en-US" w:eastAsia="zh-CN"/>
              </w:rPr>
              <w:t>料</w:t>
            </w:r>
            <w:r>
              <w:rPr>
                <w:rFonts w:hint="eastAsia" w:ascii="Times New Roman" w:hAnsi="Times New Roman"/>
              </w:rPr>
              <w:t>年用量约</w:t>
            </w:r>
            <w:r>
              <w:rPr>
                <w:rFonts w:hint="eastAsia" w:ascii="Times New Roman" w:hAnsi="Times New Roman"/>
                <w:lang w:val="en-US" w:eastAsia="zh-CN"/>
              </w:rPr>
              <w:t>3200</w:t>
            </w:r>
            <w:r>
              <w:rPr>
                <w:rFonts w:hint="eastAsia" w:ascii="Times New Roman" w:hAnsi="Times New Roman"/>
              </w:rPr>
              <w:t>t，</w:t>
            </w:r>
            <w:r>
              <w:rPr>
                <w:rFonts w:hint="eastAsia" w:ascii="Times New Roman" w:hAnsi="Times New Roman"/>
                <w:lang w:val="en-US" w:eastAsia="zh-CN"/>
              </w:rPr>
              <w:t>翻缝</w:t>
            </w:r>
            <w:r>
              <w:rPr>
                <w:rFonts w:hint="eastAsia" w:ascii="Times New Roman" w:hAnsi="Times New Roman"/>
              </w:rPr>
              <w:t>过程中产生废坯布，根据企业提供资料，</w:t>
            </w:r>
            <w:r>
              <w:rPr>
                <w:rFonts w:hint="eastAsia" w:ascii="Times New Roman" w:hAnsi="Times New Roman"/>
                <w:color w:val="auto"/>
                <w:szCs w:val="21"/>
                <w:lang w:val="en-US" w:eastAsia="zh-CN"/>
              </w:rPr>
              <w:t>废布料</w:t>
            </w:r>
            <w:r>
              <w:rPr>
                <w:rFonts w:hint="eastAsia" w:ascii="Times New Roman" w:hAnsi="Times New Roman"/>
              </w:rPr>
              <w:t>的产生量约为</w:t>
            </w:r>
            <w:r>
              <w:rPr>
                <w:rFonts w:hint="eastAsia" w:ascii="Times New Roman" w:hAnsi="Times New Roman"/>
                <w:lang w:val="en-US" w:eastAsia="zh-CN"/>
              </w:rPr>
              <w:t>布料</w:t>
            </w:r>
            <w:r>
              <w:rPr>
                <w:rFonts w:hint="eastAsia" w:ascii="Times New Roman" w:hAnsi="Times New Roman"/>
              </w:rPr>
              <w:t>用量的0.1%，则</w:t>
            </w:r>
            <w:r>
              <w:rPr>
                <w:rFonts w:hint="eastAsia" w:ascii="Times New Roman" w:hAnsi="Times New Roman"/>
                <w:color w:val="auto"/>
                <w:szCs w:val="21"/>
                <w:lang w:val="en-US" w:eastAsia="zh-CN"/>
              </w:rPr>
              <w:t>废布料</w:t>
            </w:r>
            <w:r>
              <w:rPr>
                <w:rFonts w:hint="eastAsia" w:ascii="Times New Roman" w:hAnsi="Times New Roman"/>
              </w:rPr>
              <w:t>产生量为</w:t>
            </w:r>
            <w:r>
              <w:rPr>
                <w:rFonts w:hint="eastAsia" w:ascii="Times New Roman" w:hAnsi="Times New Roman"/>
                <w:lang w:val="en-US" w:eastAsia="zh-CN"/>
              </w:rPr>
              <w:t>3.2</w:t>
            </w:r>
            <w:r>
              <w:rPr>
                <w:rFonts w:hint="eastAsia" w:ascii="Times New Roman" w:hAnsi="Times New Roman"/>
              </w:rPr>
              <w:t>t/a，收集后统一外售。</w:t>
            </w:r>
          </w:p>
          <w:p>
            <w:pPr>
              <w:pStyle w:val="47"/>
              <w:ind w:firstLine="420"/>
              <w:outlineLvl w:val="0"/>
              <w:rPr>
                <w:rFonts w:hint="default" w:ascii="Times New Roman" w:hAnsi="Times New Roman" w:eastAsia="宋体"/>
                <w:color w:val="auto"/>
                <w:szCs w:val="21"/>
                <w:lang w:val="en-US" w:eastAsia="zh-CN"/>
              </w:rPr>
            </w:pPr>
            <w:r>
              <w:rPr>
                <w:rFonts w:hint="eastAsia" w:ascii="Times New Roman" w:hAnsi="Times New Roman"/>
                <w:color w:val="auto"/>
                <w:szCs w:val="21"/>
                <w:lang w:val="en-US"/>
              </w:rPr>
              <w:t>2）废</w:t>
            </w:r>
            <w:r>
              <w:rPr>
                <w:rFonts w:hint="eastAsia" w:ascii="Times New Roman" w:hAnsi="Times New Roman"/>
                <w:color w:val="auto"/>
                <w:szCs w:val="21"/>
                <w:lang w:val="en-US" w:eastAsia="zh-CN"/>
              </w:rPr>
              <w:t>导热油</w:t>
            </w:r>
          </w:p>
          <w:p>
            <w:pPr>
              <w:pStyle w:val="47"/>
              <w:numPr>
                <w:ilvl w:val="0"/>
                <w:numId w:val="0"/>
              </w:numPr>
              <w:ind w:firstLine="420" w:firstLineChars="200"/>
              <w:rPr>
                <w:rFonts w:ascii="Times New Roman" w:hAnsi="Times New Roman"/>
              </w:rPr>
            </w:pPr>
            <w:r>
              <w:rPr>
                <w:rFonts w:hint="eastAsia" w:ascii="Times New Roman" w:hAnsi="Times New Roman"/>
              </w:rPr>
              <w:t>本项目导热油</w:t>
            </w:r>
            <w:r>
              <w:rPr>
                <w:rFonts w:hint="eastAsia" w:ascii="Times New Roman" w:hAnsi="Times New Roman"/>
                <w:lang w:val="en-US" w:eastAsia="zh-CN"/>
              </w:rPr>
              <w:t>炉</w:t>
            </w:r>
            <w:r>
              <w:rPr>
                <w:rFonts w:hint="eastAsia" w:ascii="Times New Roman" w:hAnsi="Times New Roman"/>
              </w:rPr>
              <w:t>使用过程产生废导热油，根据企业提供资料，废导热油产生量为2t，</w:t>
            </w:r>
            <w:r>
              <w:rPr>
                <w:rFonts w:hint="eastAsia" w:ascii="Times New Roman" w:hAnsi="Times New Roman"/>
                <w:lang w:val="en-US" w:eastAsia="zh-CN"/>
              </w:rPr>
              <w:t>每3年更换一次，</w:t>
            </w:r>
            <w:r>
              <w:rPr>
                <w:rFonts w:hint="eastAsia" w:ascii="Times New Roman" w:hAnsi="Times New Roman"/>
              </w:rPr>
              <w:t>对照《国家危险废物名录》（2025年版），属于HW08废矿物油与含矿物油废物，废物代码为900-249-08，收集后密封桶装暂存在危废仓库，委托有资质单位定期处置。</w:t>
            </w:r>
          </w:p>
          <w:p>
            <w:pPr>
              <w:pStyle w:val="47"/>
              <w:ind w:firstLine="420"/>
              <w:outlineLvl w:val="0"/>
              <w:rPr>
                <w:rFonts w:hint="eastAsia" w:ascii="Times New Roman" w:hAnsi="Times New Roman" w:eastAsia="宋体"/>
                <w:color w:val="auto"/>
                <w:szCs w:val="21"/>
                <w:lang w:val="en-US" w:eastAsia="zh-CN"/>
              </w:rPr>
            </w:pPr>
            <w:r>
              <w:rPr>
                <w:rFonts w:hint="eastAsia" w:ascii="Times New Roman" w:hAnsi="Times New Roman"/>
                <w:color w:val="auto"/>
                <w:szCs w:val="21"/>
                <w:lang w:val="en-US"/>
              </w:rPr>
              <w:t>3）不合格品</w:t>
            </w:r>
          </w:p>
          <w:p>
            <w:pPr>
              <w:pStyle w:val="47"/>
              <w:numPr>
                <w:ilvl w:val="0"/>
                <w:numId w:val="0"/>
              </w:numPr>
              <w:ind w:firstLine="420" w:firstLineChars="200"/>
              <w:rPr>
                <w:rFonts w:hint="eastAsia" w:ascii="Times New Roman" w:hAnsi="Times New Roman"/>
              </w:rPr>
            </w:pPr>
            <w:r>
              <w:rPr>
                <w:rFonts w:hint="eastAsia" w:ascii="Times New Roman" w:hAnsi="Times New Roman"/>
              </w:rPr>
              <w:t>根据企业提供的资料产品年产量约</w:t>
            </w:r>
            <w:r>
              <w:rPr>
                <w:rFonts w:hint="eastAsia" w:ascii="Times New Roman" w:hAnsi="Times New Roman"/>
                <w:lang w:val="en-US" w:eastAsia="zh-CN"/>
              </w:rPr>
              <w:t>3080</w:t>
            </w:r>
            <w:r>
              <w:rPr>
                <w:rFonts w:hint="eastAsia" w:ascii="Times New Roman" w:hAnsi="Times New Roman"/>
              </w:rPr>
              <w:t>t，不合格品产生量约为产量的0.1%，则不合格品产量约</w:t>
            </w:r>
            <w:r>
              <w:rPr>
                <w:rFonts w:hint="eastAsia" w:ascii="Times New Roman" w:hAnsi="Times New Roman"/>
                <w:lang w:val="en-US" w:eastAsia="zh-CN"/>
              </w:rPr>
              <w:t>3.08</w:t>
            </w:r>
            <w:r>
              <w:rPr>
                <w:rFonts w:hint="eastAsia" w:ascii="Times New Roman" w:hAnsi="Times New Roman"/>
              </w:rPr>
              <w:t>t/a，由企业收集后外售。</w:t>
            </w:r>
          </w:p>
          <w:p>
            <w:pPr>
              <w:pStyle w:val="47"/>
              <w:ind w:firstLine="420"/>
              <w:outlineLvl w:val="0"/>
              <w:rPr>
                <w:rFonts w:hint="eastAsia" w:ascii="Times New Roman" w:hAnsi="Times New Roman" w:eastAsia="宋体"/>
                <w:color w:val="auto"/>
                <w:szCs w:val="21"/>
                <w:lang w:val="en-US" w:eastAsia="zh-CN"/>
              </w:rPr>
            </w:pPr>
            <w:r>
              <w:rPr>
                <w:rFonts w:hint="eastAsia" w:ascii="Times New Roman" w:hAnsi="Times New Roman"/>
                <w:color w:val="auto"/>
                <w:szCs w:val="21"/>
                <w:lang w:val="en-US"/>
              </w:rPr>
              <w:t>4）废</w:t>
            </w:r>
            <w:r>
              <w:rPr>
                <w:rFonts w:hint="eastAsia" w:ascii="Times New Roman" w:hAnsi="Times New Roman"/>
                <w:color w:val="auto"/>
                <w:szCs w:val="21"/>
                <w:lang w:val="en-US" w:eastAsia="zh-CN"/>
              </w:rPr>
              <w:t>炉渣</w:t>
            </w:r>
          </w:p>
          <w:p>
            <w:pPr>
              <w:pStyle w:val="47"/>
              <w:ind w:firstLine="420"/>
              <w:outlineLvl w:val="0"/>
              <w:rPr>
                <w:rFonts w:hint="eastAsia" w:ascii="Times New Roman" w:hAnsi="Times New Roman"/>
              </w:rPr>
            </w:pPr>
            <w:r>
              <w:rPr>
                <w:rFonts w:hint="eastAsia" w:ascii="Times New Roman" w:hAnsi="Times New Roman"/>
              </w:rPr>
              <w:t>本项目生物质锅炉使用过程中产生废炉渣，废炉渣产生量约为生物质颗粒用量的1%，本项目生物质颗粒年用量为1</w:t>
            </w:r>
            <w:r>
              <w:rPr>
                <w:rFonts w:hint="eastAsia" w:ascii="Times New Roman" w:hAnsi="Times New Roman"/>
                <w:lang w:val="en-US" w:eastAsia="zh-CN"/>
              </w:rPr>
              <w:t>40</w:t>
            </w:r>
            <w:r>
              <w:rPr>
                <w:rFonts w:hint="eastAsia" w:ascii="Times New Roman" w:hAnsi="Times New Roman"/>
              </w:rPr>
              <w:t>00t，则废炉渣产生量为1</w:t>
            </w:r>
            <w:r>
              <w:rPr>
                <w:rFonts w:hint="eastAsia" w:ascii="Times New Roman" w:hAnsi="Times New Roman"/>
                <w:lang w:val="en-US" w:eastAsia="zh-CN"/>
              </w:rPr>
              <w:t>40</w:t>
            </w:r>
            <w:r>
              <w:rPr>
                <w:rFonts w:hint="eastAsia" w:ascii="Times New Roman" w:hAnsi="Times New Roman"/>
              </w:rPr>
              <w:t>t/a，属于一般固废，收集后委托有资质单位处置。</w:t>
            </w:r>
          </w:p>
          <w:p>
            <w:pPr>
              <w:pStyle w:val="47"/>
              <w:ind w:firstLine="420"/>
              <w:outlineLvl w:val="0"/>
              <w:rPr>
                <w:rFonts w:hint="default" w:ascii="Times New Roman" w:hAnsi="Times New Roman" w:eastAsia="宋体"/>
                <w:color w:val="auto"/>
                <w:szCs w:val="21"/>
                <w:lang w:val="en-US" w:eastAsia="zh-CN"/>
              </w:rPr>
            </w:pPr>
            <w:r>
              <w:rPr>
                <w:rFonts w:hint="eastAsia" w:ascii="Times New Roman" w:hAnsi="Times New Roman"/>
                <w:color w:val="auto"/>
                <w:szCs w:val="21"/>
                <w:lang w:val="en-US"/>
              </w:rPr>
              <w:t>5）</w:t>
            </w:r>
            <w:r>
              <w:rPr>
                <w:rFonts w:hint="eastAsia" w:ascii="Times New Roman" w:hAnsi="Times New Roman"/>
                <w:color w:val="auto"/>
                <w:szCs w:val="21"/>
                <w:lang w:val="en-US" w:eastAsia="zh-CN"/>
              </w:rPr>
              <w:t>含油抹布手套</w:t>
            </w:r>
          </w:p>
          <w:p>
            <w:pPr>
              <w:pStyle w:val="47"/>
              <w:ind w:firstLine="420"/>
              <w:outlineLvl w:val="0"/>
              <w:rPr>
                <w:rFonts w:hint="eastAsia" w:ascii="Times New Roman" w:hAnsi="Times New Roman"/>
              </w:rPr>
            </w:pPr>
            <w:r>
              <w:rPr>
                <w:rFonts w:hint="eastAsia" w:ascii="Times New Roman" w:hAnsi="Times New Roman"/>
              </w:rPr>
              <w:t>本项目生产过程中产生含油抹布和手套，产生量约0.2ta，根据《国家危险废物名录》（2025版），含油废抹布手套豁免，考虑到废抹布手套可能含油大量有机物和矿物油，建议企业收集后委托有资质单位处置。</w:t>
            </w:r>
          </w:p>
          <w:p>
            <w:pPr>
              <w:pStyle w:val="47"/>
              <w:numPr>
                <w:ilvl w:val="0"/>
                <w:numId w:val="32"/>
              </w:numPr>
              <w:ind w:firstLine="420"/>
              <w:outlineLvl w:val="0"/>
              <w:rPr>
                <w:rFonts w:hint="eastAsia" w:ascii="Times New Roman" w:hAnsi="Times New Roman"/>
                <w:color w:val="auto"/>
                <w:szCs w:val="21"/>
                <w:lang w:val="en-US" w:eastAsia="zh-CN"/>
              </w:rPr>
            </w:pPr>
            <w:r>
              <w:rPr>
                <w:rFonts w:hint="eastAsia" w:ascii="Times New Roman" w:hAnsi="Times New Roman"/>
                <w:color w:val="auto"/>
                <w:szCs w:val="21"/>
                <w:lang w:val="en-US"/>
              </w:rPr>
              <w:t>废</w:t>
            </w:r>
            <w:r>
              <w:rPr>
                <w:rFonts w:hint="eastAsia" w:ascii="Times New Roman" w:hAnsi="Times New Roman"/>
                <w:color w:val="auto"/>
                <w:szCs w:val="21"/>
                <w:lang w:val="en-US" w:eastAsia="zh-CN"/>
              </w:rPr>
              <w:t>机油</w:t>
            </w:r>
          </w:p>
          <w:p>
            <w:pPr>
              <w:pStyle w:val="47"/>
              <w:ind w:firstLine="420"/>
              <w:outlineLvl w:val="0"/>
              <w:rPr>
                <w:rFonts w:hint="eastAsia" w:ascii="Times New Roman" w:hAnsi="Times New Roman"/>
              </w:rPr>
            </w:pPr>
            <w:r>
              <w:rPr>
                <w:rFonts w:hint="eastAsia" w:ascii="Times New Roman" w:hAnsi="Times New Roman"/>
              </w:rPr>
              <w:t>本项目设备维护过程产生废</w:t>
            </w:r>
            <w:r>
              <w:rPr>
                <w:rFonts w:hint="eastAsia" w:ascii="Times New Roman" w:hAnsi="Times New Roman"/>
                <w:lang w:val="en-US" w:eastAsia="zh-CN"/>
              </w:rPr>
              <w:t>机</w:t>
            </w:r>
            <w:r>
              <w:rPr>
                <w:rFonts w:hint="eastAsia" w:ascii="Times New Roman" w:hAnsi="Times New Roman"/>
              </w:rPr>
              <w:t>油，根据企业提供资料，废</w:t>
            </w:r>
            <w:r>
              <w:rPr>
                <w:rFonts w:hint="eastAsia" w:ascii="Times New Roman" w:hAnsi="Times New Roman"/>
                <w:lang w:val="en-US" w:eastAsia="zh-CN"/>
              </w:rPr>
              <w:t>机</w:t>
            </w:r>
            <w:r>
              <w:rPr>
                <w:rFonts w:hint="eastAsia" w:ascii="Times New Roman" w:hAnsi="Times New Roman"/>
              </w:rPr>
              <w:t>油产生量为0.8</w:t>
            </w:r>
            <w:r>
              <w:rPr>
                <w:rFonts w:ascii="Times New Roman" w:hAnsi="Times New Roman"/>
              </w:rPr>
              <w:t>t/a</w:t>
            </w:r>
            <w:r>
              <w:rPr>
                <w:rFonts w:hint="eastAsia" w:ascii="Times New Roman" w:hAnsi="Times New Roman"/>
              </w:rPr>
              <w:t>，对照《国家危险废物名录》（</w:t>
            </w:r>
            <w:r>
              <w:rPr>
                <w:rFonts w:ascii="Times New Roman" w:hAnsi="Times New Roman"/>
              </w:rPr>
              <w:t>2025</w:t>
            </w:r>
            <w:r>
              <w:rPr>
                <w:rFonts w:hint="eastAsia" w:ascii="Times New Roman" w:hAnsi="Times New Roman"/>
              </w:rPr>
              <w:t>年版），属于</w:t>
            </w:r>
            <w:r>
              <w:rPr>
                <w:rFonts w:ascii="Times New Roman" w:hAnsi="Times New Roman"/>
              </w:rPr>
              <w:t>HW08</w:t>
            </w:r>
            <w:r>
              <w:rPr>
                <w:rFonts w:hint="eastAsia" w:ascii="Times New Roman" w:hAnsi="Times New Roman"/>
              </w:rPr>
              <w:t>废矿物油与含矿物油废物，废物代码为</w:t>
            </w:r>
            <w:r>
              <w:rPr>
                <w:rFonts w:ascii="Times New Roman" w:hAnsi="Times New Roman"/>
              </w:rPr>
              <w:t>900-2</w:t>
            </w:r>
            <w:r>
              <w:rPr>
                <w:rFonts w:hint="eastAsia" w:ascii="Times New Roman" w:hAnsi="Times New Roman"/>
              </w:rPr>
              <w:t>17</w:t>
            </w:r>
            <w:r>
              <w:rPr>
                <w:rFonts w:ascii="Times New Roman" w:hAnsi="Times New Roman"/>
              </w:rPr>
              <w:t>-08</w:t>
            </w:r>
            <w:r>
              <w:rPr>
                <w:rFonts w:hint="eastAsia" w:ascii="Times New Roman" w:hAnsi="Times New Roman"/>
              </w:rPr>
              <w:t>，收集后密封桶装暂存在危废仓库，委托有资质单位定期处置。</w:t>
            </w:r>
          </w:p>
          <w:p>
            <w:pPr>
              <w:pStyle w:val="47"/>
              <w:numPr>
                <w:ilvl w:val="0"/>
                <w:numId w:val="32"/>
              </w:numPr>
              <w:ind w:left="0" w:leftChars="0" w:firstLine="420" w:firstLineChars="200"/>
              <w:rPr>
                <w:rFonts w:hint="eastAsia" w:ascii="Times New Roman" w:hAnsi="Times New Roman"/>
                <w:bCs/>
                <w:kern w:val="24"/>
                <w:lang w:val="en-US" w:eastAsia="zh-CN"/>
              </w:rPr>
            </w:pPr>
            <w:r>
              <w:rPr>
                <w:rFonts w:ascii="Times New Roman" w:hAnsi="Times New Roman"/>
                <w:bCs/>
                <w:kern w:val="24"/>
              </w:rPr>
              <w:t>废粉尘</w:t>
            </w:r>
          </w:p>
          <w:p>
            <w:pPr>
              <w:pStyle w:val="47"/>
              <w:numPr>
                <w:ilvl w:val="0"/>
                <w:numId w:val="0"/>
              </w:numPr>
              <w:ind w:firstLine="420" w:firstLineChars="200"/>
              <w:rPr>
                <w:rFonts w:ascii="Times New Roman" w:hAnsi="Times New Roman"/>
                <w:color w:val="auto"/>
                <w:szCs w:val="21"/>
                <w:lang w:val="en-US"/>
              </w:rPr>
            </w:pPr>
            <w:r>
              <w:rPr>
                <w:rFonts w:ascii="Times New Roman" w:hAnsi="Times New Roman"/>
                <w:bCs/>
                <w:kern w:val="24"/>
              </w:rPr>
              <w:t>本项目生物质燃烧废气通过除尘设施进行除尘，根据</w:t>
            </w:r>
            <w:r>
              <w:rPr>
                <w:rFonts w:hint="eastAsia" w:ascii="Times New Roman" w:hAnsi="Times New Roman"/>
                <w:bCs/>
                <w:kern w:val="24"/>
                <w:lang w:val="en-US" w:eastAsia="zh-CN"/>
              </w:rPr>
              <w:t>源强核算</w:t>
            </w:r>
            <w:r>
              <w:rPr>
                <w:rFonts w:ascii="Times New Roman" w:hAnsi="Times New Roman"/>
                <w:bCs/>
                <w:kern w:val="24"/>
              </w:rPr>
              <w:t>废粉尘产生量为</w:t>
            </w:r>
            <w:r>
              <w:rPr>
                <w:rFonts w:hint="eastAsia" w:ascii="Times New Roman" w:hAnsi="Times New Roman"/>
                <w:bCs/>
                <w:kern w:val="24"/>
                <w:lang w:val="en-US" w:eastAsia="zh-CN"/>
              </w:rPr>
              <w:t>6.998</w:t>
            </w:r>
            <w:r>
              <w:rPr>
                <w:rFonts w:ascii="Times New Roman" w:hAnsi="Times New Roman"/>
                <w:bCs/>
                <w:kern w:val="24"/>
              </w:rPr>
              <w:t>t/a，</w:t>
            </w:r>
            <w:bookmarkStart w:id="21" w:name="OLE_LINK76"/>
            <w:r>
              <w:rPr>
                <w:rFonts w:ascii="Times New Roman" w:hAnsi="Times New Roman"/>
              </w:rPr>
              <w:t>属于一般固废，收集后委托有资质单位处置。</w:t>
            </w:r>
            <w:bookmarkEnd w:id="21"/>
          </w:p>
          <w:p>
            <w:pPr>
              <w:numPr>
                <w:ilvl w:val="0"/>
                <w:numId w:val="32"/>
              </w:numPr>
              <w:spacing w:line="360" w:lineRule="auto"/>
              <w:ind w:left="0" w:leftChars="0" w:firstLine="420" w:firstLineChars="200"/>
              <w:rPr>
                <w:rFonts w:hint="eastAsia"/>
                <w:bCs/>
                <w:kern w:val="24"/>
                <w:lang w:val="en-US" w:eastAsia="zh-CN"/>
              </w:rPr>
            </w:pPr>
            <w:r>
              <w:rPr>
                <w:rFonts w:hint="eastAsia"/>
                <w:bCs/>
                <w:kern w:val="24"/>
              </w:rPr>
              <w:t>定型废气处理废油</w:t>
            </w:r>
          </w:p>
          <w:p>
            <w:pPr>
              <w:numPr>
                <w:ilvl w:val="0"/>
                <w:numId w:val="0"/>
              </w:numPr>
              <w:spacing w:line="360" w:lineRule="auto"/>
              <w:ind w:firstLine="420" w:firstLineChars="200"/>
              <w:rPr>
                <w:rFonts w:ascii="Times New Roman" w:hAnsi="Times New Roman"/>
                <w:color w:val="auto"/>
                <w:szCs w:val="21"/>
                <w:lang w:val="en-US"/>
              </w:rPr>
            </w:pPr>
            <w:r>
              <w:rPr>
                <w:rFonts w:hint="eastAsia"/>
                <w:bCs/>
                <w:kern w:val="24"/>
              </w:rPr>
              <w:t>本项目定型过程中油雾以非甲烷总烃计，非甲烷总烃去除量及为油雾去除量，根据表4-</w:t>
            </w:r>
            <w:r>
              <w:rPr>
                <w:rFonts w:hint="eastAsia"/>
                <w:bCs/>
                <w:kern w:val="24"/>
                <w:lang w:val="en-US" w:eastAsia="zh-CN"/>
              </w:rPr>
              <w:t>3</w:t>
            </w:r>
            <w:r>
              <w:rPr>
                <w:rFonts w:hint="eastAsia"/>
                <w:bCs/>
                <w:kern w:val="24"/>
              </w:rPr>
              <w:t>，</w:t>
            </w:r>
            <w:bookmarkStart w:id="22" w:name="OLE_LINK110"/>
            <w:r>
              <w:rPr>
                <w:rFonts w:hint="eastAsia"/>
                <w:bCs/>
                <w:kern w:val="24"/>
              </w:rPr>
              <w:t>定型废气处理废油</w:t>
            </w:r>
            <w:bookmarkEnd w:id="22"/>
            <w:r>
              <w:rPr>
                <w:rFonts w:hint="eastAsia"/>
                <w:bCs/>
                <w:kern w:val="24"/>
              </w:rPr>
              <w:t>产生量为</w:t>
            </w:r>
            <w:r>
              <w:rPr>
                <w:rFonts w:hint="eastAsia"/>
                <w:bCs/>
                <w:kern w:val="24"/>
                <w:lang w:val="en-US" w:eastAsia="zh-CN"/>
              </w:rPr>
              <w:t>1.231</w:t>
            </w:r>
            <w:r>
              <w:rPr>
                <w:rFonts w:hint="eastAsia"/>
                <w:bCs/>
                <w:kern w:val="24"/>
              </w:rPr>
              <w:t>t/a，</w:t>
            </w:r>
            <w:r>
              <w:rPr>
                <w:rFonts w:hint="eastAsia"/>
              </w:rPr>
              <w:t>对照《国家危险废物名录》（2025年版），定型废气处理废油属于危险废物，废物类别为HW08，收集后委托有资质单位处置。</w:t>
            </w:r>
          </w:p>
          <w:p>
            <w:pPr>
              <w:numPr>
                <w:ilvl w:val="0"/>
                <w:numId w:val="32"/>
              </w:numPr>
              <w:spacing w:line="360" w:lineRule="auto"/>
              <w:ind w:left="0" w:leftChars="0" w:firstLine="420" w:firstLineChars="200"/>
              <w:rPr>
                <w:rFonts w:hint="eastAsia"/>
                <w:bCs/>
                <w:kern w:val="24"/>
              </w:rPr>
            </w:pPr>
            <w:r>
              <w:rPr>
                <w:rFonts w:hint="eastAsia"/>
                <w:bCs/>
                <w:kern w:val="24"/>
              </w:rPr>
              <w:t>废包装</w:t>
            </w:r>
            <w:r>
              <w:rPr>
                <w:rFonts w:hint="eastAsia"/>
                <w:bCs/>
                <w:kern w:val="24"/>
                <w:lang w:val="en-US" w:eastAsia="zh-CN"/>
              </w:rPr>
              <w:t>材料</w:t>
            </w:r>
          </w:p>
          <w:p>
            <w:pPr>
              <w:numPr>
                <w:ilvl w:val="0"/>
                <w:numId w:val="0"/>
              </w:numPr>
              <w:spacing w:line="360" w:lineRule="auto"/>
              <w:ind w:firstLine="420" w:firstLineChars="200"/>
              <w:rPr>
                <w:rFonts w:hint="eastAsia"/>
                <w:bCs/>
                <w:kern w:val="24"/>
              </w:rPr>
            </w:pPr>
            <w:r>
              <w:rPr>
                <w:rFonts w:hint="eastAsia"/>
                <w:bCs/>
                <w:kern w:val="24"/>
              </w:rPr>
              <w:t>本项目使用柔软剂产生废包装桶约100只，每只包装桶重约1.5kg，则本项目废包装桶产生量为</w:t>
            </w:r>
            <w:r>
              <w:rPr>
                <w:rFonts w:hint="eastAsia"/>
                <w:bCs/>
                <w:kern w:val="24"/>
                <w:lang w:val="en-US" w:eastAsia="zh-CN"/>
              </w:rPr>
              <w:t>0.</w:t>
            </w:r>
            <w:r>
              <w:rPr>
                <w:rFonts w:hint="eastAsia"/>
                <w:bCs/>
                <w:kern w:val="24"/>
              </w:rPr>
              <w:t>15t/a，对照《国家危险废物名录》（2025年版），废包装桶属于危险废物，属于HW49其他废物，废物代码为900-041-49，收集后委托有资质单位处置。</w:t>
            </w:r>
          </w:p>
          <w:p>
            <w:pPr>
              <w:numPr>
                <w:ilvl w:val="0"/>
                <w:numId w:val="32"/>
              </w:numPr>
              <w:spacing w:line="360" w:lineRule="auto"/>
              <w:ind w:left="0" w:leftChars="0" w:firstLine="420" w:firstLineChars="200"/>
              <w:rPr>
                <w:rFonts w:hint="eastAsia"/>
                <w:bCs/>
                <w:kern w:val="24"/>
              </w:rPr>
            </w:pPr>
            <w:r>
              <w:rPr>
                <w:rFonts w:hint="eastAsia"/>
                <w:bCs/>
                <w:kern w:val="24"/>
              </w:rPr>
              <w:t>废油桶</w:t>
            </w:r>
          </w:p>
          <w:p>
            <w:pPr>
              <w:numPr>
                <w:ilvl w:val="0"/>
                <w:numId w:val="0"/>
              </w:numPr>
              <w:spacing w:line="360" w:lineRule="auto"/>
              <w:ind w:firstLine="420" w:firstLineChars="200"/>
              <w:rPr>
                <w:rFonts w:ascii="Times New Roman" w:hAnsi="Times New Roman"/>
                <w:b/>
                <w:bCs/>
                <w:color w:val="auto"/>
                <w:szCs w:val="21"/>
                <w:lang w:val="en-US"/>
              </w:rPr>
            </w:pPr>
            <w:r>
              <w:rPr>
                <w:rFonts w:hint="eastAsia"/>
                <w:bCs/>
                <w:kern w:val="24"/>
              </w:rPr>
              <w:t>本项目使用润滑油、导热油等，产生废油桶约60只，每只包装桶重约5kg，则本项目废包装桶产生量为0.3t/a，对照《国家危险废物名录》（2025年版），废油桶属于危险废物，属于HW08废矿物油与含矿物油废物，废物代码为900-249-08，收集后委托有资质单位处置。</w:t>
            </w:r>
          </w:p>
          <w:p>
            <w:pPr>
              <w:pStyle w:val="47"/>
              <w:ind w:left="420" w:leftChars="200" w:firstLine="0" w:firstLineChars="0"/>
              <w:outlineLvl w:val="0"/>
              <w:rPr>
                <w:rFonts w:hint="default" w:ascii="Times New Roman" w:hAnsi="Times New Roman" w:eastAsia="宋体"/>
                <w:color w:val="auto"/>
                <w:szCs w:val="21"/>
                <w:lang w:val="en-US" w:eastAsia="zh-CN"/>
              </w:rPr>
            </w:pPr>
            <w:r>
              <w:rPr>
                <w:rFonts w:hint="eastAsia" w:ascii="Times New Roman" w:hAnsi="Times New Roman"/>
                <w:color w:val="auto"/>
                <w:szCs w:val="21"/>
                <w:lang w:val="en-US"/>
              </w:rPr>
              <w:t>1</w:t>
            </w:r>
            <w:r>
              <w:rPr>
                <w:rFonts w:hint="eastAsia" w:ascii="Times New Roman" w:hAnsi="Times New Roman"/>
                <w:color w:val="auto"/>
                <w:szCs w:val="21"/>
                <w:lang w:val="en-US" w:eastAsia="zh-CN"/>
              </w:rPr>
              <w:t>1</w:t>
            </w:r>
            <w:r>
              <w:rPr>
                <w:rFonts w:hint="eastAsia" w:ascii="Times New Roman" w:hAnsi="Times New Roman"/>
                <w:color w:val="auto"/>
                <w:szCs w:val="21"/>
                <w:lang w:val="en-US"/>
              </w:rPr>
              <w:t>）</w:t>
            </w:r>
            <w:r>
              <w:rPr>
                <w:rFonts w:hint="default" w:ascii="Times New Roman" w:hAnsi="Times New Roman" w:cs="Times New Roman"/>
                <w:color w:val="FF0000"/>
                <w:szCs w:val="21"/>
                <w:lang w:val="en-US"/>
              </w:rPr>
              <w:t>纯水制备废滤芯</w:t>
            </w:r>
            <w:r>
              <w:rPr>
                <w:rFonts w:hint="default" w:ascii="Times New Roman" w:hAnsi="Times New Roman" w:cs="Times New Roman"/>
                <w:color w:val="FF0000"/>
                <w:lang w:eastAsia="zh-CN"/>
              </w:rPr>
              <w:t>、</w:t>
            </w:r>
            <w:r>
              <w:rPr>
                <w:rFonts w:hint="default" w:ascii="Times New Roman" w:hAnsi="Times New Roman" w:cs="Times New Roman"/>
                <w:color w:val="FF0000"/>
                <w:lang w:val="en-US" w:eastAsia="zh-CN"/>
              </w:rPr>
              <w:t>RO膜</w:t>
            </w:r>
          </w:p>
          <w:p>
            <w:pPr>
              <w:pStyle w:val="47"/>
              <w:ind w:firstLine="420"/>
              <w:outlineLvl w:val="0"/>
              <w:rPr>
                <w:rFonts w:ascii="Times New Roman" w:hAnsi="Times New Roman"/>
                <w:color w:val="auto"/>
                <w:szCs w:val="21"/>
                <w:lang w:val="en-US"/>
              </w:rPr>
            </w:pPr>
            <w:r>
              <w:rPr>
                <w:rFonts w:hint="eastAsia" w:ascii="Times New Roman" w:hAnsi="Times New Roman"/>
                <w:color w:val="auto"/>
                <w:szCs w:val="21"/>
                <w:lang w:val="en-US"/>
              </w:rPr>
              <w:t>纯水制备会产生一定量的废滤芯</w:t>
            </w:r>
            <w:r>
              <w:rPr>
                <w:rFonts w:hint="eastAsia" w:ascii="Times New Roman" w:hAnsi="Times New Roman"/>
                <w:color w:val="auto"/>
                <w:szCs w:val="21"/>
                <w:lang w:val="en-US" w:eastAsia="zh-CN"/>
              </w:rPr>
              <w:t>、RO膜</w:t>
            </w:r>
            <w:r>
              <w:rPr>
                <w:rFonts w:hint="eastAsia" w:ascii="Times New Roman" w:hAnsi="Times New Roman"/>
                <w:color w:val="auto"/>
                <w:szCs w:val="21"/>
                <w:lang w:val="en-US"/>
              </w:rPr>
              <w:t>，根据</w:t>
            </w:r>
            <w:r>
              <w:rPr>
                <w:rFonts w:hint="eastAsia" w:ascii="Times New Roman" w:hAnsi="Times New Roman"/>
                <w:color w:val="auto"/>
                <w:szCs w:val="21"/>
                <w:lang w:val="en-US" w:eastAsia="zh-CN"/>
              </w:rPr>
              <w:t>企业提供的资料</w:t>
            </w:r>
            <w:r>
              <w:rPr>
                <w:rFonts w:hint="eastAsia" w:ascii="Times New Roman" w:hAnsi="Times New Roman"/>
                <w:color w:val="auto"/>
                <w:szCs w:val="21"/>
                <w:lang w:val="en-US"/>
              </w:rPr>
              <w:t>，本项目纯水制备废滤芯</w:t>
            </w:r>
            <w:r>
              <w:rPr>
                <w:rFonts w:hint="eastAsia" w:ascii="Times New Roman" w:hAnsi="Times New Roman"/>
                <w:color w:val="auto"/>
                <w:szCs w:val="21"/>
                <w:lang w:val="en-US" w:eastAsia="zh-CN"/>
              </w:rPr>
              <w:t>、RO膜</w:t>
            </w:r>
            <w:r>
              <w:rPr>
                <w:rFonts w:hint="eastAsia" w:ascii="Times New Roman" w:hAnsi="Times New Roman"/>
                <w:color w:val="auto"/>
                <w:szCs w:val="21"/>
                <w:lang w:val="en-US"/>
              </w:rPr>
              <w:t>产生量约为3t/a，委托处置。</w:t>
            </w:r>
          </w:p>
          <w:p>
            <w:pPr>
              <w:pStyle w:val="47"/>
              <w:ind w:firstLine="420"/>
              <w:outlineLvl w:val="0"/>
              <w:rPr>
                <w:rFonts w:hint="default" w:ascii="Times New Roman" w:hAnsi="Times New Roman" w:eastAsia="宋体"/>
                <w:color w:val="FF0000"/>
                <w:szCs w:val="21"/>
                <w:lang w:val="en-US" w:eastAsia="zh-CN"/>
              </w:rPr>
            </w:pPr>
            <w:r>
              <w:rPr>
                <w:rFonts w:hint="eastAsia" w:ascii="Times New Roman" w:hAnsi="Times New Roman"/>
                <w:color w:val="FF0000"/>
                <w:szCs w:val="21"/>
                <w:lang w:val="en-US" w:eastAsia="zh-CN"/>
              </w:rPr>
              <w:t>12）脱硫渣</w:t>
            </w:r>
          </w:p>
          <w:p>
            <w:pPr>
              <w:pStyle w:val="47"/>
              <w:keepNext w:val="0"/>
              <w:keepLines w:val="0"/>
              <w:pageBreakBefore w:val="0"/>
              <w:widowControl w:val="0"/>
              <w:kinsoku/>
              <w:wordWrap/>
              <w:overflowPunct/>
              <w:topLinePunct w:val="0"/>
              <w:bidi w:val="0"/>
              <w:spacing w:line="360" w:lineRule="auto"/>
              <w:ind w:firstLine="420"/>
              <w:textAlignment w:val="auto"/>
              <w:outlineLvl w:val="0"/>
              <w:rPr>
                <w:rFonts w:hint="eastAsia" w:ascii="Times New Roman" w:hAnsi="Times New Roman"/>
                <w:color w:val="FF0000"/>
                <w:szCs w:val="21"/>
                <w:lang w:val="en-US" w:eastAsia="zh-CN"/>
              </w:rPr>
            </w:pPr>
            <w:r>
              <w:rPr>
                <w:rFonts w:hint="eastAsia" w:ascii="Times New Roman" w:hAnsi="Times New Roman"/>
                <w:color w:val="FF0000"/>
                <w:szCs w:val="21"/>
                <w:lang w:val="en-US" w:eastAsia="zh-CN"/>
              </w:rPr>
              <w:t>本项目采用半干法脱硫，石灰石/石膏湿法脱硫通过强制氧化将亚硫酸钙转化为硫酸钙（石膏），而喷雾干燥法未进行充分氧化步骤，因此产物中硫酸钙含量较低，无法形成工业级石膏。脱硫脱酸渣主要成分为亚硫酸钙、少量硫酸钙、少量副反应产生的碳酸钙，</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 w:val="0"/>
                <w:bCs w:val="0"/>
                <w:color w:val="FF0000"/>
                <w:kern w:val="0"/>
                <w:szCs w:val="21"/>
                <w:lang w:val="en-US" w:eastAsia="zh-CN"/>
              </w:rPr>
            </w:pPr>
            <w:r>
              <w:rPr>
                <w:rFonts w:hint="eastAsia"/>
                <w:b w:val="0"/>
                <w:bCs w:val="0"/>
                <w:color w:val="FF0000"/>
                <w:kern w:val="0"/>
                <w:szCs w:val="21"/>
                <w:lang w:val="en-US" w:eastAsia="zh-CN"/>
              </w:rPr>
              <w:t>脱硫反应分为以下阶段:</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 w:val="0"/>
                <w:bCs w:val="0"/>
                <w:color w:val="FF0000"/>
                <w:kern w:val="0"/>
                <w:szCs w:val="21"/>
                <w:lang w:val="en-US" w:eastAsia="zh-CN"/>
              </w:rPr>
            </w:pPr>
            <w:r>
              <w:rPr>
                <w:rFonts w:hint="eastAsia"/>
                <w:b w:val="0"/>
                <w:bCs w:val="0"/>
                <w:color w:val="FF0000"/>
                <w:kern w:val="0"/>
                <w:szCs w:val="21"/>
                <w:lang w:val="en-US" w:eastAsia="zh-CN"/>
              </w:rPr>
              <w:t>1、消化反应:CaO+H</w:t>
            </w:r>
            <w:r>
              <w:rPr>
                <w:rFonts w:hint="eastAsia"/>
                <w:b w:val="0"/>
                <w:bCs w:val="0"/>
                <w:color w:val="FF0000"/>
                <w:kern w:val="0"/>
                <w:szCs w:val="21"/>
                <w:vertAlign w:val="subscript"/>
                <w:lang w:val="en-US" w:eastAsia="zh-CN"/>
              </w:rPr>
              <w:t>2</w:t>
            </w:r>
            <w:r>
              <w:rPr>
                <w:rFonts w:hint="eastAsia"/>
                <w:b w:val="0"/>
                <w:bCs w:val="0"/>
                <w:color w:val="FF0000"/>
                <w:kern w:val="0"/>
                <w:szCs w:val="21"/>
                <w:lang w:val="en-US" w:eastAsia="zh-CN"/>
              </w:rPr>
              <w:t>O→Ca(OH)</w:t>
            </w:r>
            <w:r>
              <w:rPr>
                <w:rFonts w:hint="eastAsia"/>
                <w:b w:val="0"/>
                <w:bCs w:val="0"/>
                <w:color w:val="FF0000"/>
                <w:kern w:val="0"/>
                <w:szCs w:val="21"/>
                <w:vertAlign w:val="subscript"/>
                <w:lang w:val="en-US" w:eastAsia="zh-CN"/>
              </w:rPr>
              <w:t>2</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 w:val="0"/>
                <w:bCs w:val="0"/>
                <w:color w:val="FF0000"/>
                <w:kern w:val="0"/>
                <w:szCs w:val="21"/>
                <w:lang w:val="en-US" w:eastAsia="zh-CN"/>
              </w:rPr>
            </w:pPr>
            <w:r>
              <w:rPr>
                <w:rFonts w:hint="eastAsia"/>
                <w:b w:val="0"/>
                <w:bCs w:val="0"/>
                <w:color w:val="FF0000"/>
                <w:kern w:val="0"/>
                <w:szCs w:val="21"/>
                <w:lang w:val="en-US" w:eastAsia="zh-CN"/>
              </w:rPr>
              <w:t>2、吸收反应:Ca(OH)</w:t>
            </w:r>
            <w:r>
              <w:rPr>
                <w:rFonts w:hint="eastAsia"/>
                <w:b w:val="0"/>
                <w:bCs w:val="0"/>
                <w:color w:val="FF0000"/>
                <w:kern w:val="0"/>
                <w:szCs w:val="21"/>
                <w:vertAlign w:val="subscript"/>
                <w:lang w:val="en-US" w:eastAsia="zh-CN"/>
              </w:rPr>
              <w:t>2</w:t>
            </w:r>
            <w:r>
              <w:rPr>
                <w:rFonts w:hint="eastAsia"/>
                <w:b w:val="0"/>
                <w:bCs w:val="0"/>
                <w:color w:val="FF0000"/>
                <w:kern w:val="0"/>
                <w:szCs w:val="21"/>
                <w:lang w:val="en-US" w:eastAsia="zh-CN"/>
              </w:rPr>
              <w:t>+SO</w:t>
            </w:r>
            <w:r>
              <w:rPr>
                <w:rFonts w:hint="eastAsia"/>
                <w:b w:val="0"/>
                <w:bCs w:val="0"/>
                <w:color w:val="FF0000"/>
                <w:kern w:val="0"/>
                <w:szCs w:val="21"/>
                <w:vertAlign w:val="subscript"/>
                <w:lang w:val="en-US" w:eastAsia="zh-CN"/>
              </w:rPr>
              <w:t>2</w:t>
            </w:r>
            <w:r>
              <w:rPr>
                <w:rFonts w:hint="eastAsia"/>
                <w:b w:val="0"/>
                <w:bCs w:val="0"/>
                <w:color w:val="FF0000"/>
                <w:kern w:val="0"/>
                <w:szCs w:val="21"/>
                <w:lang w:val="en-US" w:eastAsia="zh-CN"/>
              </w:rPr>
              <w:t>→CaSO</w:t>
            </w:r>
            <w:r>
              <w:rPr>
                <w:rFonts w:hint="eastAsia"/>
                <w:b w:val="0"/>
                <w:bCs w:val="0"/>
                <w:color w:val="FF0000"/>
                <w:kern w:val="0"/>
                <w:szCs w:val="21"/>
                <w:vertAlign w:val="subscript"/>
                <w:lang w:val="en-US" w:eastAsia="zh-CN"/>
              </w:rPr>
              <w:t xml:space="preserve">3 </w:t>
            </w:r>
            <w:r>
              <w:rPr>
                <w:rFonts w:hint="eastAsia"/>
                <w:b w:val="0"/>
                <w:bCs w:val="0"/>
                <w:color w:val="FF0000"/>
                <w:kern w:val="0"/>
                <w:szCs w:val="21"/>
                <w:lang w:val="en-US" w:eastAsia="zh-CN"/>
              </w:rPr>
              <w:t>↓+H</w:t>
            </w:r>
            <w:r>
              <w:rPr>
                <w:rFonts w:hint="eastAsia"/>
                <w:b w:val="0"/>
                <w:bCs w:val="0"/>
                <w:color w:val="FF0000"/>
                <w:kern w:val="0"/>
                <w:szCs w:val="21"/>
                <w:vertAlign w:val="subscript"/>
                <w:lang w:val="en-US" w:eastAsia="zh-CN"/>
              </w:rPr>
              <w:t>2</w:t>
            </w:r>
            <w:r>
              <w:rPr>
                <w:rFonts w:hint="eastAsia"/>
                <w:b w:val="0"/>
                <w:bCs w:val="0"/>
                <w:color w:val="FF0000"/>
                <w:kern w:val="0"/>
                <w:szCs w:val="21"/>
                <w:lang w:val="en-US" w:eastAsia="zh-CN"/>
              </w:rPr>
              <w:t>O</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 w:val="0"/>
                <w:bCs w:val="0"/>
                <w:color w:val="FF0000"/>
                <w:kern w:val="0"/>
                <w:szCs w:val="21"/>
                <w:lang w:val="en-US" w:eastAsia="zh-CN"/>
              </w:rPr>
            </w:pPr>
            <w:r>
              <w:rPr>
                <w:rFonts w:hint="eastAsia"/>
                <w:b w:val="0"/>
                <w:bCs w:val="0"/>
                <w:color w:val="FF0000"/>
                <w:kern w:val="0"/>
                <w:szCs w:val="21"/>
                <w:lang w:val="en-US" w:eastAsia="zh-CN"/>
              </w:rPr>
              <w:t>3、氧化阶段:2CaSO</w:t>
            </w:r>
            <w:r>
              <w:rPr>
                <w:rFonts w:hint="eastAsia"/>
                <w:b w:val="0"/>
                <w:bCs w:val="0"/>
                <w:color w:val="FF0000"/>
                <w:kern w:val="0"/>
                <w:szCs w:val="21"/>
                <w:vertAlign w:val="subscript"/>
                <w:lang w:val="en-US" w:eastAsia="zh-CN"/>
              </w:rPr>
              <w:t>3</w:t>
            </w:r>
            <w:r>
              <w:rPr>
                <w:rFonts w:hint="eastAsia"/>
                <w:b w:val="0"/>
                <w:bCs w:val="0"/>
                <w:color w:val="FF0000"/>
                <w:kern w:val="0"/>
                <w:szCs w:val="21"/>
                <w:lang w:val="en-US" w:eastAsia="zh-CN"/>
              </w:rPr>
              <w:t>+O</w:t>
            </w:r>
            <w:r>
              <w:rPr>
                <w:rFonts w:hint="eastAsia"/>
                <w:b w:val="0"/>
                <w:bCs w:val="0"/>
                <w:color w:val="FF0000"/>
                <w:kern w:val="0"/>
                <w:szCs w:val="21"/>
                <w:vertAlign w:val="subscript"/>
                <w:lang w:val="en-US" w:eastAsia="zh-CN"/>
              </w:rPr>
              <w:t>2</w:t>
            </w:r>
            <w:r>
              <w:rPr>
                <w:rFonts w:hint="eastAsia"/>
                <w:b w:val="0"/>
                <w:bCs w:val="0"/>
                <w:color w:val="FF0000"/>
                <w:kern w:val="0"/>
                <w:szCs w:val="21"/>
                <w:lang w:val="en-US" w:eastAsia="zh-CN"/>
              </w:rPr>
              <w:t>→2CaSO</w:t>
            </w:r>
            <w:r>
              <w:rPr>
                <w:rFonts w:hint="eastAsia"/>
                <w:b w:val="0"/>
                <w:bCs w:val="0"/>
                <w:color w:val="FF0000"/>
                <w:kern w:val="0"/>
                <w:szCs w:val="21"/>
                <w:vertAlign w:val="subscript"/>
                <w:lang w:val="en-US" w:eastAsia="zh-CN"/>
              </w:rPr>
              <w:t>4</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b w:val="0"/>
                <w:bCs w:val="0"/>
                <w:color w:val="FF0000"/>
                <w:kern w:val="0"/>
                <w:szCs w:val="21"/>
                <w:lang w:val="en-US" w:eastAsia="zh-CN"/>
              </w:rPr>
            </w:pPr>
            <w:r>
              <w:rPr>
                <w:rFonts w:hint="eastAsia"/>
                <w:b w:val="0"/>
                <w:bCs w:val="0"/>
                <w:color w:val="FF0000"/>
                <w:kern w:val="0"/>
                <w:szCs w:val="21"/>
                <w:lang w:val="en-US" w:eastAsia="zh-CN"/>
              </w:rPr>
              <w:t>其他副反应:Ca(OH)+CO=CaCO</w:t>
            </w:r>
            <w:r>
              <w:rPr>
                <w:rFonts w:hint="eastAsia"/>
                <w:b w:val="0"/>
                <w:bCs w:val="0"/>
                <w:color w:val="FF0000"/>
                <w:kern w:val="0"/>
                <w:szCs w:val="21"/>
                <w:vertAlign w:val="subscript"/>
                <w:lang w:val="en-US" w:eastAsia="zh-CN"/>
              </w:rPr>
              <w:t>3</w:t>
            </w:r>
            <w:r>
              <w:rPr>
                <w:rFonts w:hint="eastAsia"/>
                <w:b w:val="0"/>
                <w:bCs w:val="0"/>
                <w:color w:val="FF0000"/>
                <w:kern w:val="0"/>
                <w:szCs w:val="21"/>
                <w:lang w:val="en-US" w:eastAsia="zh-CN"/>
              </w:rPr>
              <w:t xml:space="preserve"> ↓+H</w:t>
            </w:r>
            <w:r>
              <w:rPr>
                <w:rFonts w:hint="eastAsia"/>
                <w:b w:val="0"/>
                <w:bCs w:val="0"/>
                <w:color w:val="FF0000"/>
                <w:kern w:val="0"/>
                <w:szCs w:val="21"/>
                <w:vertAlign w:val="subscript"/>
                <w:lang w:val="en-US" w:eastAsia="zh-CN"/>
              </w:rPr>
              <w:t>2</w:t>
            </w:r>
            <w:r>
              <w:rPr>
                <w:rFonts w:hint="eastAsia"/>
                <w:b w:val="0"/>
                <w:bCs w:val="0"/>
                <w:color w:val="FF0000"/>
                <w:kern w:val="0"/>
                <w:szCs w:val="21"/>
                <w:lang w:val="en-US" w:eastAsia="zh-CN"/>
              </w:rPr>
              <w:t>O</w:t>
            </w:r>
          </w:p>
          <w:p>
            <w:pPr>
              <w:pStyle w:val="47"/>
              <w:ind w:firstLine="420"/>
              <w:outlineLvl w:val="0"/>
              <w:rPr>
                <w:rFonts w:hint="eastAsia" w:ascii="Times New Roman" w:hAnsi="Times New Roman"/>
                <w:color w:val="FF0000"/>
                <w:szCs w:val="21"/>
                <w:lang w:val="en-US" w:eastAsia="zh-CN"/>
              </w:rPr>
            </w:pPr>
            <w:r>
              <w:rPr>
                <w:rFonts w:hint="eastAsia" w:ascii="Times New Roman" w:hAnsi="Times New Roman"/>
                <w:color w:val="FF0000"/>
                <w:szCs w:val="21"/>
                <w:lang w:val="en-US" w:eastAsia="zh-CN"/>
              </w:rPr>
              <w:t>本项目二氧化硫去除量为3.332t/a，氧化钙用量为5t/a，根据反应方程式估算，脱硫渣产生量约为10t/a。</w:t>
            </w:r>
          </w:p>
          <w:p>
            <w:pPr>
              <w:pStyle w:val="47"/>
              <w:ind w:firstLine="420"/>
              <w:outlineLvl w:val="0"/>
              <w:rPr>
                <w:rFonts w:hint="default" w:ascii="Times New Roman" w:hAnsi="Times New Roman" w:eastAsia="宋体"/>
                <w:color w:val="FF0000"/>
                <w:szCs w:val="21"/>
                <w:lang w:val="en-US" w:eastAsia="zh-CN"/>
              </w:rPr>
            </w:pPr>
            <w:r>
              <w:rPr>
                <w:rFonts w:hint="eastAsia" w:ascii="Times New Roman" w:hAnsi="Times New Roman"/>
                <w:color w:val="FF0000"/>
                <w:szCs w:val="21"/>
                <w:lang w:val="en-US" w:eastAsia="zh-CN"/>
              </w:rPr>
              <w:t>13）废蓄电池</w:t>
            </w:r>
          </w:p>
          <w:p>
            <w:pPr>
              <w:pStyle w:val="47"/>
              <w:ind w:firstLine="420"/>
              <w:outlineLvl w:val="0"/>
              <w:rPr>
                <w:rFonts w:hint="eastAsia" w:ascii="Times New Roman" w:hAnsi="Times New Roman"/>
                <w:color w:val="FF0000"/>
                <w:szCs w:val="21"/>
                <w:lang w:val="en-US"/>
              </w:rPr>
            </w:pPr>
            <w:r>
              <w:rPr>
                <w:rFonts w:hint="eastAsia" w:ascii="Times New Roman" w:hAnsi="Times New Roman"/>
                <w:color w:val="FF0000"/>
                <w:szCs w:val="21"/>
                <w:lang w:val="en-US"/>
              </w:rPr>
              <w:t>铅蓄电池用于</w:t>
            </w:r>
            <w:r>
              <w:rPr>
                <w:rFonts w:hint="eastAsia" w:ascii="Times New Roman" w:hAnsi="Times New Roman"/>
                <w:color w:val="FF0000"/>
                <w:szCs w:val="21"/>
                <w:lang w:val="en-US" w:eastAsia="zh-CN"/>
              </w:rPr>
              <w:t>叉车</w:t>
            </w:r>
            <w:r>
              <w:rPr>
                <w:rFonts w:hint="eastAsia" w:ascii="Times New Roman" w:hAnsi="Times New Roman"/>
                <w:color w:val="FF0000"/>
                <w:szCs w:val="21"/>
                <w:lang w:val="en-US"/>
              </w:rPr>
              <w:t>，属于危险废物，约3-5年更换一次，废物类别HW</w:t>
            </w:r>
            <w:r>
              <w:rPr>
                <w:rFonts w:hint="eastAsia" w:ascii="Times New Roman" w:hAnsi="Times New Roman"/>
                <w:color w:val="FF0000"/>
                <w:szCs w:val="21"/>
                <w:lang w:val="en-US" w:eastAsia="zh-CN"/>
              </w:rPr>
              <w:t>31</w:t>
            </w:r>
            <w:r>
              <w:rPr>
                <w:rFonts w:hint="eastAsia" w:ascii="Times New Roman" w:hAnsi="Times New Roman"/>
                <w:color w:val="FF0000"/>
                <w:szCs w:val="21"/>
                <w:lang w:val="en-US"/>
              </w:rPr>
              <w:t>，废物代码900-052-31。产生量约0.012t/3a。</w:t>
            </w:r>
          </w:p>
          <w:p>
            <w:pPr>
              <w:pStyle w:val="47"/>
              <w:numPr>
                <w:ilvl w:val="0"/>
                <w:numId w:val="33"/>
              </w:numPr>
              <w:ind w:firstLine="420"/>
              <w:outlineLvl w:val="0"/>
              <w:rPr>
                <w:rFonts w:hint="eastAsia" w:ascii="Times New Roman" w:hAnsi="Times New Roman"/>
                <w:color w:val="FF0000"/>
                <w:szCs w:val="21"/>
                <w:lang w:val="en-US" w:eastAsia="zh-CN"/>
              </w:rPr>
            </w:pPr>
            <w:r>
              <w:rPr>
                <w:rFonts w:hint="eastAsia" w:ascii="Times New Roman" w:hAnsi="Times New Roman"/>
                <w:color w:val="FF0000"/>
                <w:szCs w:val="21"/>
                <w:lang w:val="en-US" w:eastAsia="zh-CN"/>
              </w:rPr>
              <w:t>废滤网</w:t>
            </w:r>
          </w:p>
          <w:p>
            <w:pPr>
              <w:pStyle w:val="47"/>
              <w:ind w:firstLine="420"/>
              <w:outlineLvl w:val="0"/>
              <w:rPr>
                <w:rFonts w:ascii="Times New Roman" w:hAnsi="Times New Roman"/>
                <w:color w:val="FF0000"/>
                <w:szCs w:val="21"/>
                <w:lang w:val="en-US"/>
              </w:rPr>
            </w:pPr>
            <w:r>
              <w:rPr>
                <w:rFonts w:hint="eastAsia"/>
                <w:color w:val="FF0000"/>
                <w:lang w:val="en-US" w:eastAsia="zh-CN"/>
              </w:rPr>
              <w:t>预缩工序会产生废滤网，</w:t>
            </w:r>
            <w:r>
              <w:rPr>
                <w:rFonts w:hint="eastAsia" w:ascii="Times New Roman" w:hAnsi="Times New Roman"/>
                <w:color w:val="FF0000"/>
                <w:szCs w:val="21"/>
                <w:lang w:val="en-US"/>
              </w:rPr>
              <w:t>根据</w:t>
            </w:r>
            <w:r>
              <w:rPr>
                <w:rFonts w:hint="eastAsia" w:ascii="Times New Roman" w:hAnsi="Times New Roman"/>
                <w:color w:val="FF0000"/>
                <w:szCs w:val="21"/>
                <w:lang w:val="en-US" w:eastAsia="zh-CN"/>
              </w:rPr>
              <w:t>企业提供的资料</w:t>
            </w:r>
            <w:r>
              <w:rPr>
                <w:rFonts w:hint="eastAsia" w:ascii="Times New Roman" w:hAnsi="Times New Roman"/>
                <w:color w:val="FF0000"/>
                <w:szCs w:val="21"/>
                <w:lang w:val="en-US"/>
              </w:rPr>
              <w:t>，本项目</w:t>
            </w:r>
            <w:r>
              <w:rPr>
                <w:rFonts w:hint="eastAsia" w:ascii="Times New Roman" w:hAnsi="Times New Roman"/>
                <w:color w:val="FF0000"/>
                <w:szCs w:val="21"/>
                <w:lang w:val="en-US" w:eastAsia="zh-CN"/>
              </w:rPr>
              <w:t>废滤网</w:t>
            </w:r>
            <w:r>
              <w:rPr>
                <w:rFonts w:hint="eastAsia" w:ascii="Times New Roman" w:hAnsi="Times New Roman"/>
                <w:color w:val="FF0000"/>
                <w:szCs w:val="21"/>
                <w:lang w:val="en-US"/>
              </w:rPr>
              <w:t>产生量约为</w:t>
            </w:r>
            <w:r>
              <w:rPr>
                <w:rFonts w:hint="eastAsia" w:ascii="Times New Roman" w:hAnsi="Times New Roman"/>
                <w:color w:val="FF0000"/>
                <w:szCs w:val="21"/>
                <w:lang w:val="en-US" w:eastAsia="zh-CN"/>
              </w:rPr>
              <w:t>0.02</w:t>
            </w:r>
            <w:r>
              <w:rPr>
                <w:rFonts w:hint="eastAsia" w:ascii="Times New Roman" w:hAnsi="Times New Roman"/>
                <w:color w:val="FF0000"/>
                <w:szCs w:val="21"/>
                <w:lang w:val="en-US"/>
              </w:rPr>
              <w:t>t/a，委托处置。</w:t>
            </w:r>
          </w:p>
          <w:p>
            <w:pPr>
              <w:pStyle w:val="47"/>
              <w:ind w:firstLine="420"/>
              <w:outlineLvl w:val="0"/>
              <w:rPr>
                <w:rFonts w:ascii="Times New Roman" w:hAnsi="Times New Roman"/>
                <w:color w:val="auto"/>
                <w:szCs w:val="21"/>
                <w:lang w:val="en-US"/>
              </w:rPr>
            </w:pPr>
            <w:r>
              <w:rPr>
                <w:rFonts w:hint="eastAsia" w:ascii="Times New Roman" w:hAnsi="Times New Roman"/>
                <w:color w:val="auto"/>
                <w:szCs w:val="21"/>
                <w:lang w:val="en-US"/>
              </w:rPr>
              <w:t>1</w:t>
            </w:r>
            <w:r>
              <w:rPr>
                <w:rFonts w:hint="eastAsia" w:ascii="Times New Roman" w:hAnsi="Times New Roman"/>
                <w:color w:val="auto"/>
                <w:szCs w:val="21"/>
                <w:lang w:val="en-US" w:eastAsia="zh-CN"/>
              </w:rPr>
              <w:t>5</w:t>
            </w:r>
            <w:r>
              <w:rPr>
                <w:rFonts w:hint="eastAsia" w:ascii="Times New Roman" w:hAnsi="Times New Roman"/>
                <w:color w:val="auto"/>
                <w:szCs w:val="21"/>
                <w:lang w:val="en-US"/>
              </w:rPr>
              <w:t>）生活垃圾</w:t>
            </w:r>
          </w:p>
          <w:p>
            <w:pPr>
              <w:pStyle w:val="47"/>
              <w:ind w:firstLine="420"/>
              <w:outlineLvl w:val="0"/>
              <w:rPr>
                <w:rFonts w:ascii="Times New Roman" w:hAnsi="Times New Roman"/>
                <w:color w:val="auto"/>
                <w:szCs w:val="21"/>
                <w:lang w:val="en-US"/>
              </w:rPr>
            </w:pPr>
            <w:r>
              <w:rPr>
                <w:rFonts w:hint="eastAsia" w:ascii="Times New Roman" w:hAnsi="Times New Roman"/>
                <w:color w:val="auto"/>
                <w:szCs w:val="21"/>
                <w:lang w:val="en-US"/>
              </w:rPr>
              <w:t>类比现有项目，生活垃圾产物系</w:t>
            </w:r>
            <w:r>
              <w:rPr>
                <w:rFonts w:hint="default" w:ascii="Times New Roman" w:hAnsi="Times New Roman" w:cs="Times New Roman"/>
                <w:color w:val="auto"/>
                <w:szCs w:val="21"/>
                <w:lang w:val="en-US"/>
              </w:rPr>
              <w:t>数约为0.5kg/（d•人）</w:t>
            </w:r>
            <w:r>
              <w:rPr>
                <w:rFonts w:hint="eastAsia" w:ascii="Times New Roman" w:hAnsi="Times New Roman"/>
                <w:color w:val="auto"/>
                <w:szCs w:val="21"/>
                <w:lang w:val="en-US"/>
              </w:rPr>
              <w:t>，本项目新增员工</w:t>
            </w:r>
            <w:r>
              <w:rPr>
                <w:rFonts w:hint="eastAsia" w:ascii="Times New Roman" w:hAnsi="Times New Roman"/>
                <w:color w:val="auto"/>
                <w:szCs w:val="21"/>
                <w:lang w:val="en-US" w:eastAsia="zh-CN"/>
              </w:rPr>
              <w:t>50</w:t>
            </w:r>
            <w:r>
              <w:rPr>
                <w:rFonts w:hint="eastAsia" w:ascii="Times New Roman" w:hAnsi="Times New Roman"/>
                <w:color w:val="auto"/>
                <w:szCs w:val="21"/>
                <w:lang w:val="en-US"/>
              </w:rPr>
              <w:t>人，产生生活垃圾约</w:t>
            </w:r>
            <w:r>
              <w:rPr>
                <w:rFonts w:hint="eastAsia" w:ascii="Times New Roman" w:hAnsi="Times New Roman"/>
                <w:color w:val="auto"/>
                <w:szCs w:val="21"/>
                <w:lang w:val="en-US" w:eastAsia="zh-CN"/>
              </w:rPr>
              <w:t>7.5</w:t>
            </w:r>
            <w:r>
              <w:rPr>
                <w:rFonts w:hint="eastAsia" w:ascii="Times New Roman" w:hAnsi="Times New Roman"/>
                <w:color w:val="auto"/>
                <w:szCs w:val="21"/>
                <w:lang w:val="en-US"/>
              </w:rPr>
              <w:t>t/a（年工作3</w:t>
            </w:r>
            <w:r>
              <w:rPr>
                <w:rFonts w:hint="eastAsia" w:ascii="Times New Roman" w:hAnsi="Times New Roman"/>
                <w:color w:val="auto"/>
                <w:szCs w:val="21"/>
                <w:lang w:val="en-US" w:eastAsia="zh-CN"/>
              </w:rPr>
              <w:t>0</w:t>
            </w:r>
            <w:r>
              <w:rPr>
                <w:rFonts w:hint="eastAsia" w:ascii="Times New Roman" w:hAnsi="Times New Roman"/>
                <w:color w:val="auto"/>
                <w:szCs w:val="21"/>
                <w:lang w:val="en-US"/>
              </w:rPr>
              <w:t>0天）。</w:t>
            </w:r>
          </w:p>
          <w:p>
            <w:pPr>
              <w:pStyle w:val="47"/>
              <w:ind w:firstLine="420"/>
              <w:outlineLvl w:val="0"/>
              <w:rPr>
                <w:color w:val="auto"/>
                <w:kern w:val="0"/>
                <w:szCs w:val="21"/>
              </w:rPr>
            </w:pPr>
            <w:r>
              <w:rPr>
                <w:rFonts w:hint="eastAsia" w:ascii="Times New Roman" w:hAnsi="Times New Roman"/>
                <w:color w:val="auto"/>
                <w:szCs w:val="21"/>
                <w:lang w:val="en-US"/>
              </w:rPr>
              <w:t>根据《中华人民共和国固体废物污染环境防治法》《固体废物鉴别标准 通则》（GB34330）《国家危险废物名录》（2025版）《关于发布&lt;固体废物分类与代码目录&gt;的公告》（公告 2024年 第4号）等规定，对本项目产生的副产物进行属性判定，具体情况见表4</w:t>
            </w:r>
            <w:r>
              <w:rPr>
                <w:rFonts w:hint="eastAsia" w:ascii="Times New Roman" w:hAnsi="Times New Roman"/>
                <w:color w:val="auto"/>
                <w:szCs w:val="21"/>
                <w:lang w:val="en-US" w:eastAsia="zh-CN"/>
              </w:rPr>
              <w:t>-29</w:t>
            </w:r>
            <w:r>
              <w:rPr>
                <w:rFonts w:hint="eastAsia" w:ascii="Times New Roman" w:hAnsi="Times New Roman"/>
                <w:color w:val="auto"/>
                <w:szCs w:val="21"/>
                <w:lang w:val="en-US"/>
              </w:rPr>
              <w:t>。</w:t>
            </w:r>
          </w:p>
          <w:p>
            <w:pPr>
              <w:adjustRightInd w:val="0"/>
              <w:snapToGrid w:val="0"/>
              <w:ind w:firstLine="482"/>
              <w:jc w:val="center"/>
              <w:rPr>
                <w:color w:val="auto"/>
                <w:szCs w:val="21"/>
              </w:rPr>
            </w:pPr>
            <w:r>
              <w:rPr>
                <w:b/>
                <w:color w:val="auto"/>
                <w:kern w:val="0"/>
                <w:szCs w:val="21"/>
              </w:rPr>
              <w:t>表4-</w:t>
            </w:r>
            <w:r>
              <w:rPr>
                <w:rFonts w:hint="eastAsia"/>
                <w:b/>
                <w:color w:val="auto"/>
                <w:kern w:val="0"/>
                <w:szCs w:val="21"/>
                <w:lang w:val="en-US" w:eastAsia="zh-CN"/>
              </w:rPr>
              <w:t>29</w:t>
            </w:r>
            <w:r>
              <w:rPr>
                <w:b/>
                <w:color w:val="auto"/>
                <w:kern w:val="0"/>
                <w:szCs w:val="21"/>
              </w:rPr>
              <w:t xml:space="preserve">  </w:t>
            </w:r>
            <w:r>
              <w:rPr>
                <w:rFonts w:hint="eastAsia"/>
                <w:b/>
                <w:color w:val="auto"/>
                <w:szCs w:val="21"/>
                <w:lang w:val="zh-CN"/>
              </w:rPr>
              <w:t>运营期固废产生情况汇总表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004"/>
              <w:gridCol w:w="930"/>
              <w:gridCol w:w="544"/>
              <w:gridCol w:w="1172"/>
              <w:gridCol w:w="1107"/>
              <w:gridCol w:w="803"/>
              <w:gridCol w:w="569"/>
              <w:gridCol w:w="539"/>
              <w:gridCol w:w="1215"/>
              <w:gridCol w:w="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33" w:type="dxa"/>
                  <w:vMerge w:val="restart"/>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序号</w:t>
                  </w:r>
                </w:p>
              </w:tc>
              <w:tc>
                <w:tcPr>
                  <w:tcW w:w="1004" w:type="dxa"/>
                  <w:vMerge w:val="restart"/>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副产物名称</w:t>
                  </w:r>
                </w:p>
              </w:tc>
              <w:tc>
                <w:tcPr>
                  <w:tcW w:w="930" w:type="dxa"/>
                  <w:vMerge w:val="restart"/>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产生工序</w:t>
                  </w:r>
                </w:p>
              </w:tc>
              <w:tc>
                <w:tcPr>
                  <w:tcW w:w="544" w:type="dxa"/>
                  <w:vMerge w:val="restart"/>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形态</w:t>
                  </w:r>
                </w:p>
              </w:tc>
              <w:tc>
                <w:tcPr>
                  <w:tcW w:w="1172" w:type="dxa"/>
                  <w:vMerge w:val="restart"/>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主要成分</w:t>
                  </w:r>
                </w:p>
              </w:tc>
              <w:tc>
                <w:tcPr>
                  <w:tcW w:w="1107" w:type="dxa"/>
                  <w:vMerge w:val="restart"/>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产生量(t/a)</w:t>
                  </w:r>
                </w:p>
              </w:tc>
              <w:tc>
                <w:tcPr>
                  <w:tcW w:w="3133" w:type="dxa"/>
                  <w:gridSpan w:val="5"/>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种类判断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90" w:hRule="atLeast"/>
                <w:jc w:val="center"/>
              </w:trPr>
              <w:tc>
                <w:tcPr>
                  <w:tcW w:w="533" w:type="dxa"/>
                  <w:vMerge w:val="continue"/>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p>
              </w:tc>
              <w:tc>
                <w:tcPr>
                  <w:tcW w:w="1004" w:type="dxa"/>
                  <w:vMerge w:val="continue"/>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p>
              </w:tc>
              <w:tc>
                <w:tcPr>
                  <w:tcW w:w="930" w:type="dxa"/>
                  <w:vMerge w:val="continue"/>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p>
              </w:tc>
              <w:tc>
                <w:tcPr>
                  <w:tcW w:w="544" w:type="dxa"/>
                  <w:vMerge w:val="continue"/>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p>
              </w:tc>
              <w:tc>
                <w:tcPr>
                  <w:tcW w:w="1172" w:type="dxa"/>
                  <w:vMerge w:val="continue"/>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p>
              </w:tc>
              <w:tc>
                <w:tcPr>
                  <w:tcW w:w="1107" w:type="dxa"/>
                  <w:vMerge w:val="continue"/>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p>
              </w:tc>
              <w:tc>
                <w:tcPr>
                  <w:tcW w:w="803"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固体废物</w:t>
                  </w:r>
                </w:p>
              </w:tc>
              <w:tc>
                <w:tcPr>
                  <w:tcW w:w="569" w:type="dxa"/>
                  <w:tcBorders>
                    <w:bottom w:val="single" w:color="auto" w:sz="12" w:space="0"/>
                  </w:tcBorders>
                  <w:vAlign w:val="center"/>
                </w:tcPr>
                <w:p>
                  <w:pPr>
                    <w:pStyle w:val="33"/>
                    <w:adjustRightInd w:val="0"/>
                    <w:snapToGrid w:val="0"/>
                    <w:rPr>
                      <w:rFonts w:hint="eastAsia" w:ascii="Times New Roman" w:hAnsi="Times New Roman" w:eastAsia="宋体" w:cs="Times New Roman"/>
                      <w:color w:val="auto"/>
                      <w:sz w:val="20"/>
                      <w:szCs w:val="20"/>
                      <w:lang w:eastAsia="zh-CN"/>
                    </w:rPr>
                  </w:pPr>
                  <w:r>
                    <w:rPr>
                      <w:rFonts w:hint="eastAsia" w:ascii="Times New Roman" w:hAnsi="Times New Roman" w:cs="Times New Roman"/>
                      <w:color w:val="auto"/>
                      <w:sz w:val="20"/>
                      <w:szCs w:val="20"/>
                      <w:lang w:val="en-US" w:eastAsia="zh-CN"/>
                    </w:rPr>
                    <w:t>目标产物</w:t>
                  </w:r>
                </w:p>
              </w:tc>
              <w:tc>
                <w:tcPr>
                  <w:tcW w:w="539" w:type="dxa"/>
                  <w:tcBorders>
                    <w:bottom w:val="single" w:color="auto" w:sz="12" w:space="0"/>
                  </w:tcBorders>
                  <w:vAlign w:val="center"/>
                </w:tcPr>
                <w:p>
                  <w:pPr>
                    <w:pStyle w:val="33"/>
                    <w:adjustRightInd w:val="0"/>
                    <w:snapToGrid w:val="0"/>
                    <w:rPr>
                      <w:rFonts w:hint="eastAsia" w:ascii="Times New Roman" w:hAnsi="Times New Roman" w:eastAsia="宋体" w:cs="Times New Roman"/>
                      <w:color w:val="auto"/>
                      <w:sz w:val="20"/>
                      <w:szCs w:val="20"/>
                      <w:lang w:eastAsia="zh-CN"/>
                    </w:rPr>
                  </w:pPr>
                  <w:r>
                    <w:rPr>
                      <w:rFonts w:ascii="Times New Roman" w:hAnsi="Times New Roman" w:cs="Times New Roman"/>
                      <w:color w:val="auto"/>
                      <w:sz w:val="20"/>
                      <w:szCs w:val="20"/>
                    </w:rPr>
                    <w:t>副</w:t>
                  </w:r>
                  <w:r>
                    <w:rPr>
                      <w:rFonts w:hint="eastAsia" w:ascii="Times New Roman" w:hAnsi="Times New Roman" w:cs="Times New Roman"/>
                      <w:color w:val="auto"/>
                      <w:sz w:val="20"/>
                      <w:szCs w:val="20"/>
                      <w:lang w:val="en-US" w:eastAsia="zh-CN"/>
                    </w:rPr>
                    <w:t>产物</w:t>
                  </w:r>
                </w:p>
              </w:tc>
              <w:tc>
                <w:tcPr>
                  <w:tcW w:w="1215"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判定</w:t>
                  </w:r>
                </w:p>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1</w:t>
                  </w:r>
                </w:p>
              </w:tc>
              <w:tc>
                <w:tcPr>
                  <w:tcW w:w="1004" w:type="dxa"/>
                  <w:tcBorders>
                    <w:top w:val="single" w:color="auto" w:sz="12" w:space="0"/>
                  </w:tcBorders>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废布料</w:t>
                  </w:r>
                </w:p>
              </w:tc>
              <w:tc>
                <w:tcPr>
                  <w:tcW w:w="930" w:type="dxa"/>
                  <w:tcBorders>
                    <w:top w:val="single" w:color="auto" w:sz="12" w:space="0"/>
                  </w:tcBorders>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翻缝</w:t>
                  </w:r>
                </w:p>
              </w:tc>
              <w:tc>
                <w:tcPr>
                  <w:tcW w:w="544" w:type="dxa"/>
                  <w:tcBorders>
                    <w:top w:val="single" w:color="auto" w:sz="12" w:space="0"/>
                  </w:tcBorders>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固</w:t>
                  </w:r>
                </w:p>
              </w:tc>
              <w:tc>
                <w:tcPr>
                  <w:tcW w:w="1172" w:type="dxa"/>
                  <w:tcBorders>
                    <w:top w:val="single" w:color="auto" w:sz="12" w:space="0"/>
                  </w:tcBorders>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羊毛布料</w:t>
                  </w:r>
                </w:p>
              </w:tc>
              <w:tc>
                <w:tcPr>
                  <w:tcW w:w="1107" w:type="dxa"/>
                  <w:tcBorders>
                    <w:top w:val="single" w:color="auto" w:sz="12" w:space="0"/>
                  </w:tcBorders>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3.2</w:t>
                  </w:r>
                </w:p>
              </w:tc>
              <w:tc>
                <w:tcPr>
                  <w:tcW w:w="803" w:type="dxa"/>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tcBorders>
                    <w:top w:val="single" w:color="auto" w:sz="12" w:space="0"/>
                  </w:tcBorders>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restart"/>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《固体废物鉴别标准通则》</w:t>
                  </w:r>
                  <w:r>
                    <w:rPr>
                      <w:rFonts w:hint="eastAsia" w:ascii="Times New Roman" w:hAnsi="Times New Roman" w:cs="Times New Roman"/>
                      <w:b w:val="0"/>
                      <w:bCs w:val="0"/>
                      <w:color w:val="auto"/>
                      <w:sz w:val="20"/>
                      <w:szCs w:val="20"/>
                      <w:lang w:eastAsia="zh-CN"/>
                    </w:rPr>
                    <w:t>（</w:t>
                  </w:r>
                  <w:r>
                    <w:rPr>
                      <w:rFonts w:hint="eastAsia" w:ascii="Times New Roman" w:hAnsi="Times New Roman" w:cs="Times New Roman"/>
                      <w:b w:val="0"/>
                      <w:bCs w:val="0"/>
                      <w:color w:val="auto"/>
                      <w:sz w:val="20"/>
                      <w:szCs w:val="20"/>
                      <w:lang w:val="en-US" w:eastAsia="zh-CN"/>
                    </w:rPr>
                    <w:t>GB34330-2025</w:t>
                  </w:r>
                  <w:r>
                    <w:rPr>
                      <w:rFonts w:hint="eastAsia" w:ascii="Times New Roman" w:hAnsi="Times New Roman" w:cs="Times New Roman"/>
                      <w:b w:val="0"/>
                      <w:bCs w:val="0"/>
                      <w:color w:val="auto"/>
                      <w:sz w:val="20"/>
                      <w:szCs w:val="20"/>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2</w:t>
                  </w:r>
                </w:p>
              </w:tc>
              <w:tc>
                <w:tcPr>
                  <w:tcW w:w="1004"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废导热油</w:t>
                  </w:r>
                </w:p>
              </w:tc>
              <w:tc>
                <w:tcPr>
                  <w:tcW w:w="930"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导热油炉燃烧</w:t>
                  </w:r>
                </w:p>
              </w:tc>
              <w:tc>
                <w:tcPr>
                  <w:tcW w:w="544"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液</w:t>
                  </w:r>
                </w:p>
              </w:tc>
              <w:tc>
                <w:tcPr>
                  <w:tcW w:w="1172"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导热油</w:t>
                  </w:r>
                </w:p>
              </w:tc>
              <w:tc>
                <w:tcPr>
                  <w:tcW w:w="1107"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2</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3</w:t>
                  </w:r>
                </w:p>
              </w:tc>
              <w:tc>
                <w:tcPr>
                  <w:tcW w:w="1004"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不合格品</w:t>
                  </w:r>
                </w:p>
              </w:tc>
              <w:tc>
                <w:tcPr>
                  <w:tcW w:w="930" w:type="dxa"/>
                  <w:vAlign w:val="center"/>
                </w:tcPr>
                <w:p>
                  <w:pPr>
                    <w:adjustRightInd w:val="0"/>
                    <w:snapToGrid w:val="0"/>
                    <w:jc w:val="center"/>
                    <w:rPr>
                      <w:rFonts w:hint="eastAsia" w:eastAsia="宋体"/>
                      <w:color w:val="auto"/>
                      <w:sz w:val="20"/>
                      <w:szCs w:val="20"/>
                      <w:lang w:val="en-US" w:eastAsia="zh-CN"/>
                    </w:rPr>
                  </w:pPr>
                  <w:r>
                    <w:rPr>
                      <w:rFonts w:hint="eastAsia"/>
                      <w:color w:val="auto"/>
                      <w:sz w:val="20"/>
                      <w:szCs w:val="20"/>
                      <w:lang w:val="en-US" w:eastAsia="zh-CN"/>
                    </w:rPr>
                    <w:t>检验</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羊毛布料</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3.08</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4</w:t>
                  </w:r>
                </w:p>
              </w:tc>
              <w:tc>
                <w:tcPr>
                  <w:tcW w:w="1004"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废炉渣</w:t>
                  </w:r>
                </w:p>
              </w:tc>
              <w:tc>
                <w:tcPr>
                  <w:tcW w:w="930"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锅炉清理</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生物质残渣</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140</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5</w:t>
                  </w:r>
                </w:p>
              </w:tc>
              <w:tc>
                <w:tcPr>
                  <w:tcW w:w="1004"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含油抹布手套</w:t>
                  </w:r>
                </w:p>
              </w:tc>
              <w:tc>
                <w:tcPr>
                  <w:tcW w:w="930"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b w:val="0"/>
                      <w:bCs w:val="0"/>
                      <w:color w:val="auto"/>
                      <w:sz w:val="20"/>
                      <w:szCs w:val="20"/>
                      <w:lang w:val="en-US" w:eastAsia="zh-CN"/>
                    </w:rPr>
                    <w:t>设备维护</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pStyle w:val="33"/>
                    <w:adjustRightInd w:val="0"/>
                    <w:snapToGrid w:val="0"/>
                    <w:rPr>
                      <w:rFonts w:ascii="Times New Roman" w:hAnsi="Times New Roman" w:cs="Times New Roman"/>
                      <w:b w:val="0"/>
                      <w:bCs w:val="0"/>
                      <w:color w:val="auto"/>
                      <w:sz w:val="20"/>
                      <w:szCs w:val="20"/>
                    </w:rPr>
                  </w:pPr>
                  <w:r>
                    <w:rPr>
                      <w:rFonts w:hint="eastAsia" w:hAnsi="宋体" w:cs="宋体"/>
                      <w:b w:val="0"/>
                      <w:bCs w:val="0"/>
                      <w:sz w:val="20"/>
                      <w:szCs w:val="20"/>
                    </w:rPr>
                    <w:t>棉、油</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0.2</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3"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6</w:t>
                  </w:r>
                </w:p>
              </w:tc>
              <w:tc>
                <w:tcPr>
                  <w:tcW w:w="1004"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废机油</w:t>
                  </w:r>
                </w:p>
              </w:tc>
              <w:tc>
                <w:tcPr>
                  <w:tcW w:w="930" w:type="dxa"/>
                  <w:vAlign w:val="center"/>
                </w:tcPr>
                <w:p>
                  <w:pPr>
                    <w:pStyle w:val="167"/>
                    <w:spacing w:beforeLines="0" w:afterLines="0" w:line="240" w:lineRule="auto"/>
                    <w:rPr>
                      <w:rFonts w:hint="eastAsia" w:ascii="Times New Roman" w:eastAsia="宋体"/>
                      <w:color w:val="auto"/>
                      <w:sz w:val="20"/>
                      <w:szCs w:val="20"/>
                      <w:lang w:val="en-US" w:eastAsia="zh-CN"/>
                    </w:rPr>
                  </w:pPr>
                  <w:r>
                    <w:rPr>
                      <w:rFonts w:hint="eastAsia" w:ascii="Times New Roman"/>
                      <w:color w:val="auto"/>
                      <w:sz w:val="20"/>
                      <w:szCs w:val="20"/>
                      <w:lang w:val="en-US" w:eastAsia="zh-CN"/>
                    </w:rPr>
                    <w:t>设备维护</w:t>
                  </w:r>
                </w:p>
              </w:tc>
              <w:tc>
                <w:tcPr>
                  <w:tcW w:w="544" w:type="dxa"/>
                  <w:vAlign w:val="center"/>
                </w:tcPr>
                <w:p>
                  <w:pPr>
                    <w:pStyle w:val="167"/>
                    <w:spacing w:beforeLines="0" w:afterLines="0" w:line="240" w:lineRule="auto"/>
                    <w:rPr>
                      <w:rFonts w:ascii="Times New Roman"/>
                      <w:color w:val="auto"/>
                      <w:sz w:val="20"/>
                      <w:szCs w:val="20"/>
                      <w:lang w:val="en-US"/>
                    </w:rPr>
                  </w:pPr>
                  <w:r>
                    <w:rPr>
                      <w:rFonts w:hint="eastAsia" w:ascii="Times New Roman" w:hAnsi="Times New Roman" w:cs="Times New Roman"/>
                      <w:b w:val="0"/>
                      <w:bCs w:val="0"/>
                      <w:color w:val="auto"/>
                      <w:sz w:val="20"/>
                      <w:szCs w:val="20"/>
                      <w:lang w:val="en-US" w:eastAsia="zh-CN"/>
                    </w:rPr>
                    <w:t>液</w:t>
                  </w:r>
                </w:p>
              </w:tc>
              <w:tc>
                <w:tcPr>
                  <w:tcW w:w="1172" w:type="dxa"/>
                  <w:vAlign w:val="center"/>
                </w:tcPr>
                <w:p>
                  <w:pPr>
                    <w:pStyle w:val="167"/>
                    <w:spacing w:beforeLines="0" w:afterLines="0" w:line="240" w:lineRule="auto"/>
                    <w:rPr>
                      <w:rFonts w:hint="eastAsia" w:ascii="Times New Roman" w:eastAsia="宋体"/>
                      <w:color w:val="auto"/>
                      <w:sz w:val="20"/>
                      <w:szCs w:val="20"/>
                      <w:lang w:val="en-US" w:eastAsia="zh-CN"/>
                    </w:rPr>
                  </w:pPr>
                  <w:r>
                    <w:rPr>
                      <w:rFonts w:hint="eastAsia" w:ascii="Times New Roman"/>
                      <w:color w:val="auto"/>
                      <w:sz w:val="20"/>
                      <w:szCs w:val="20"/>
                      <w:lang w:val="en-US" w:eastAsia="zh-CN"/>
                    </w:rPr>
                    <w:t>油</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0.8</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563"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7</w:t>
                  </w:r>
                </w:p>
              </w:tc>
              <w:tc>
                <w:tcPr>
                  <w:tcW w:w="1004"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废粉尘</w:t>
                  </w:r>
                </w:p>
              </w:tc>
              <w:tc>
                <w:tcPr>
                  <w:tcW w:w="930" w:type="dxa"/>
                  <w:vAlign w:val="center"/>
                </w:tcPr>
                <w:p>
                  <w:pPr>
                    <w:adjustRightInd w:val="0"/>
                    <w:snapToGrid w:val="0"/>
                    <w:jc w:val="center"/>
                    <w:rPr>
                      <w:rFonts w:hint="default" w:eastAsia="宋体"/>
                      <w:color w:val="auto"/>
                      <w:sz w:val="20"/>
                      <w:szCs w:val="20"/>
                      <w:lang w:val="en-US" w:eastAsia="zh-CN"/>
                    </w:rPr>
                  </w:pPr>
                  <w:r>
                    <w:rPr>
                      <w:rFonts w:hint="eastAsia"/>
                      <w:color w:val="auto"/>
                      <w:sz w:val="20"/>
                      <w:szCs w:val="20"/>
                      <w:lang w:val="en-US" w:eastAsia="zh-CN"/>
                    </w:rPr>
                    <w:t>废气处理</w:t>
                  </w:r>
                </w:p>
              </w:tc>
              <w:tc>
                <w:tcPr>
                  <w:tcW w:w="544" w:type="dxa"/>
                  <w:vAlign w:val="center"/>
                </w:tcPr>
                <w:p>
                  <w:pPr>
                    <w:pStyle w:val="33"/>
                    <w:adjustRightInd w:val="0"/>
                    <w:snapToGrid w:val="0"/>
                    <w:rPr>
                      <w:rFonts w:ascii="Times New Roman" w:hAnsi="Times New Roman" w:cs="Times New Roman"/>
                      <w:b w:val="0"/>
                      <w:bCs w:val="0"/>
                      <w:color w:val="auto"/>
                      <w:sz w:val="20"/>
                      <w:szCs w:val="20"/>
                      <w:lang w:val="zh-CN"/>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adjustRightInd w:val="0"/>
                    <w:snapToGrid w:val="0"/>
                    <w:jc w:val="center"/>
                    <w:rPr>
                      <w:rFonts w:hint="eastAsia" w:eastAsia="宋体"/>
                      <w:color w:val="auto"/>
                      <w:sz w:val="20"/>
                      <w:szCs w:val="20"/>
                      <w:lang w:val="en-US" w:eastAsia="zh-CN"/>
                    </w:rPr>
                  </w:pPr>
                  <w:r>
                    <w:rPr>
                      <w:rFonts w:hint="eastAsia"/>
                      <w:color w:val="auto"/>
                      <w:sz w:val="20"/>
                      <w:szCs w:val="20"/>
                      <w:lang w:val="en-US" w:eastAsia="zh-CN"/>
                    </w:rPr>
                    <w:t>颗粒物</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6.998</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8</w:t>
                  </w:r>
                </w:p>
              </w:tc>
              <w:tc>
                <w:tcPr>
                  <w:tcW w:w="1004"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定型废气处理废油</w:t>
                  </w:r>
                </w:p>
              </w:tc>
              <w:tc>
                <w:tcPr>
                  <w:tcW w:w="930"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废气处理</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液</w:t>
                  </w:r>
                </w:p>
              </w:tc>
              <w:tc>
                <w:tcPr>
                  <w:tcW w:w="1172"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定型油</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1.231</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9</w:t>
                  </w:r>
                </w:p>
              </w:tc>
              <w:tc>
                <w:tcPr>
                  <w:tcW w:w="1004"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废包装桶</w:t>
                  </w:r>
                </w:p>
              </w:tc>
              <w:tc>
                <w:tcPr>
                  <w:tcW w:w="930"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原料包装</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pStyle w:val="33"/>
                    <w:adjustRightInd w:val="0"/>
                    <w:snapToGrid w:val="0"/>
                    <w:jc w:val="center"/>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有机物、桶</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0.15</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10</w:t>
                  </w:r>
                </w:p>
              </w:tc>
              <w:tc>
                <w:tcPr>
                  <w:tcW w:w="100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废油桶</w:t>
                  </w:r>
                </w:p>
              </w:tc>
              <w:tc>
                <w:tcPr>
                  <w:tcW w:w="930"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原料包装</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油、桶</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0.3</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32" w:hRule="atLeast"/>
                <w:jc w:val="center"/>
              </w:trPr>
              <w:tc>
                <w:tcPr>
                  <w:tcW w:w="53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11</w:t>
                  </w:r>
                </w:p>
              </w:tc>
              <w:tc>
                <w:tcPr>
                  <w:tcW w:w="1004"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纯水制备废滤芯、RO膜</w:t>
                  </w:r>
                </w:p>
              </w:tc>
              <w:tc>
                <w:tcPr>
                  <w:tcW w:w="930"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纯水制备</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树脂</w:t>
                  </w:r>
                </w:p>
              </w:tc>
              <w:tc>
                <w:tcPr>
                  <w:tcW w:w="1107"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3</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5" w:hRule="atLeast"/>
                <w:jc w:val="center"/>
              </w:trPr>
              <w:tc>
                <w:tcPr>
                  <w:tcW w:w="533" w:type="dxa"/>
                  <w:vAlign w:val="center"/>
                </w:tcPr>
                <w:p>
                  <w:pPr>
                    <w:pStyle w:val="33"/>
                    <w:adjustRightInd w:val="0"/>
                    <w:snapToGrid w:val="0"/>
                    <w:rPr>
                      <w:rFonts w:hint="eastAsia"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12</w:t>
                  </w:r>
                </w:p>
              </w:tc>
              <w:tc>
                <w:tcPr>
                  <w:tcW w:w="1004"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脱硫渣</w:t>
                  </w:r>
                </w:p>
              </w:tc>
              <w:tc>
                <w:tcPr>
                  <w:tcW w:w="930"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废气处理</w:t>
                  </w:r>
                </w:p>
              </w:tc>
              <w:tc>
                <w:tcPr>
                  <w:tcW w:w="544" w:type="dxa"/>
                  <w:vAlign w:val="center"/>
                </w:tcPr>
                <w:p>
                  <w:pPr>
                    <w:adjustRightInd w:val="0"/>
                    <w:snapToGrid w:val="0"/>
                    <w:jc w:val="center"/>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eastAsia="宋体" w:cs="Times New Roman"/>
                      <w:b w:val="0"/>
                      <w:bCs w:val="0"/>
                      <w:color w:val="auto"/>
                      <w:sz w:val="20"/>
                      <w:szCs w:val="20"/>
                      <w:lang w:val="en-US" w:eastAsia="zh-CN"/>
                    </w:rPr>
                    <w:t>亚硫酸钙、硫酸钙、碳酸钙</w:t>
                  </w:r>
                </w:p>
              </w:tc>
              <w:tc>
                <w:tcPr>
                  <w:tcW w:w="1107"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10</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bCs/>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5" w:hRule="atLeast"/>
                <w:jc w:val="center"/>
              </w:trPr>
              <w:tc>
                <w:tcPr>
                  <w:tcW w:w="533"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13</w:t>
                  </w:r>
                </w:p>
              </w:tc>
              <w:tc>
                <w:tcPr>
                  <w:tcW w:w="1004"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废蓄电池</w:t>
                  </w:r>
                </w:p>
              </w:tc>
              <w:tc>
                <w:tcPr>
                  <w:tcW w:w="930" w:type="dxa"/>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叉车使用</w:t>
                  </w:r>
                </w:p>
              </w:tc>
              <w:tc>
                <w:tcPr>
                  <w:tcW w:w="544" w:type="dxa"/>
                  <w:vAlign w:val="center"/>
                </w:tcPr>
                <w:p>
                  <w:pPr>
                    <w:adjustRightInd w:val="0"/>
                    <w:snapToGrid w:val="0"/>
                    <w:jc w:val="center"/>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1172"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电池</w:t>
                  </w:r>
                </w:p>
              </w:tc>
              <w:tc>
                <w:tcPr>
                  <w:tcW w:w="1107"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0.012t/3a</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w:t>
                  </w:r>
                </w:p>
              </w:tc>
              <w:tc>
                <w:tcPr>
                  <w:tcW w:w="539" w:type="dxa"/>
                  <w:vAlign w:val="center"/>
                </w:tcPr>
                <w:p>
                  <w:pPr>
                    <w:adjustRightInd w:val="0"/>
                    <w:snapToGrid w:val="0"/>
                    <w:jc w:val="center"/>
                    <w:rPr>
                      <w:bCs/>
                      <w:color w:val="auto"/>
                      <w:sz w:val="20"/>
                      <w:szCs w:val="20"/>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5" w:hRule="atLeast"/>
                <w:jc w:val="center"/>
              </w:trPr>
              <w:tc>
                <w:tcPr>
                  <w:tcW w:w="533" w:type="dxa"/>
                  <w:vAlign w:val="center"/>
                </w:tcPr>
                <w:p>
                  <w:pPr>
                    <w:pStyle w:val="33"/>
                    <w:adjustRightInd w:val="0"/>
                    <w:snapToGrid w:val="0"/>
                    <w:rPr>
                      <w:rFonts w:hint="eastAsia"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14</w:t>
                  </w:r>
                </w:p>
              </w:tc>
              <w:tc>
                <w:tcPr>
                  <w:tcW w:w="1004"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废滤网</w:t>
                  </w:r>
                </w:p>
              </w:tc>
              <w:tc>
                <w:tcPr>
                  <w:tcW w:w="930"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预缩</w:t>
                  </w:r>
                </w:p>
              </w:tc>
              <w:tc>
                <w:tcPr>
                  <w:tcW w:w="544" w:type="dxa"/>
                  <w:vAlign w:val="center"/>
                </w:tcPr>
                <w:p>
                  <w:pPr>
                    <w:adjustRightInd w:val="0"/>
                    <w:snapToGrid w:val="0"/>
                    <w:jc w:val="center"/>
                    <w:rPr>
                      <w:rFonts w:hint="default" w:ascii="Times New Roman" w:hAnsi="Times New Roman" w:cs="Times New Roman"/>
                      <w:b w:val="0"/>
                      <w:bCs w:val="0"/>
                      <w:color w:val="auto"/>
                      <w:sz w:val="20"/>
                      <w:szCs w:val="20"/>
                      <w:lang w:val="en-US" w:eastAsia="zh-CN"/>
                    </w:rPr>
                  </w:pPr>
                  <w:r>
                    <w:rPr>
                      <w:rFonts w:hint="eastAsia" w:cs="Times New Roman"/>
                      <w:b w:val="0"/>
                      <w:bCs w:val="0"/>
                      <w:color w:val="auto"/>
                      <w:sz w:val="20"/>
                      <w:szCs w:val="20"/>
                      <w:lang w:val="en-US" w:eastAsia="zh-CN"/>
                    </w:rPr>
                    <w:t>固</w:t>
                  </w:r>
                </w:p>
              </w:tc>
              <w:tc>
                <w:tcPr>
                  <w:tcW w:w="1172"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滤网、</w:t>
                  </w:r>
                  <w:r>
                    <w:rPr>
                      <w:rFonts w:hint="eastAsia" w:ascii="Times New Roman" w:hAnsi="Times New Roman" w:eastAsia="宋体" w:cs="Times New Roman"/>
                      <w:b w:val="0"/>
                      <w:bCs w:val="0"/>
                      <w:color w:val="auto"/>
                      <w:sz w:val="20"/>
                      <w:szCs w:val="20"/>
                      <w:lang w:val="en-US" w:eastAsia="zh-CN"/>
                    </w:rPr>
                    <w:t>羊毛纤维</w:t>
                  </w:r>
                </w:p>
              </w:tc>
              <w:tc>
                <w:tcPr>
                  <w:tcW w:w="1107"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0.02</w:t>
                  </w:r>
                </w:p>
              </w:tc>
              <w:tc>
                <w:tcPr>
                  <w:tcW w:w="803" w:type="dxa"/>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ascii="Times New Roman" w:hAnsi="Times New Roman" w:cs="Times New Roman"/>
                      <w:b w:val="0"/>
                      <w:bCs w:val="0"/>
                      <w:color w:val="auto"/>
                      <w:sz w:val="20"/>
                      <w:szCs w:val="20"/>
                    </w:rPr>
                    <w:t>√</w:t>
                  </w:r>
                </w:p>
              </w:tc>
              <w:tc>
                <w:tcPr>
                  <w:tcW w:w="569" w:type="dxa"/>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rPr>
                    <w:t>-</w:t>
                  </w:r>
                </w:p>
              </w:tc>
              <w:tc>
                <w:tcPr>
                  <w:tcW w:w="539" w:type="dxa"/>
                  <w:shd w:val="clear" w:color="auto" w:fill="auto"/>
                  <w:vAlign w:val="center"/>
                </w:tcPr>
                <w:p>
                  <w:pPr>
                    <w:adjustRightInd w:val="0"/>
                    <w:snapToGrid w:val="0"/>
                    <w:jc w:val="center"/>
                    <w:rPr>
                      <w:rFonts w:hint="eastAsia" w:ascii="Times New Roman" w:hAnsi="Times New Roman" w:eastAsia="宋体" w:cs="Times New Roman"/>
                      <w:bCs/>
                      <w:color w:val="auto"/>
                      <w:kern w:val="2"/>
                      <w:sz w:val="20"/>
                      <w:szCs w:val="20"/>
                      <w:lang w:val="en-US" w:eastAsia="zh-CN" w:bidi="ar-SA"/>
                    </w:rPr>
                  </w:pPr>
                  <w:r>
                    <w:rPr>
                      <w:rFonts w:hint="eastAsia"/>
                      <w:bCs/>
                      <w:color w:val="auto"/>
                      <w:sz w:val="20"/>
                      <w:szCs w:val="20"/>
                    </w:rPr>
                    <w:t>-</w:t>
                  </w:r>
                </w:p>
              </w:tc>
              <w:tc>
                <w:tcPr>
                  <w:tcW w:w="1215" w:type="dxa"/>
                  <w:vMerge w:val="continue"/>
                  <w:vAlign w:val="center"/>
                </w:tcPr>
                <w:p>
                  <w:pPr>
                    <w:adjustRightInd w:val="0"/>
                    <w:snapToGrid w:val="0"/>
                    <w:jc w:val="center"/>
                    <w:rPr>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195" w:hRule="atLeast"/>
                <w:jc w:val="center"/>
              </w:trPr>
              <w:tc>
                <w:tcPr>
                  <w:tcW w:w="533"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15</w:t>
                  </w:r>
                </w:p>
              </w:tc>
              <w:tc>
                <w:tcPr>
                  <w:tcW w:w="100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生活垃圾</w:t>
                  </w:r>
                </w:p>
              </w:tc>
              <w:tc>
                <w:tcPr>
                  <w:tcW w:w="930"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生活</w:t>
                  </w:r>
                </w:p>
              </w:tc>
              <w:tc>
                <w:tcPr>
                  <w:tcW w:w="544"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固</w:t>
                  </w:r>
                </w:p>
              </w:tc>
              <w:tc>
                <w:tcPr>
                  <w:tcW w:w="1172"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生活垃圾</w:t>
                  </w:r>
                </w:p>
              </w:tc>
              <w:tc>
                <w:tcPr>
                  <w:tcW w:w="1107"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7.5</w:t>
                  </w:r>
                </w:p>
              </w:tc>
              <w:tc>
                <w:tcPr>
                  <w:tcW w:w="803"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w:t>
                  </w:r>
                </w:p>
              </w:tc>
              <w:tc>
                <w:tcPr>
                  <w:tcW w:w="569" w:type="dxa"/>
                  <w:vAlign w:val="center"/>
                </w:tcPr>
                <w:p>
                  <w:pPr>
                    <w:pStyle w:val="33"/>
                    <w:adjustRightInd w:val="0"/>
                    <w:snapToGrid w:val="0"/>
                    <w:rPr>
                      <w:rFonts w:ascii="Times New Roman" w:hAnsi="Times New Roman" w:cs="Times New Roman"/>
                      <w:b w:val="0"/>
                      <w:bCs w:val="0"/>
                      <w:color w:val="auto"/>
                      <w:sz w:val="20"/>
                      <w:szCs w:val="20"/>
                    </w:rPr>
                  </w:pPr>
                </w:p>
              </w:tc>
              <w:tc>
                <w:tcPr>
                  <w:tcW w:w="539" w:type="dxa"/>
                  <w:vAlign w:val="center"/>
                </w:tcPr>
                <w:p>
                  <w:pPr>
                    <w:adjustRightInd w:val="0"/>
                    <w:snapToGrid w:val="0"/>
                    <w:jc w:val="center"/>
                    <w:rPr>
                      <w:bCs/>
                      <w:color w:val="auto"/>
                      <w:sz w:val="20"/>
                      <w:szCs w:val="20"/>
                    </w:rPr>
                  </w:pPr>
                </w:p>
              </w:tc>
              <w:tc>
                <w:tcPr>
                  <w:tcW w:w="1215" w:type="dxa"/>
                  <w:vMerge w:val="continue"/>
                  <w:vAlign w:val="center"/>
                </w:tcPr>
                <w:p>
                  <w:pPr>
                    <w:adjustRightInd w:val="0"/>
                    <w:snapToGrid w:val="0"/>
                    <w:jc w:val="center"/>
                    <w:rPr>
                      <w:color w:val="auto"/>
                      <w:sz w:val="20"/>
                      <w:szCs w:val="20"/>
                    </w:rPr>
                  </w:pPr>
                </w:p>
              </w:tc>
            </w:tr>
          </w:tbl>
          <w:p>
            <w:pPr>
              <w:adjustRightInd w:val="0"/>
              <w:snapToGrid w:val="0"/>
              <w:spacing w:line="360" w:lineRule="auto"/>
              <w:ind w:firstLine="420" w:firstLineChars="200"/>
              <w:rPr>
                <w:color w:val="auto"/>
                <w:szCs w:val="21"/>
              </w:rPr>
            </w:pPr>
            <w:r>
              <w:rPr>
                <w:rFonts w:hint="eastAsia"/>
                <w:color w:val="auto"/>
                <w:szCs w:val="21"/>
              </w:rPr>
              <w:t>根据《国家危险废物名录》（2025年版）、《危险废物鉴别标准 通则》（GB5085.7-2019）中危险废物鉴别方法，本项目固体废物属性判定见下表。</w:t>
            </w:r>
          </w:p>
          <w:p>
            <w:pPr>
              <w:adjustRightInd w:val="0"/>
              <w:snapToGrid w:val="0"/>
              <w:ind w:firstLine="482"/>
              <w:jc w:val="center"/>
              <w:rPr>
                <w:b/>
                <w:color w:val="auto"/>
                <w:szCs w:val="21"/>
                <w:lang w:val="zh-CN"/>
              </w:rPr>
            </w:pPr>
            <w:r>
              <w:rPr>
                <w:b/>
                <w:color w:val="auto"/>
                <w:szCs w:val="21"/>
                <w:lang w:val="zh-CN"/>
              </w:rPr>
              <w:t>表4</w:t>
            </w:r>
            <w:r>
              <w:rPr>
                <w:rFonts w:hint="eastAsia"/>
                <w:b/>
                <w:color w:val="auto"/>
                <w:szCs w:val="21"/>
              </w:rPr>
              <w:t>-</w:t>
            </w:r>
            <w:r>
              <w:rPr>
                <w:rFonts w:hint="eastAsia"/>
                <w:b/>
                <w:color w:val="auto"/>
                <w:szCs w:val="21"/>
                <w:lang w:val="en-US" w:eastAsia="zh-CN"/>
              </w:rPr>
              <w:t>30</w:t>
            </w:r>
            <w:r>
              <w:rPr>
                <w:b/>
                <w:color w:val="auto"/>
                <w:szCs w:val="21"/>
                <w:lang w:val="zh-CN"/>
              </w:rPr>
              <w:t xml:space="preserve">  项目固体废物分析结果汇总表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50"/>
              <w:gridCol w:w="1136"/>
              <w:gridCol w:w="515"/>
              <w:gridCol w:w="921"/>
              <w:gridCol w:w="504"/>
              <w:gridCol w:w="977"/>
              <w:gridCol w:w="913"/>
              <w:gridCol w:w="704"/>
              <w:gridCol w:w="650"/>
              <w:gridCol w:w="1179"/>
              <w:gridCol w:w="5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07"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序号</w:t>
                  </w:r>
                </w:p>
              </w:tc>
              <w:tc>
                <w:tcPr>
                  <w:tcW w:w="674"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固废名称</w:t>
                  </w:r>
                </w:p>
              </w:tc>
              <w:tc>
                <w:tcPr>
                  <w:tcW w:w="305"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属性</w:t>
                  </w:r>
                </w:p>
              </w:tc>
              <w:tc>
                <w:tcPr>
                  <w:tcW w:w="546"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产生工序</w:t>
                  </w:r>
                </w:p>
              </w:tc>
              <w:tc>
                <w:tcPr>
                  <w:tcW w:w="299"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形态</w:t>
                  </w:r>
                </w:p>
              </w:tc>
              <w:tc>
                <w:tcPr>
                  <w:tcW w:w="579"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主要成分</w:t>
                  </w:r>
                </w:p>
              </w:tc>
              <w:tc>
                <w:tcPr>
                  <w:tcW w:w="541"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hint="eastAsia" w:ascii="Times New Roman" w:hAnsi="Times New Roman" w:cs="Times New Roman"/>
                      <w:color w:val="auto"/>
                      <w:sz w:val="20"/>
                      <w:szCs w:val="20"/>
                    </w:rPr>
                    <w:t>有害成分</w:t>
                  </w:r>
                </w:p>
              </w:tc>
              <w:tc>
                <w:tcPr>
                  <w:tcW w:w="417"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危险特性</w:t>
                  </w:r>
                </w:p>
              </w:tc>
              <w:tc>
                <w:tcPr>
                  <w:tcW w:w="385"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废物</w:t>
                  </w:r>
                </w:p>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类别</w:t>
                  </w:r>
                </w:p>
              </w:tc>
              <w:tc>
                <w:tcPr>
                  <w:tcW w:w="699"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废物代码</w:t>
                  </w:r>
                </w:p>
              </w:tc>
              <w:tc>
                <w:tcPr>
                  <w:tcW w:w="341"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产生量t/a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tcBorders>
                    <w:top w:val="single" w:color="auto" w:sz="12" w:space="0"/>
                  </w:tcBorders>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w:t>
                  </w:r>
                </w:p>
              </w:tc>
              <w:tc>
                <w:tcPr>
                  <w:tcW w:w="674" w:type="pct"/>
                  <w:tcBorders>
                    <w:top w:val="single" w:color="auto" w:sz="12" w:space="0"/>
                  </w:tcBorders>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废布料</w:t>
                  </w:r>
                </w:p>
              </w:tc>
              <w:tc>
                <w:tcPr>
                  <w:tcW w:w="305" w:type="pct"/>
                  <w:vMerge w:val="restart"/>
                  <w:tcBorders>
                    <w:top w:val="single" w:color="auto" w:sz="12" w:space="0"/>
                  </w:tcBorders>
                  <w:vAlign w:val="center"/>
                </w:tcPr>
                <w:p>
                  <w:pPr>
                    <w:pStyle w:val="33"/>
                    <w:adjustRightInd w:val="0"/>
                    <w:snapToGrid w:val="0"/>
                    <w:jc w:val="center"/>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一般固废</w:t>
                  </w:r>
                </w:p>
              </w:tc>
              <w:tc>
                <w:tcPr>
                  <w:tcW w:w="546" w:type="pct"/>
                  <w:tcBorders>
                    <w:top w:val="single" w:color="auto" w:sz="12" w:space="0"/>
                  </w:tcBorders>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翻缝</w:t>
                  </w:r>
                </w:p>
              </w:tc>
              <w:tc>
                <w:tcPr>
                  <w:tcW w:w="299" w:type="pct"/>
                  <w:tcBorders>
                    <w:top w:val="single" w:color="auto" w:sz="12" w:space="0"/>
                  </w:tcBorders>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579" w:type="pct"/>
                  <w:tcBorders>
                    <w:top w:val="single" w:color="auto" w:sz="12" w:space="0"/>
                  </w:tcBorders>
                  <w:shd w:val="clear" w:color="auto" w:fill="auto"/>
                  <w:vAlign w:val="center"/>
                </w:tcPr>
                <w:p>
                  <w:pPr>
                    <w:adjustRightInd w:val="0"/>
                    <w:snapToGrid w:val="0"/>
                    <w:jc w:val="center"/>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羊毛布料</w:t>
                  </w:r>
                </w:p>
              </w:tc>
              <w:tc>
                <w:tcPr>
                  <w:tcW w:w="541" w:type="pct"/>
                  <w:tcBorders>
                    <w:top w:val="single" w:color="auto" w:sz="12" w:space="0"/>
                  </w:tcBorders>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w:t>
                  </w:r>
                </w:p>
              </w:tc>
              <w:tc>
                <w:tcPr>
                  <w:tcW w:w="417" w:type="pct"/>
                  <w:tcBorders>
                    <w:top w:val="single" w:color="auto" w:sz="12" w:space="0"/>
                  </w:tcBorders>
                  <w:vAlign w:val="center"/>
                </w:tcPr>
                <w:p>
                  <w:pPr>
                    <w:pStyle w:val="440"/>
                    <w:jc w:val="center"/>
                    <w:rPr>
                      <w:rFonts w:hint="eastAsia" w:ascii="Times New Roman" w:hAnsi="Times New Roman" w:cs="Times New Roman" w:eastAsiaTheme="minorEastAsia"/>
                      <w:color w:val="auto"/>
                      <w:sz w:val="20"/>
                      <w:szCs w:val="20"/>
                      <w:lang w:val="en-US" w:eastAsia="zh-CN"/>
                    </w:rPr>
                  </w:pPr>
                  <w:r>
                    <w:rPr>
                      <w:rFonts w:hint="eastAsia" w:ascii="Times New Roman" w:hAnsi="Times New Roman" w:cs="Times New Roman" w:eastAsiaTheme="minorEastAsia"/>
                      <w:color w:val="auto"/>
                      <w:sz w:val="20"/>
                      <w:szCs w:val="20"/>
                      <w:lang w:val="en-US" w:eastAsia="zh-CN"/>
                    </w:rPr>
                    <w:t>-</w:t>
                  </w:r>
                </w:p>
              </w:tc>
              <w:tc>
                <w:tcPr>
                  <w:tcW w:w="385" w:type="pct"/>
                  <w:tcBorders>
                    <w:top w:val="single" w:color="auto" w:sz="12" w:space="0"/>
                  </w:tcBorders>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rFonts w:hint="eastAsia" w:eastAsia="仿宋"/>
                      <w:sz w:val="20"/>
                      <w:szCs w:val="20"/>
                    </w:rPr>
                    <w:t>SW62</w:t>
                  </w:r>
                </w:p>
              </w:tc>
              <w:tc>
                <w:tcPr>
                  <w:tcW w:w="699" w:type="pct"/>
                  <w:tcBorders>
                    <w:top w:val="single" w:color="auto" w:sz="12" w:space="0"/>
                  </w:tcBorders>
                  <w:shd w:val="clear" w:color="auto" w:fill="auto"/>
                  <w:vAlign w:val="center"/>
                </w:tcPr>
                <w:p>
                  <w:pPr>
                    <w:jc w:val="center"/>
                    <w:rPr>
                      <w:rFonts w:hint="eastAsia" w:ascii="Times New Roman" w:hAnsi="Times New Roman" w:eastAsia="仿宋" w:cs="Times New Roman"/>
                      <w:kern w:val="24"/>
                      <w:sz w:val="20"/>
                      <w:szCs w:val="20"/>
                      <w:lang w:val="en-US" w:eastAsia="zh-CN" w:bidi="ar-SA"/>
                    </w:rPr>
                  </w:pPr>
                  <w:r>
                    <w:rPr>
                      <w:rFonts w:hint="eastAsia" w:eastAsia="仿宋"/>
                      <w:kern w:val="24"/>
                      <w:sz w:val="20"/>
                      <w:szCs w:val="20"/>
                    </w:rPr>
                    <w:t>900-005-S62</w:t>
                  </w:r>
                </w:p>
              </w:tc>
              <w:tc>
                <w:tcPr>
                  <w:tcW w:w="341" w:type="pct"/>
                  <w:tcBorders>
                    <w:top w:val="single" w:color="auto" w:sz="12" w:space="0"/>
                  </w:tcBorders>
                  <w:vAlign w:val="center"/>
                </w:tcPr>
                <w:p>
                  <w:pPr>
                    <w:pStyle w:val="33"/>
                    <w:adjustRightInd w:val="0"/>
                    <w:snapToGrid w:val="0"/>
                    <w:rPr>
                      <w:rFonts w:hint="default" w:ascii="Times New Roman" w:hAnsi="Times New Roman" w:cs="Times New Roman" w:eastAsiaTheme="minorEastAsia"/>
                      <w:b w:val="0"/>
                      <w:bCs w:val="0"/>
                      <w:color w:val="auto"/>
                      <w:sz w:val="20"/>
                      <w:szCs w:val="20"/>
                      <w:lang w:val="en-US" w:eastAsia="zh-CN"/>
                    </w:rPr>
                  </w:pPr>
                  <w:r>
                    <w:rPr>
                      <w:rFonts w:hint="eastAsia" w:ascii="Times New Roman" w:hAnsi="Times New Roman" w:cs="Times New Roman" w:eastAsiaTheme="minorEastAsia"/>
                      <w:b w:val="0"/>
                      <w:bCs w:val="0"/>
                      <w:color w:val="auto"/>
                      <w:sz w:val="20"/>
                      <w:szCs w:val="20"/>
                      <w:lang w:val="en-US" w:eastAsia="zh-CN"/>
                    </w:rPr>
                    <w:t>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2</w:t>
                  </w:r>
                </w:p>
              </w:tc>
              <w:tc>
                <w:tcPr>
                  <w:tcW w:w="674" w:type="pc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color w:val="auto"/>
                      <w:sz w:val="20"/>
                      <w:szCs w:val="20"/>
                    </w:rPr>
                    <w:t>不合格品</w:t>
                  </w:r>
                </w:p>
              </w:tc>
              <w:tc>
                <w:tcPr>
                  <w:tcW w:w="305"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546" w:type="pct"/>
                  <w:shd w:val="clear" w:color="auto" w:fill="auto"/>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检验</w:t>
                  </w:r>
                </w:p>
              </w:tc>
              <w:tc>
                <w:tcPr>
                  <w:tcW w:w="29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adjustRightInd w:val="0"/>
                    <w:snapToGrid w:val="0"/>
                    <w:jc w:val="center"/>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羊毛布料</w:t>
                  </w:r>
                </w:p>
              </w:tc>
              <w:tc>
                <w:tcPr>
                  <w:tcW w:w="541" w:type="pct"/>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w:t>
                  </w:r>
                </w:p>
              </w:tc>
              <w:tc>
                <w:tcPr>
                  <w:tcW w:w="417" w:type="pct"/>
                  <w:vAlign w:val="center"/>
                </w:tcPr>
                <w:p>
                  <w:pPr>
                    <w:pStyle w:val="440"/>
                    <w:jc w:val="center"/>
                    <w:rPr>
                      <w:rFonts w:hint="default" w:ascii="Times New Roman" w:hAnsi="Times New Roman" w:cs="Times New Roman" w:eastAsiaTheme="minorEastAsia"/>
                      <w:color w:val="auto"/>
                      <w:sz w:val="20"/>
                      <w:szCs w:val="20"/>
                      <w:lang w:val="en-US" w:eastAsia="zh-CN"/>
                    </w:rPr>
                  </w:pPr>
                  <w:r>
                    <w:rPr>
                      <w:rFonts w:hint="eastAsia" w:ascii="Times New Roman" w:hAnsi="Times New Roman" w:cs="Times New Roman" w:eastAsiaTheme="minorEastAsia"/>
                      <w:color w:val="auto"/>
                      <w:sz w:val="20"/>
                      <w:szCs w:val="20"/>
                      <w:lang w:val="en-US" w:eastAsia="zh-CN"/>
                    </w:rPr>
                    <w:t>-</w:t>
                  </w:r>
                </w:p>
              </w:tc>
              <w:tc>
                <w:tcPr>
                  <w:tcW w:w="385" w:type="pct"/>
                  <w:shd w:val="clear" w:color="auto" w:fill="auto"/>
                  <w:vAlign w:val="center"/>
                </w:tcPr>
                <w:p>
                  <w:pPr>
                    <w:autoSpaceDE w:val="0"/>
                    <w:autoSpaceDN w:val="0"/>
                    <w:snapToGrid w:val="0"/>
                    <w:jc w:val="center"/>
                    <w:rPr>
                      <w:rFonts w:ascii="Times New Roman" w:hAnsi="Times New Roman" w:eastAsia="宋体" w:cs="Times New Roman"/>
                      <w:color w:val="auto"/>
                      <w:kern w:val="0"/>
                      <w:sz w:val="20"/>
                      <w:szCs w:val="20"/>
                      <w:lang w:val="en-US" w:eastAsia="zh-CN" w:bidi="ar-SA"/>
                    </w:rPr>
                  </w:pPr>
                  <w:r>
                    <w:rPr>
                      <w:color w:val="auto"/>
                      <w:kern w:val="0"/>
                      <w:sz w:val="20"/>
                      <w:szCs w:val="20"/>
                    </w:rPr>
                    <w:t>SW17</w:t>
                  </w:r>
                </w:p>
              </w:tc>
              <w:tc>
                <w:tcPr>
                  <w:tcW w:w="699" w:type="pct"/>
                  <w:shd w:val="clear" w:color="auto" w:fill="auto"/>
                  <w:vAlign w:val="center"/>
                </w:tcPr>
                <w:p>
                  <w:pPr>
                    <w:autoSpaceDE w:val="0"/>
                    <w:autoSpaceDN w:val="0"/>
                    <w:snapToGrid w:val="0"/>
                    <w:jc w:val="center"/>
                    <w:rPr>
                      <w:rFonts w:ascii="Times New Roman" w:hAnsi="Times New Roman" w:eastAsia="宋体" w:cs="Times New Roman"/>
                      <w:color w:val="auto"/>
                      <w:kern w:val="0"/>
                      <w:sz w:val="20"/>
                      <w:szCs w:val="20"/>
                      <w:lang w:val="en-US" w:eastAsia="zh-CN" w:bidi="ar-SA"/>
                    </w:rPr>
                  </w:pPr>
                  <w:r>
                    <w:rPr>
                      <w:color w:val="auto"/>
                      <w:kern w:val="0"/>
                      <w:sz w:val="20"/>
                      <w:szCs w:val="20"/>
                    </w:rPr>
                    <w:t>900-008-S17</w:t>
                  </w:r>
                </w:p>
              </w:tc>
              <w:tc>
                <w:tcPr>
                  <w:tcW w:w="341" w:type="pct"/>
                  <w:vAlign w:val="center"/>
                </w:tcPr>
                <w:p>
                  <w:pPr>
                    <w:pStyle w:val="33"/>
                    <w:adjustRightInd w:val="0"/>
                    <w:snapToGrid w:val="0"/>
                    <w:rPr>
                      <w:rFonts w:hint="default" w:ascii="Times New Roman" w:hAnsi="Times New Roman" w:cs="Times New Roman" w:eastAsiaTheme="minorEastAsia"/>
                      <w:b w:val="0"/>
                      <w:bCs w:val="0"/>
                      <w:color w:val="auto"/>
                      <w:sz w:val="20"/>
                      <w:szCs w:val="20"/>
                      <w:lang w:val="en-US" w:eastAsia="zh-CN"/>
                    </w:rPr>
                  </w:pPr>
                  <w:r>
                    <w:rPr>
                      <w:rFonts w:hint="eastAsia" w:ascii="Times New Roman" w:hAnsi="Times New Roman" w:cs="Times New Roman" w:eastAsiaTheme="minorEastAsia"/>
                      <w:b w:val="0"/>
                      <w:bCs w:val="0"/>
                      <w:color w:val="auto"/>
                      <w:sz w:val="20"/>
                      <w:szCs w:val="20"/>
                      <w:lang w:val="en-US" w:eastAsia="zh-CN"/>
                    </w:rPr>
                    <w:t>3.08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bookmarkStart w:id="23" w:name="_Hlk214369412"/>
                  <w:r>
                    <w:rPr>
                      <w:rFonts w:hint="eastAsia" w:ascii="Times New Roman" w:hAnsi="Times New Roman" w:cs="Times New Roman"/>
                      <w:b w:val="0"/>
                      <w:bCs w:val="0"/>
                      <w:color w:val="auto"/>
                      <w:sz w:val="20"/>
                      <w:szCs w:val="20"/>
                      <w:lang w:val="en-US" w:eastAsia="zh-CN"/>
                    </w:rPr>
                    <w:t>3</w:t>
                  </w:r>
                </w:p>
              </w:tc>
              <w:tc>
                <w:tcPr>
                  <w:tcW w:w="674" w:type="pct"/>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废炉渣</w:t>
                  </w:r>
                </w:p>
              </w:tc>
              <w:tc>
                <w:tcPr>
                  <w:tcW w:w="305"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546"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锅炉清理</w:t>
                  </w:r>
                </w:p>
              </w:tc>
              <w:tc>
                <w:tcPr>
                  <w:tcW w:w="29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生物质残渣</w:t>
                  </w:r>
                </w:p>
              </w:tc>
              <w:tc>
                <w:tcPr>
                  <w:tcW w:w="541" w:type="pct"/>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w:t>
                  </w:r>
                </w:p>
              </w:tc>
              <w:tc>
                <w:tcPr>
                  <w:tcW w:w="417" w:type="pct"/>
                  <w:vAlign w:val="center"/>
                </w:tcPr>
                <w:p>
                  <w:pPr>
                    <w:pStyle w:val="440"/>
                    <w:jc w:val="center"/>
                    <w:rPr>
                      <w:rFonts w:hint="eastAsia" w:ascii="Times New Roman" w:hAnsi="Times New Roman" w:cs="Times New Roman" w:eastAsiaTheme="minorEastAsia"/>
                      <w:color w:val="auto"/>
                      <w:sz w:val="20"/>
                      <w:szCs w:val="20"/>
                      <w:lang w:val="en-US" w:eastAsia="zh-CN"/>
                    </w:rPr>
                  </w:pPr>
                  <w:r>
                    <w:rPr>
                      <w:rFonts w:hint="eastAsia" w:ascii="Times New Roman" w:hAnsi="Times New Roman" w:cs="Times New Roman" w:eastAsiaTheme="minorEastAsia"/>
                      <w:color w:val="auto"/>
                      <w:sz w:val="20"/>
                      <w:szCs w:val="20"/>
                      <w:lang w:val="en-US" w:eastAsia="zh-CN"/>
                    </w:rPr>
                    <w:t>-</w:t>
                  </w:r>
                </w:p>
              </w:tc>
              <w:tc>
                <w:tcPr>
                  <w:tcW w:w="385"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eastAsia="仿宋"/>
                      <w:sz w:val="20"/>
                      <w:szCs w:val="20"/>
                    </w:rPr>
                    <w:t>SW03</w:t>
                  </w:r>
                </w:p>
              </w:tc>
              <w:tc>
                <w:tcPr>
                  <w:tcW w:w="699"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eastAsia="仿宋"/>
                      <w:kern w:val="24"/>
                      <w:sz w:val="20"/>
                      <w:szCs w:val="20"/>
                    </w:rPr>
                    <w:t>900-099-S03</w:t>
                  </w:r>
                </w:p>
              </w:tc>
              <w:tc>
                <w:tcPr>
                  <w:tcW w:w="341" w:type="pct"/>
                  <w:vAlign w:val="center"/>
                </w:tcPr>
                <w:p>
                  <w:pPr>
                    <w:pStyle w:val="33"/>
                    <w:adjustRightInd w:val="0"/>
                    <w:snapToGrid w:val="0"/>
                    <w:rPr>
                      <w:rFonts w:hint="default" w:ascii="Times New Roman" w:hAnsi="Times New Roman" w:cs="Times New Roman" w:eastAsiaTheme="minorEastAsia"/>
                      <w:b w:val="0"/>
                      <w:bCs w:val="0"/>
                      <w:color w:val="auto"/>
                      <w:sz w:val="20"/>
                      <w:szCs w:val="20"/>
                      <w:lang w:val="en-US" w:eastAsia="zh-CN"/>
                    </w:rPr>
                  </w:pPr>
                  <w:r>
                    <w:rPr>
                      <w:rFonts w:hint="eastAsia" w:ascii="Times New Roman" w:hAnsi="Times New Roman" w:cs="Times New Roman" w:eastAsiaTheme="minorEastAsia"/>
                      <w:b w:val="0"/>
                      <w:bCs w:val="0"/>
                      <w:color w:val="auto"/>
                      <w:sz w:val="20"/>
                      <w:szCs w:val="20"/>
                      <w:lang w:val="en-US" w:eastAsia="zh-CN"/>
                    </w:rPr>
                    <w:t>140</w:t>
                  </w:r>
                </w:p>
              </w:tc>
            </w:tr>
            <w:bookmarkEnd w:id="23"/>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4</w:t>
                  </w:r>
                </w:p>
              </w:tc>
              <w:tc>
                <w:tcPr>
                  <w:tcW w:w="674"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废粉尘</w:t>
                  </w:r>
                </w:p>
              </w:tc>
              <w:tc>
                <w:tcPr>
                  <w:tcW w:w="305"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546" w:type="pct"/>
                  <w:shd w:val="clear" w:color="auto" w:fill="auto"/>
                  <w:vAlign w:val="center"/>
                </w:tcPr>
                <w:p>
                  <w:pPr>
                    <w:adjustRightInd w:val="0"/>
                    <w:snapToGrid w:val="0"/>
                    <w:jc w:val="center"/>
                    <w:rPr>
                      <w:rFonts w:hint="default"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废气处理</w:t>
                  </w:r>
                </w:p>
              </w:tc>
              <w:tc>
                <w:tcPr>
                  <w:tcW w:w="29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zh-CN" w:eastAsia="zh-CN" w:bidi="ar-SA"/>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颗粒物</w:t>
                  </w:r>
                </w:p>
              </w:tc>
              <w:tc>
                <w:tcPr>
                  <w:tcW w:w="541" w:type="pct"/>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w:t>
                  </w:r>
                </w:p>
              </w:tc>
              <w:tc>
                <w:tcPr>
                  <w:tcW w:w="417" w:type="pct"/>
                  <w:vAlign w:val="center"/>
                </w:tcPr>
                <w:p>
                  <w:pPr>
                    <w:pStyle w:val="440"/>
                    <w:jc w:val="center"/>
                    <w:rPr>
                      <w:rFonts w:hint="eastAsia" w:ascii="Times New Roman" w:hAnsi="Times New Roman" w:cs="Times New Roman" w:eastAsiaTheme="minorEastAsia"/>
                      <w:color w:val="auto"/>
                      <w:sz w:val="20"/>
                      <w:szCs w:val="20"/>
                      <w:lang w:val="en-US" w:eastAsia="zh-CN"/>
                    </w:rPr>
                  </w:pPr>
                  <w:r>
                    <w:rPr>
                      <w:rFonts w:hint="eastAsia" w:ascii="Times New Roman" w:hAnsi="Times New Roman" w:cs="Times New Roman" w:eastAsiaTheme="minorEastAsia"/>
                      <w:color w:val="auto"/>
                      <w:sz w:val="20"/>
                      <w:szCs w:val="20"/>
                      <w:lang w:val="en-US" w:eastAsia="zh-CN"/>
                    </w:rPr>
                    <w:t>-</w:t>
                  </w:r>
                </w:p>
              </w:tc>
              <w:tc>
                <w:tcPr>
                  <w:tcW w:w="385"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rFonts w:hint="eastAsia" w:eastAsia="仿宋"/>
                      <w:sz w:val="20"/>
                      <w:szCs w:val="20"/>
                    </w:rPr>
                    <w:t>SW59</w:t>
                  </w:r>
                </w:p>
              </w:tc>
              <w:tc>
                <w:tcPr>
                  <w:tcW w:w="699" w:type="pct"/>
                  <w:shd w:val="clear" w:color="auto" w:fill="auto"/>
                  <w:vAlign w:val="center"/>
                </w:tcPr>
                <w:p>
                  <w:pPr>
                    <w:jc w:val="center"/>
                    <w:rPr>
                      <w:rFonts w:hint="eastAsia" w:ascii="Times New Roman" w:hAnsi="Times New Roman" w:eastAsia="仿宋" w:cs="Times New Roman"/>
                      <w:kern w:val="24"/>
                      <w:sz w:val="20"/>
                      <w:szCs w:val="20"/>
                      <w:lang w:val="en-US" w:eastAsia="zh-CN" w:bidi="ar-SA"/>
                    </w:rPr>
                  </w:pPr>
                  <w:r>
                    <w:rPr>
                      <w:rFonts w:hint="eastAsia" w:eastAsia="仿宋"/>
                      <w:kern w:val="24"/>
                      <w:sz w:val="20"/>
                      <w:szCs w:val="20"/>
                    </w:rPr>
                    <w:t>900-099-S59</w:t>
                  </w:r>
                </w:p>
              </w:tc>
              <w:tc>
                <w:tcPr>
                  <w:tcW w:w="341" w:type="pct"/>
                  <w:vAlign w:val="center"/>
                </w:tcPr>
                <w:p>
                  <w:pPr>
                    <w:pStyle w:val="33"/>
                    <w:adjustRightInd w:val="0"/>
                    <w:snapToGrid w:val="0"/>
                    <w:rPr>
                      <w:rFonts w:hint="default" w:ascii="Times New Roman" w:hAnsi="Times New Roman" w:cs="Times New Roman" w:eastAsiaTheme="minorEastAsia"/>
                      <w:b w:val="0"/>
                      <w:bCs w:val="0"/>
                      <w:color w:val="auto"/>
                      <w:sz w:val="20"/>
                      <w:szCs w:val="20"/>
                      <w:lang w:val="en-US" w:eastAsia="zh-CN"/>
                    </w:rPr>
                  </w:pPr>
                  <w:r>
                    <w:rPr>
                      <w:rFonts w:hint="eastAsia" w:ascii="Times New Roman" w:hAnsi="Times New Roman" w:cs="Times New Roman" w:eastAsiaTheme="minorEastAsia"/>
                      <w:b w:val="0"/>
                      <w:bCs w:val="0"/>
                      <w:color w:val="auto"/>
                      <w:sz w:val="20"/>
                      <w:szCs w:val="20"/>
                      <w:lang w:val="en-US" w:eastAsia="zh-CN"/>
                    </w:rPr>
                    <w:t>6.998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5</w:t>
                  </w:r>
                </w:p>
              </w:tc>
              <w:tc>
                <w:tcPr>
                  <w:tcW w:w="674"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rPr>
                    <w:t>纯水制备废滤芯</w:t>
                  </w:r>
                  <w:r>
                    <w:rPr>
                      <w:rFonts w:hint="eastAsia" w:ascii="Times New Roman" w:hAnsi="Times New Roman" w:cs="Times New Roman"/>
                      <w:b w:val="0"/>
                      <w:color w:val="auto"/>
                      <w:sz w:val="20"/>
                      <w:szCs w:val="20"/>
                      <w:lang w:eastAsia="zh-CN"/>
                    </w:rPr>
                    <w:t>、</w:t>
                  </w:r>
                  <w:r>
                    <w:rPr>
                      <w:rFonts w:hint="eastAsia" w:ascii="Times New Roman" w:hAnsi="Times New Roman" w:cs="Times New Roman"/>
                      <w:b w:val="0"/>
                      <w:color w:val="auto"/>
                      <w:sz w:val="20"/>
                      <w:szCs w:val="20"/>
                      <w:lang w:val="en-US" w:eastAsia="zh-CN"/>
                    </w:rPr>
                    <w:t>RO膜</w:t>
                  </w:r>
                </w:p>
              </w:tc>
              <w:tc>
                <w:tcPr>
                  <w:tcW w:w="305" w:type="pct"/>
                  <w:vMerge w:val="continue"/>
                  <w:vAlign w:val="center"/>
                </w:tcPr>
                <w:p>
                  <w:pPr>
                    <w:pStyle w:val="33"/>
                    <w:adjustRightInd w:val="0"/>
                    <w:snapToGrid w:val="0"/>
                    <w:rPr>
                      <w:rFonts w:ascii="Times New Roman" w:hAnsi="Times New Roman" w:cs="Times New Roman"/>
                      <w:b w:val="0"/>
                      <w:color w:val="auto"/>
                      <w:sz w:val="20"/>
                      <w:szCs w:val="20"/>
                    </w:rPr>
                  </w:pPr>
                </w:p>
              </w:tc>
              <w:tc>
                <w:tcPr>
                  <w:tcW w:w="546"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纯水制备</w:t>
                  </w:r>
                </w:p>
              </w:tc>
              <w:tc>
                <w:tcPr>
                  <w:tcW w:w="299"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固</w:t>
                  </w:r>
                </w:p>
              </w:tc>
              <w:tc>
                <w:tcPr>
                  <w:tcW w:w="579"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lang w:val="en-US"/>
                    </w:rPr>
                    <w:t>废离子交换树脂、废RO膜</w:t>
                  </w:r>
                </w:p>
              </w:tc>
              <w:tc>
                <w:tcPr>
                  <w:tcW w:w="541"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w:t>
                  </w:r>
                </w:p>
              </w:tc>
              <w:tc>
                <w:tcPr>
                  <w:tcW w:w="417"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w:t>
                  </w:r>
                </w:p>
              </w:tc>
              <w:tc>
                <w:tcPr>
                  <w:tcW w:w="385"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SW59</w:t>
                  </w:r>
                </w:p>
              </w:tc>
              <w:tc>
                <w:tcPr>
                  <w:tcW w:w="699"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900-009-S59</w:t>
                  </w:r>
                </w:p>
              </w:tc>
              <w:tc>
                <w:tcPr>
                  <w:tcW w:w="341"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6</w:t>
                  </w:r>
                </w:p>
              </w:tc>
              <w:tc>
                <w:tcPr>
                  <w:tcW w:w="674" w:type="pct"/>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废滤网</w:t>
                  </w:r>
                </w:p>
              </w:tc>
              <w:tc>
                <w:tcPr>
                  <w:tcW w:w="305" w:type="pct"/>
                  <w:vMerge w:val="continue"/>
                  <w:vAlign w:val="center"/>
                </w:tcPr>
                <w:p>
                  <w:pPr>
                    <w:pStyle w:val="33"/>
                    <w:adjustRightInd w:val="0"/>
                    <w:snapToGrid w:val="0"/>
                    <w:rPr>
                      <w:rFonts w:ascii="Times New Roman" w:hAnsi="Times New Roman" w:cs="Times New Roman"/>
                      <w:b w:val="0"/>
                      <w:color w:val="auto"/>
                      <w:sz w:val="20"/>
                      <w:szCs w:val="20"/>
                    </w:rPr>
                  </w:pPr>
                </w:p>
              </w:tc>
              <w:tc>
                <w:tcPr>
                  <w:tcW w:w="546"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预缩</w:t>
                  </w:r>
                </w:p>
              </w:tc>
              <w:tc>
                <w:tcPr>
                  <w:tcW w:w="299" w:type="pct"/>
                  <w:shd w:val="clear" w:color="auto" w:fill="auto"/>
                  <w:vAlign w:val="center"/>
                </w:tcPr>
                <w:p>
                  <w:pPr>
                    <w:adjustRightInd w:val="0"/>
                    <w:snapToGrid w:val="0"/>
                    <w:jc w:val="center"/>
                    <w:rPr>
                      <w:rFonts w:hint="default" w:ascii="Times New Roman" w:hAnsi="Times New Roman" w:cs="Times New Roman"/>
                      <w:b w:val="0"/>
                      <w:bCs w:val="0"/>
                      <w:color w:val="auto"/>
                      <w:sz w:val="20"/>
                      <w:szCs w:val="20"/>
                      <w:lang w:val="en-US" w:eastAsia="zh-CN"/>
                    </w:rPr>
                  </w:pPr>
                  <w:r>
                    <w:rPr>
                      <w:rFonts w:hint="eastAsia" w:cs="Times New Roman"/>
                      <w:b w:val="0"/>
                      <w:bCs w:val="0"/>
                      <w:color w:val="auto"/>
                      <w:sz w:val="20"/>
                      <w:szCs w:val="20"/>
                      <w:lang w:val="en-US" w:eastAsia="zh-CN"/>
                    </w:rPr>
                    <w:t>固</w:t>
                  </w:r>
                </w:p>
              </w:tc>
              <w:tc>
                <w:tcPr>
                  <w:tcW w:w="579" w:type="pct"/>
                  <w:shd w:val="clear" w:color="auto" w:fill="auto"/>
                  <w:vAlign w:val="center"/>
                </w:tcPr>
                <w:p>
                  <w:pPr>
                    <w:pStyle w:val="33"/>
                    <w:adjustRightInd w:val="0"/>
                    <w:snapToGrid w:val="0"/>
                    <w:rPr>
                      <w:rFonts w:hint="eastAsia"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滤网、</w:t>
                  </w:r>
                  <w:r>
                    <w:rPr>
                      <w:rFonts w:hint="eastAsia" w:ascii="Times New Roman" w:hAnsi="Times New Roman" w:eastAsia="宋体" w:cs="Times New Roman"/>
                      <w:b w:val="0"/>
                      <w:bCs w:val="0"/>
                      <w:color w:val="auto"/>
                      <w:sz w:val="20"/>
                      <w:szCs w:val="20"/>
                      <w:lang w:val="en-US" w:eastAsia="zh-CN"/>
                    </w:rPr>
                    <w:t>羊毛纤维</w:t>
                  </w:r>
                </w:p>
              </w:tc>
              <w:tc>
                <w:tcPr>
                  <w:tcW w:w="541" w:type="pct"/>
                  <w:shd w:val="clear" w:color="auto" w:fill="auto"/>
                  <w:vAlign w:val="center"/>
                </w:tcPr>
                <w:p>
                  <w:pPr>
                    <w:pStyle w:val="33"/>
                    <w:adjustRightInd w:val="0"/>
                    <w:snapToGrid w:val="0"/>
                    <w:rPr>
                      <w:rFonts w:hint="default" w:ascii="Times New Roman" w:hAnsi="Times New Roman"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w:t>
                  </w:r>
                </w:p>
              </w:tc>
              <w:tc>
                <w:tcPr>
                  <w:tcW w:w="417" w:type="pct"/>
                  <w:shd w:val="clear" w:color="auto" w:fill="auto"/>
                  <w:vAlign w:val="center"/>
                </w:tcPr>
                <w:p>
                  <w:pPr>
                    <w:pStyle w:val="33"/>
                    <w:adjustRightInd w:val="0"/>
                    <w:snapToGrid w:val="0"/>
                    <w:rPr>
                      <w:rFonts w:hint="default" w:ascii="Times New Roman" w:hAnsi="Times New Roman"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w:t>
                  </w:r>
                </w:p>
              </w:tc>
              <w:tc>
                <w:tcPr>
                  <w:tcW w:w="385" w:type="pct"/>
                  <w:shd w:val="clear" w:color="auto" w:fill="auto"/>
                  <w:vAlign w:val="center"/>
                </w:tcPr>
                <w:p>
                  <w:pPr>
                    <w:pStyle w:val="33"/>
                    <w:tabs>
                      <w:tab w:val="left" w:pos="235"/>
                    </w:tabs>
                    <w:adjustRightInd w:val="0"/>
                    <w:snapToGrid w:val="0"/>
                    <w:jc w:val="center"/>
                    <w:rPr>
                      <w:rFonts w:hint="eastAsia" w:ascii="Times New Roman" w:hAnsi="Times New Roman"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SW59</w:t>
                  </w:r>
                </w:p>
              </w:tc>
              <w:tc>
                <w:tcPr>
                  <w:tcW w:w="699" w:type="pct"/>
                  <w:shd w:val="clear" w:color="auto" w:fill="auto"/>
                  <w:vAlign w:val="center"/>
                </w:tcPr>
                <w:p>
                  <w:pPr>
                    <w:pStyle w:val="33"/>
                    <w:adjustRightInd w:val="0"/>
                    <w:snapToGrid w:val="0"/>
                    <w:rPr>
                      <w:rFonts w:hint="default" w:ascii="Times New Roman" w:hAnsi="Times New Roman"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900-009-59</w:t>
                  </w:r>
                </w:p>
              </w:tc>
              <w:tc>
                <w:tcPr>
                  <w:tcW w:w="341"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jc w:val="center"/>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7</w:t>
                  </w:r>
                </w:p>
              </w:tc>
              <w:tc>
                <w:tcPr>
                  <w:tcW w:w="674" w:type="pct"/>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脱硫渣</w:t>
                  </w:r>
                </w:p>
              </w:tc>
              <w:tc>
                <w:tcPr>
                  <w:tcW w:w="305" w:type="pct"/>
                  <w:vMerge w:val="continue"/>
                  <w:vAlign w:val="center"/>
                </w:tcPr>
                <w:p>
                  <w:pPr>
                    <w:pStyle w:val="33"/>
                    <w:adjustRightInd w:val="0"/>
                    <w:snapToGrid w:val="0"/>
                    <w:rPr>
                      <w:rFonts w:ascii="Times New Roman" w:hAnsi="Times New Roman" w:cs="Times New Roman"/>
                      <w:b w:val="0"/>
                      <w:color w:val="auto"/>
                      <w:sz w:val="20"/>
                      <w:szCs w:val="20"/>
                    </w:rPr>
                  </w:pPr>
                </w:p>
              </w:tc>
              <w:tc>
                <w:tcPr>
                  <w:tcW w:w="546" w:type="pct"/>
                  <w:shd w:val="clear" w:color="auto" w:fill="auto"/>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废气处理</w:t>
                  </w:r>
                </w:p>
              </w:tc>
              <w:tc>
                <w:tcPr>
                  <w:tcW w:w="299" w:type="pct"/>
                  <w:shd w:val="clear" w:color="auto" w:fill="auto"/>
                  <w:vAlign w:val="center"/>
                </w:tcPr>
                <w:p>
                  <w:pPr>
                    <w:adjustRightInd w:val="0"/>
                    <w:snapToGrid w:val="0"/>
                    <w:jc w:val="center"/>
                    <w:rPr>
                      <w:rFonts w:hint="eastAsia" w:ascii="Times New Roman" w:hAnsi="Times New Roman" w:eastAsia="宋体" w:cs="Times New Roman"/>
                      <w:b w:val="0"/>
                      <w:bCs w:val="0"/>
                      <w:color w:val="auto"/>
                      <w:kern w:val="2"/>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eastAsia="宋体" w:cs="Times New Roman"/>
                      <w:b w:val="0"/>
                      <w:bCs w:val="0"/>
                      <w:color w:val="auto"/>
                      <w:sz w:val="20"/>
                      <w:szCs w:val="20"/>
                      <w:lang w:val="en-US" w:eastAsia="zh-CN"/>
                    </w:rPr>
                    <w:t>亚硫酸钙、硫酸钙、碳酸钙</w:t>
                  </w:r>
                </w:p>
              </w:tc>
              <w:tc>
                <w:tcPr>
                  <w:tcW w:w="541" w:type="pct"/>
                  <w:shd w:val="clear" w:color="auto" w:fill="auto"/>
                  <w:vAlign w:val="center"/>
                </w:tcPr>
                <w:p>
                  <w:pPr>
                    <w:pStyle w:val="33"/>
                    <w:adjustRightInd w:val="0"/>
                    <w:snapToGrid w:val="0"/>
                    <w:rPr>
                      <w:rFonts w:hint="eastAsia"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w:t>
                  </w:r>
                </w:p>
              </w:tc>
              <w:tc>
                <w:tcPr>
                  <w:tcW w:w="417" w:type="pct"/>
                  <w:shd w:val="clear" w:color="auto" w:fill="auto"/>
                  <w:vAlign w:val="center"/>
                </w:tcPr>
                <w:p>
                  <w:pPr>
                    <w:pStyle w:val="33"/>
                    <w:adjustRightInd w:val="0"/>
                    <w:snapToGrid w:val="0"/>
                    <w:rPr>
                      <w:rFonts w:hint="eastAsia"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w:t>
                  </w:r>
                </w:p>
              </w:tc>
              <w:tc>
                <w:tcPr>
                  <w:tcW w:w="385" w:type="pct"/>
                  <w:shd w:val="clear" w:color="auto" w:fill="auto"/>
                  <w:vAlign w:val="center"/>
                </w:tcPr>
                <w:p>
                  <w:pPr>
                    <w:pStyle w:val="33"/>
                    <w:tabs>
                      <w:tab w:val="left" w:pos="235"/>
                    </w:tabs>
                    <w:adjustRightInd w:val="0"/>
                    <w:snapToGrid w:val="0"/>
                    <w:jc w:val="center"/>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SW06</w:t>
                  </w:r>
                </w:p>
              </w:tc>
              <w:tc>
                <w:tcPr>
                  <w:tcW w:w="699" w:type="pct"/>
                  <w:shd w:val="clear" w:color="auto" w:fill="auto"/>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900-099-06</w:t>
                  </w:r>
                </w:p>
              </w:tc>
              <w:tc>
                <w:tcPr>
                  <w:tcW w:w="341" w:type="pct"/>
                  <w:shd w:val="clear" w:color="auto" w:fill="auto"/>
                  <w:vAlign w:val="center"/>
                </w:tcPr>
                <w:p>
                  <w:pPr>
                    <w:pStyle w:val="33"/>
                    <w:adjustRightInd w:val="0"/>
                    <w:snapToGrid w:val="0"/>
                    <w:rPr>
                      <w:rFonts w:hint="default" w:ascii="Times New Roman" w:hAnsi="Times New Roman" w:cs="Times New Roman"/>
                      <w:b w:val="0"/>
                      <w:color w:val="auto"/>
                      <w:sz w:val="20"/>
                      <w:szCs w:val="20"/>
                      <w:lang w:val="en-US"/>
                    </w:rPr>
                  </w:pPr>
                  <w:r>
                    <w:rPr>
                      <w:rFonts w:hint="eastAsia" w:ascii="Times New Roman" w:hAnsi="Times New Roman" w:cs="Times New Roman"/>
                      <w:b w:val="0"/>
                      <w:bCs w:val="0"/>
                      <w:color w:val="auto"/>
                      <w:sz w:val="20"/>
                      <w:szCs w:val="20"/>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8</w:t>
                  </w:r>
                </w:p>
              </w:tc>
              <w:tc>
                <w:tcPr>
                  <w:tcW w:w="674" w:type="pct"/>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废导热油</w:t>
                  </w:r>
                </w:p>
              </w:tc>
              <w:tc>
                <w:tcPr>
                  <w:tcW w:w="305" w:type="pct"/>
                  <w:vMerge w:val="restar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危险</w:t>
                  </w:r>
                  <w:r>
                    <w:rPr>
                      <w:rFonts w:hint="eastAsia" w:ascii="Times New Roman" w:hAnsi="Times New Roman" w:cs="Times New Roman"/>
                      <w:b w:val="0"/>
                      <w:bCs w:val="0"/>
                      <w:color w:val="auto"/>
                      <w:sz w:val="20"/>
                      <w:szCs w:val="20"/>
                    </w:rPr>
                    <w:t>固废</w:t>
                  </w:r>
                </w:p>
              </w:tc>
              <w:tc>
                <w:tcPr>
                  <w:tcW w:w="546"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导热油炉燃烧</w:t>
                  </w:r>
                </w:p>
              </w:tc>
              <w:tc>
                <w:tcPr>
                  <w:tcW w:w="299" w:type="pc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color w:val="auto"/>
                      <w:sz w:val="20"/>
                      <w:szCs w:val="20"/>
                    </w:rPr>
                    <w:t>固</w:t>
                  </w:r>
                </w:p>
              </w:tc>
              <w:tc>
                <w:tcPr>
                  <w:tcW w:w="579"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导热油</w:t>
                  </w:r>
                </w:p>
              </w:tc>
              <w:tc>
                <w:tcPr>
                  <w:tcW w:w="541"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导热油</w:t>
                  </w:r>
                </w:p>
              </w:tc>
              <w:tc>
                <w:tcPr>
                  <w:tcW w:w="417" w:type="pct"/>
                  <w:shd w:val="clear" w:color="auto" w:fill="auto"/>
                  <w:vAlign w:val="center"/>
                </w:tcPr>
                <w:p>
                  <w:pPr>
                    <w:jc w:val="center"/>
                    <w:rPr>
                      <w:rFonts w:ascii="Times New Roman" w:hAnsi="Times New Roman" w:eastAsia="仿宋" w:cs="Times New Roman"/>
                      <w:kern w:val="2"/>
                      <w:sz w:val="20"/>
                      <w:szCs w:val="20"/>
                      <w:lang w:val="en-US" w:eastAsia="zh-CN" w:bidi="ar-SA"/>
                    </w:rPr>
                  </w:pPr>
                  <w:r>
                    <w:rPr>
                      <w:bCs/>
                      <w:kern w:val="0"/>
                      <w:sz w:val="20"/>
                      <w:szCs w:val="20"/>
                    </w:rPr>
                    <w:t>T</w:t>
                  </w:r>
                  <w:r>
                    <w:rPr>
                      <w:rFonts w:hint="eastAsia"/>
                      <w:bCs/>
                      <w:kern w:val="0"/>
                      <w:sz w:val="20"/>
                      <w:szCs w:val="20"/>
                    </w:rPr>
                    <w:t>，I</w:t>
                  </w:r>
                </w:p>
              </w:tc>
              <w:tc>
                <w:tcPr>
                  <w:tcW w:w="385"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sz w:val="20"/>
                      <w:szCs w:val="20"/>
                    </w:rPr>
                    <w:t>HW</w:t>
                  </w:r>
                  <w:r>
                    <w:rPr>
                      <w:rFonts w:hint="eastAsia"/>
                      <w:sz w:val="20"/>
                      <w:szCs w:val="20"/>
                    </w:rPr>
                    <w:t>08</w:t>
                  </w:r>
                </w:p>
              </w:tc>
              <w:tc>
                <w:tcPr>
                  <w:tcW w:w="699"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kern w:val="0"/>
                      <w:sz w:val="20"/>
                      <w:szCs w:val="20"/>
                    </w:rPr>
                    <w:t>900-</w:t>
                  </w:r>
                  <w:r>
                    <w:rPr>
                      <w:rFonts w:hint="eastAsia"/>
                      <w:kern w:val="0"/>
                      <w:sz w:val="20"/>
                      <w:szCs w:val="20"/>
                    </w:rPr>
                    <w:t>249</w:t>
                  </w:r>
                  <w:r>
                    <w:rPr>
                      <w:kern w:val="0"/>
                      <w:sz w:val="20"/>
                      <w:szCs w:val="20"/>
                    </w:rPr>
                    <w:t>-</w:t>
                  </w:r>
                  <w:r>
                    <w:rPr>
                      <w:rFonts w:hint="eastAsia"/>
                      <w:kern w:val="0"/>
                      <w:sz w:val="20"/>
                      <w:szCs w:val="20"/>
                    </w:rPr>
                    <w:t>08</w:t>
                  </w:r>
                </w:p>
              </w:tc>
              <w:tc>
                <w:tcPr>
                  <w:tcW w:w="341" w:type="pct"/>
                  <w:vAlign w:val="center"/>
                </w:tcPr>
                <w:p>
                  <w:pPr>
                    <w:pStyle w:val="33"/>
                    <w:adjustRightInd w:val="0"/>
                    <w:snapToGrid w:val="0"/>
                    <w:rPr>
                      <w:rFonts w:hint="eastAsia" w:ascii="Times New Roman" w:hAnsi="Times New Roman" w:eastAsia="宋体" w:cs="Times New Roman"/>
                      <w:b w:val="0"/>
                      <w:bCs w:val="0"/>
                      <w:color w:val="auto"/>
                      <w:sz w:val="20"/>
                      <w:szCs w:val="20"/>
                      <w:lang w:eastAsia="zh-CN"/>
                    </w:rPr>
                  </w:pPr>
                  <w:r>
                    <w:rPr>
                      <w:rFonts w:hint="eastAsia" w:ascii="Times New Roman" w:hAnsi="Times New Roman" w:eastAsia="等线" w:cs="Times New Roman"/>
                      <w:b w:val="0"/>
                      <w:bCs w:val="0"/>
                      <w:color w:val="auto"/>
                      <w:sz w:val="20"/>
                      <w:szCs w:val="20"/>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9</w:t>
                  </w:r>
                </w:p>
              </w:tc>
              <w:tc>
                <w:tcPr>
                  <w:tcW w:w="674" w:type="pct"/>
                  <w:vAlign w:val="center"/>
                </w:tcPr>
                <w:p>
                  <w:pPr>
                    <w:pStyle w:val="33"/>
                    <w:adjustRightInd w:val="0"/>
                    <w:snapToGrid w:val="0"/>
                    <w:rPr>
                      <w:rFonts w:ascii="Times New Roman" w:hAnsi="Times New Roman" w:cs="Times New Roman"/>
                      <w:b w:val="0"/>
                      <w:bCs w:val="0"/>
                      <w:color w:val="auto"/>
                      <w:sz w:val="20"/>
                      <w:szCs w:val="20"/>
                    </w:rPr>
                  </w:pPr>
                  <w:r>
                    <w:rPr>
                      <w:rFonts w:hint="eastAsia" w:hAnsi="宋体" w:cs="宋体"/>
                      <w:b w:val="0"/>
                      <w:bCs w:val="0"/>
                      <w:sz w:val="20"/>
                      <w:szCs w:val="20"/>
                    </w:rPr>
                    <w:t>含油抹布手套</w:t>
                  </w:r>
                </w:p>
              </w:tc>
              <w:tc>
                <w:tcPr>
                  <w:tcW w:w="305"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546"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b w:val="0"/>
                      <w:bCs w:val="0"/>
                      <w:color w:val="auto"/>
                      <w:sz w:val="20"/>
                      <w:szCs w:val="20"/>
                      <w:lang w:val="en-US" w:eastAsia="zh-CN"/>
                    </w:rPr>
                    <w:t>设备维护</w:t>
                  </w:r>
                </w:p>
              </w:tc>
              <w:tc>
                <w:tcPr>
                  <w:tcW w:w="29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hAnsi="宋体" w:cs="宋体"/>
                      <w:b w:val="0"/>
                      <w:bCs w:val="0"/>
                      <w:sz w:val="20"/>
                      <w:szCs w:val="20"/>
                    </w:rPr>
                    <w:t>棉、油</w:t>
                  </w:r>
                </w:p>
              </w:tc>
              <w:tc>
                <w:tcPr>
                  <w:tcW w:w="541" w:type="pct"/>
                  <w:vAlign w:val="center"/>
                </w:tcPr>
                <w:p>
                  <w:pPr>
                    <w:adjustRightInd w:val="0"/>
                    <w:snapToGrid w:val="0"/>
                    <w:jc w:val="center"/>
                    <w:rPr>
                      <w:color w:val="auto"/>
                      <w:kern w:val="0"/>
                      <w:sz w:val="20"/>
                      <w:szCs w:val="20"/>
                    </w:rPr>
                  </w:pPr>
                  <w:r>
                    <w:rPr>
                      <w:rFonts w:hint="eastAsia" w:hAnsi="宋体" w:cs="宋体"/>
                      <w:b w:val="0"/>
                      <w:bCs w:val="0"/>
                      <w:sz w:val="20"/>
                      <w:szCs w:val="20"/>
                    </w:rPr>
                    <w:t>棉、油</w:t>
                  </w:r>
                </w:p>
              </w:tc>
              <w:tc>
                <w:tcPr>
                  <w:tcW w:w="417"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bCs/>
                      <w:kern w:val="0"/>
                      <w:sz w:val="20"/>
                      <w:szCs w:val="20"/>
                    </w:rPr>
                    <w:t>T/In</w:t>
                  </w:r>
                </w:p>
              </w:tc>
              <w:tc>
                <w:tcPr>
                  <w:tcW w:w="385"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sz w:val="20"/>
                      <w:szCs w:val="20"/>
                    </w:rPr>
                    <w:t>HW49</w:t>
                  </w:r>
                </w:p>
              </w:tc>
              <w:tc>
                <w:tcPr>
                  <w:tcW w:w="699"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kern w:val="0"/>
                      <w:sz w:val="20"/>
                      <w:szCs w:val="20"/>
                    </w:rPr>
                    <w:t>900-041-49</w:t>
                  </w:r>
                </w:p>
              </w:tc>
              <w:tc>
                <w:tcPr>
                  <w:tcW w:w="341" w:type="pct"/>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rPr>
                    <w:t>1</w:t>
                  </w:r>
                  <w:r>
                    <w:rPr>
                      <w:rFonts w:hint="eastAsia" w:ascii="Times New Roman" w:hAnsi="Times New Roman" w:cs="Times New Roman"/>
                      <w:b w:val="0"/>
                      <w:bCs w:val="0"/>
                      <w:color w:val="auto"/>
                      <w:sz w:val="20"/>
                      <w:szCs w:val="20"/>
                      <w:lang w:val="en-US" w:eastAsia="zh-CN"/>
                    </w:rPr>
                    <w:t>0</w:t>
                  </w:r>
                </w:p>
              </w:tc>
              <w:tc>
                <w:tcPr>
                  <w:tcW w:w="674"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废机油</w:t>
                  </w:r>
                </w:p>
              </w:tc>
              <w:tc>
                <w:tcPr>
                  <w:tcW w:w="305" w:type="pct"/>
                  <w:vMerge w:val="continue"/>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p>
              </w:tc>
              <w:tc>
                <w:tcPr>
                  <w:tcW w:w="546"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设备维护</w:t>
                  </w:r>
                </w:p>
              </w:tc>
              <w:tc>
                <w:tcPr>
                  <w:tcW w:w="299"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液</w:t>
                  </w:r>
                </w:p>
              </w:tc>
              <w:tc>
                <w:tcPr>
                  <w:tcW w:w="579"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润滑油</w:t>
                  </w:r>
                </w:p>
              </w:tc>
              <w:tc>
                <w:tcPr>
                  <w:tcW w:w="541"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b w:val="0"/>
                      <w:bCs w:val="0"/>
                      <w:sz w:val="20"/>
                      <w:szCs w:val="20"/>
                    </w:rPr>
                    <w:t>润滑油</w:t>
                  </w:r>
                </w:p>
              </w:tc>
              <w:tc>
                <w:tcPr>
                  <w:tcW w:w="417" w:type="pct"/>
                  <w:shd w:val="clear" w:color="auto" w:fill="auto"/>
                  <w:vAlign w:val="center"/>
                </w:tcPr>
                <w:p>
                  <w:pPr>
                    <w:jc w:val="center"/>
                    <w:rPr>
                      <w:rFonts w:ascii="Times New Roman" w:hAnsi="Times New Roman" w:eastAsia="仿宋" w:cs="Times New Roman"/>
                      <w:kern w:val="2"/>
                      <w:sz w:val="20"/>
                      <w:szCs w:val="20"/>
                      <w:lang w:val="en-US" w:eastAsia="zh-CN" w:bidi="ar-SA"/>
                    </w:rPr>
                  </w:pPr>
                  <w:r>
                    <w:rPr>
                      <w:bCs/>
                      <w:kern w:val="0"/>
                      <w:sz w:val="20"/>
                      <w:szCs w:val="20"/>
                    </w:rPr>
                    <w:t>T</w:t>
                  </w:r>
                  <w:r>
                    <w:rPr>
                      <w:rFonts w:hint="eastAsia"/>
                      <w:bCs/>
                      <w:kern w:val="0"/>
                      <w:sz w:val="20"/>
                      <w:szCs w:val="20"/>
                    </w:rPr>
                    <w:t>，I</w:t>
                  </w:r>
                </w:p>
              </w:tc>
              <w:tc>
                <w:tcPr>
                  <w:tcW w:w="385"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sz w:val="20"/>
                      <w:szCs w:val="20"/>
                    </w:rPr>
                    <w:t>HW</w:t>
                  </w:r>
                  <w:r>
                    <w:rPr>
                      <w:rFonts w:hint="eastAsia"/>
                      <w:sz w:val="20"/>
                      <w:szCs w:val="20"/>
                    </w:rPr>
                    <w:t>08</w:t>
                  </w:r>
                </w:p>
              </w:tc>
              <w:tc>
                <w:tcPr>
                  <w:tcW w:w="699"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kern w:val="0"/>
                      <w:sz w:val="20"/>
                      <w:szCs w:val="20"/>
                    </w:rPr>
                    <w:t>900-</w:t>
                  </w:r>
                  <w:r>
                    <w:rPr>
                      <w:rFonts w:hint="eastAsia"/>
                      <w:kern w:val="0"/>
                      <w:sz w:val="20"/>
                      <w:szCs w:val="20"/>
                    </w:rPr>
                    <w:t>218</w:t>
                  </w:r>
                  <w:r>
                    <w:rPr>
                      <w:kern w:val="0"/>
                      <w:sz w:val="20"/>
                      <w:szCs w:val="20"/>
                    </w:rPr>
                    <w:t>-</w:t>
                  </w:r>
                  <w:r>
                    <w:rPr>
                      <w:rFonts w:hint="eastAsia"/>
                      <w:kern w:val="0"/>
                      <w:sz w:val="20"/>
                      <w:szCs w:val="20"/>
                    </w:rPr>
                    <w:t>08</w:t>
                  </w:r>
                </w:p>
              </w:tc>
              <w:tc>
                <w:tcPr>
                  <w:tcW w:w="341"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rPr>
                    <w:t>1</w:t>
                  </w:r>
                  <w:r>
                    <w:rPr>
                      <w:rFonts w:hint="eastAsia" w:ascii="Times New Roman" w:hAnsi="Times New Roman" w:cs="Times New Roman"/>
                      <w:b w:val="0"/>
                      <w:bCs w:val="0"/>
                      <w:color w:val="auto"/>
                      <w:sz w:val="20"/>
                      <w:szCs w:val="20"/>
                      <w:lang w:val="en-US" w:eastAsia="zh-CN"/>
                    </w:rPr>
                    <w:t>1</w:t>
                  </w:r>
                </w:p>
              </w:tc>
              <w:tc>
                <w:tcPr>
                  <w:tcW w:w="674" w:type="pct"/>
                  <w:vAlign w:val="center"/>
                </w:tcPr>
                <w:p>
                  <w:pPr>
                    <w:autoSpaceDE w:val="0"/>
                    <w:autoSpaceDN w:val="0"/>
                    <w:snapToGrid w:val="0"/>
                    <w:jc w:val="center"/>
                    <w:rPr>
                      <w:color w:val="auto"/>
                      <w:kern w:val="0"/>
                      <w:sz w:val="20"/>
                      <w:szCs w:val="20"/>
                    </w:rPr>
                  </w:pPr>
                  <w:r>
                    <w:rPr>
                      <w:rFonts w:hint="eastAsia" w:ascii="Times New Roman" w:hAnsi="Times New Roman" w:cs="Times New Roman"/>
                      <w:b w:val="0"/>
                      <w:bCs w:val="0"/>
                      <w:color w:val="auto"/>
                      <w:sz w:val="20"/>
                      <w:szCs w:val="20"/>
                      <w:lang w:val="en-US" w:eastAsia="zh-CN"/>
                    </w:rPr>
                    <w:t>定型废气处理废油</w:t>
                  </w:r>
                </w:p>
              </w:tc>
              <w:tc>
                <w:tcPr>
                  <w:tcW w:w="305" w:type="pct"/>
                  <w:vMerge w:val="continue"/>
                  <w:vAlign w:val="center"/>
                </w:tcPr>
                <w:p>
                  <w:pPr>
                    <w:autoSpaceDE w:val="0"/>
                    <w:autoSpaceDN w:val="0"/>
                    <w:snapToGrid w:val="0"/>
                    <w:jc w:val="center"/>
                    <w:rPr>
                      <w:color w:val="auto"/>
                      <w:kern w:val="0"/>
                      <w:sz w:val="20"/>
                      <w:szCs w:val="20"/>
                    </w:rPr>
                  </w:pPr>
                </w:p>
              </w:tc>
              <w:tc>
                <w:tcPr>
                  <w:tcW w:w="546"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废气处理</w:t>
                  </w:r>
                </w:p>
              </w:tc>
              <w:tc>
                <w:tcPr>
                  <w:tcW w:w="299"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液</w:t>
                  </w:r>
                </w:p>
              </w:tc>
              <w:tc>
                <w:tcPr>
                  <w:tcW w:w="579" w:type="pct"/>
                  <w:shd w:val="clear" w:color="auto" w:fill="auto"/>
                  <w:vAlign w:val="center"/>
                </w:tcPr>
                <w:p>
                  <w:pPr>
                    <w:jc w:val="center"/>
                    <w:rPr>
                      <w:rFonts w:hint="eastAsia" w:ascii="Times New Roman" w:hAnsi="宋体" w:eastAsia="宋体" w:cs="宋体"/>
                      <w:kern w:val="2"/>
                      <w:sz w:val="20"/>
                      <w:szCs w:val="20"/>
                      <w:lang w:val="en-US" w:eastAsia="zh-CN" w:bidi="ar-SA"/>
                    </w:rPr>
                  </w:pPr>
                  <w:r>
                    <w:rPr>
                      <w:rFonts w:hint="eastAsia" w:hAnsi="宋体" w:cs="宋体"/>
                      <w:sz w:val="20"/>
                      <w:szCs w:val="20"/>
                    </w:rPr>
                    <w:t>定型油</w:t>
                  </w:r>
                </w:p>
              </w:tc>
              <w:tc>
                <w:tcPr>
                  <w:tcW w:w="541" w:type="pct"/>
                  <w:vAlign w:val="center"/>
                </w:tcPr>
                <w:p>
                  <w:pPr>
                    <w:pStyle w:val="33"/>
                    <w:adjustRightInd w:val="0"/>
                    <w:snapToGrid w:val="0"/>
                    <w:rPr>
                      <w:rFonts w:ascii="Times New Roman" w:hAnsi="Times New Roman" w:cs="Times New Roman"/>
                      <w:b w:val="0"/>
                      <w:bCs w:val="0"/>
                      <w:color w:val="auto"/>
                      <w:sz w:val="20"/>
                      <w:szCs w:val="20"/>
                    </w:rPr>
                  </w:pPr>
                  <w:r>
                    <w:rPr>
                      <w:rFonts w:hint="eastAsia" w:hAnsi="宋体" w:cs="宋体"/>
                      <w:b w:val="0"/>
                      <w:bCs w:val="0"/>
                      <w:sz w:val="20"/>
                      <w:szCs w:val="20"/>
                    </w:rPr>
                    <w:t>定型油</w:t>
                  </w:r>
                </w:p>
              </w:tc>
              <w:tc>
                <w:tcPr>
                  <w:tcW w:w="417" w:type="pct"/>
                  <w:shd w:val="clear" w:color="auto" w:fill="auto"/>
                  <w:vAlign w:val="center"/>
                </w:tcPr>
                <w:p>
                  <w:pPr>
                    <w:jc w:val="center"/>
                    <w:rPr>
                      <w:rFonts w:hint="eastAsia" w:ascii="Times New Roman" w:hAnsi="Times New Roman" w:eastAsia="宋体" w:cs="Times New Roman"/>
                      <w:bCs/>
                      <w:kern w:val="0"/>
                      <w:sz w:val="20"/>
                      <w:szCs w:val="20"/>
                      <w:lang w:val="en-US" w:eastAsia="zh-CN" w:bidi="ar-SA"/>
                    </w:rPr>
                  </w:pPr>
                  <w:r>
                    <w:rPr>
                      <w:rFonts w:hint="eastAsia"/>
                      <w:bCs/>
                      <w:kern w:val="0"/>
                      <w:sz w:val="20"/>
                      <w:szCs w:val="20"/>
                    </w:rPr>
                    <w:t>T，I</w:t>
                  </w:r>
                </w:p>
              </w:tc>
              <w:tc>
                <w:tcPr>
                  <w:tcW w:w="385" w:type="pct"/>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rPr>
                    <w:t>HW08</w:t>
                  </w:r>
                </w:p>
              </w:tc>
              <w:tc>
                <w:tcPr>
                  <w:tcW w:w="699" w:type="pct"/>
                  <w:shd w:val="clear" w:color="auto" w:fill="auto"/>
                  <w:vAlign w:val="center"/>
                </w:tcPr>
                <w:p>
                  <w:pPr>
                    <w:jc w:val="center"/>
                    <w:rPr>
                      <w:rFonts w:hint="eastAsia" w:ascii="Times New Roman" w:hAnsi="Times New Roman" w:eastAsia="宋体" w:cs="Times New Roman"/>
                      <w:kern w:val="0"/>
                      <w:sz w:val="20"/>
                      <w:szCs w:val="20"/>
                      <w:lang w:val="en-US" w:eastAsia="zh-CN" w:bidi="ar-SA"/>
                    </w:rPr>
                  </w:pPr>
                  <w:r>
                    <w:rPr>
                      <w:rFonts w:hint="eastAsia"/>
                      <w:kern w:val="0"/>
                      <w:sz w:val="20"/>
                      <w:szCs w:val="20"/>
                    </w:rPr>
                    <w:t>900-249-08</w:t>
                  </w:r>
                </w:p>
              </w:tc>
              <w:tc>
                <w:tcPr>
                  <w:tcW w:w="341" w:type="pct"/>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1.231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eastAsia="等线" w:cs="Times New Roman"/>
                      <w:b w:val="0"/>
                      <w:color w:val="auto"/>
                      <w:sz w:val="20"/>
                      <w:szCs w:val="20"/>
                      <w:lang w:val="en-US" w:eastAsia="zh-CN"/>
                    </w:rPr>
                    <w:t>12</w:t>
                  </w:r>
                </w:p>
              </w:tc>
              <w:tc>
                <w:tcPr>
                  <w:tcW w:w="674"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废包装桶</w:t>
                  </w:r>
                </w:p>
              </w:tc>
              <w:tc>
                <w:tcPr>
                  <w:tcW w:w="305"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546"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原料包装</w:t>
                  </w:r>
                </w:p>
              </w:tc>
              <w:tc>
                <w:tcPr>
                  <w:tcW w:w="29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pStyle w:val="33"/>
                    <w:adjustRightInd w:val="0"/>
                    <w:snapToGrid w:val="0"/>
                    <w:jc w:val="center"/>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有机物、桶</w:t>
                  </w:r>
                </w:p>
              </w:tc>
              <w:tc>
                <w:tcPr>
                  <w:tcW w:w="541" w:type="pct"/>
                  <w:shd w:val="clear" w:color="auto" w:fill="auto"/>
                  <w:vAlign w:val="center"/>
                </w:tcPr>
                <w:p>
                  <w:pPr>
                    <w:pStyle w:val="33"/>
                    <w:adjustRightInd w:val="0"/>
                    <w:snapToGrid w:val="0"/>
                    <w:jc w:val="center"/>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有机物、桶</w:t>
                  </w:r>
                </w:p>
              </w:tc>
              <w:tc>
                <w:tcPr>
                  <w:tcW w:w="417"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bCs/>
                      <w:kern w:val="0"/>
                      <w:sz w:val="20"/>
                      <w:szCs w:val="20"/>
                    </w:rPr>
                    <w:t>T/In</w:t>
                  </w:r>
                </w:p>
              </w:tc>
              <w:tc>
                <w:tcPr>
                  <w:tcW w:w="385"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sz w:val="20"/>
                      <w:szCs w:val="20"/>
                    </w:rPr>
                    <w:t>HW49</w:t>
                  </w:r>
                </w:p>
              </w:tc>
              <w:tc>
                <w:tcPr>
                  <w:tcW w:w="699"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kern w:val="0"/>
                      <w:sz w:val="20"/>
                      <w:szCs w:val="20"/>
                    </w:rPr>
                    <w:t>900-041-49</w:t>
                  </w:r>
                </w:p>
              </w:tc>
              <w:tc>
                <w:tcPr>
                  <w:tcW w:w="341" w:type="pct"/>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0.</w:t>
                  </w:r>
                  <w:r>
                    <w:rPr>
                      <w:rFonts w:hint="eastAsia"/>
                      <w:sz w:val="20"/>
                      <w:szCs w:val="20"/>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13</w:t>
                  </w:r>
                </w:p>
              </w:tc>
              <w:tc>
                <w:tcPr>
                  <w:tcW w:w="674"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废油桶</w:t>
                  </w:r>
                </w:p>
              </w:tc>
              <w:tc>
                <w:tcPr>
                  <w:tcW w:w="305"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546"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原料包装</w:t>
                  </w:r>
                </w:p>
              </w:tc>
              <w:tc>
                <w:tcPr>
                  <w:tcW w:w="29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油、桶</w:t>
                  </w:r>
                </w:p>
              </w:tc>
              <w:tc>
                <w:tcPr>
                  <w:tcW w:w="541"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油、桶</w:t>
                  </w:r>
                </w:p>
              </w:tc>
              <w:tc>
                <w:tcPr>
                  <w:tcW w:w="417"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bCs/>
                      <w:kern w:val="0"/>
                      <w:sz w:val="20"/>
                      <w:szCs w:val="20"/>
                    </w:rPr>
                    <w:t>T</w:t>
                  </w:r>
                  <w:r>
                    <w:rPr>
                      <w:rFonts w:hint="eastAsia"/>
                      <w:bCs/>
                      <w:kern w:val="0"/>
                      <w:sz w:val="20"/>
                      <w:szCs w:val="20"/>
                    </w:rPr>
                    <w:t>，I</w:t>
                  </w:r>
                </w:p>
              </w:tc>
              <w:tc>
                <w:tcPr>
                  <w:tcW w:w="385"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sz w:val="20"/>
                      <w:szCs w:val="20"/>
                    </w:rPr>
                    <w:t>HW</w:t>
                  </w:r>
                  <w:r>
                    <w:rPr>
                      <w:rFonts w:hint="eastAsia"/>
                      <w:sz w:val="20"/>
                      <w:szCs w:val="20"/>
                    </w:rPr>
                    <w:t>08</w:t>
                  </w:r>
                </w:p>
              </w:tc>
              <w:tc>
                <w:tcPr>
                  <w:tcW w:w="699"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kern w:val="0"/>
                      <w:sz w:val="20"/>
                      <w:szCs w:val="20"/>
                    </w:rPr>
                    <w:t>900-</w:t>
                  </w:r>
                  <w:r>
                    <w:rPr>
                      <w:rFonts w:hint="eastAsia"/>
                      <w:kern w:val="0"/>
                      <w:sz w:val="20"/>
                      <w:szCs w:val="20"/>
                    </w:rPr>
                    <w:t>249</w:t>
                  </w:r>
                  <w:r>
                    <w:rPr>
                      <w:kern w:val="0"/>
                      <w:sz w:val="20"/>
                      <w:szCs w:val="20"/>
                    </w:rPr>
                    <w:t>-</w:t>
                  </w:r>
                  <w:r>
                    <w:rPr>
                      <w:rFonts w:hint="eastAsia"/>
                      <w:kern w:val="0"/>
                      <w:sz w:val="20"/>
                      <w:szCs w:val="20"/>
                    </w:rPr>
                    <w:t>08</w:t>
                  </w:r>
                </w:p>
              </w:tc>
              <w:tc>
                <w:tcPr>
                  <w:tcW w:w="341" w:type="pct"/>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shd w:val="clear" w:color="auto" w:fill="auto"/>
                  <w:vAlign w:val="center"/>
                </w:tcPr>
                <w:p>
                  <w:pPr>
                    <w:pStyle w:val="33"/>
                    <w:adjustRightInd w:val="0"/>
                    <w:snapToGrid w:val="0"/>
                    <w:rPr>
                      <w:rFonts w:hint="default" w:ascii="Times New Roman" w:hAnsi="Times New Roman" w:eastAsia="等线" w:cs="Times New Roman"/>
                      <w:b w:val="0"/>
                      <w:bCs/>
                      <w:color w:val="auto"/>
                      <w:kern w:val="0"/>
                      <w:sz w:val="20"/>
                      <w:szCs w:val="20"/>
                      <w:lang w:val="en-US" w:eastAsia="zh-CN" w:bidi="ar-SA"/>
                    </w:rPr>
                  </w:pPr>
                  <w:r>
                    <w:rPr>
                      <w:rFonts w:hint="eastAsia" w:ascii="Times New Roman" w:hAnsi="Times New Roman" w:eastAsia="等线" w:cs="Times New Roman"/>
                      <w:b w:val="0"/>
                      <w:color w:val="auto"/>
                      <w:sz w:val="20"/>
                      <w:szCs w:val="20"/>
                      <w:lang w:val="en-US" w:eastAsia="zh-CN"/>
                    </w:rPr>
                    <w:t>14</w:t>
                  </w:r>
                </w:p>
              </w:tc>
              <w:tc>
                <w:tcPr>
                  <w:tcW w:w="674"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废蓄电池</w:t>
                  </w:r>
                </w:p>
              </w:tc>
              <w:tc>
                <w:tcPr>
                  <w:tcW w:w="305"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546"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叉车使用</w:t>
                  </w:r>
                </w:p>
              </w:tc>
              <w:tc>
                <w:tcPr>
                  <w:tcW w:w="299"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固</w:t>
                  </w:r>
                </w:p>
              </w:tc>
              <w:tc>
                <w:tcPr>
                  <w:tcW w:w="579"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电池</w:t>
                  </w:r>
                </w:p>
              </w:tc>
              <w:tc>
                <w:tcPr>
                  <w:tcW w:w="541"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电池</w:t>
                  </w:r>
                </w:p>
              </w:tc>
              <w:tc>
                <w:tcPr>
                  <w:tcW w:w="417" w:type="pct"/>
                  <w:shd w:val="clear" w:color="auto" w:fill="auto"/>
                  <w:vAlign w:val="center"/>
                </w:tcPr>
                <w:p>
                  <w:pPr>
                    <w:jc w:val="center"/>
                    <w:rPr>
                      <w:rFonts w:hint="default" w:eastAsia="宋体"/>
                      <w:bCs/>
                      <w:kern w:val="0"/>
                      <w:sz w:val="20"/>
                      <w:szCs w:val="20"/>
                      <w:lang w:val="en-US" w:eastAsia="zh-CN"/>
                    </w:rPr>
                  </w:pPr>
                  <w:r>
                    <w:rPr>
                      <w:rFonts w:hint="eastAsia"/>
                      <w:bCs/>
                      <w:kern w:val="0"/>
                      <w:sz w:val="20"/>
                      <w:szCs w:val="20"/>
                      <w:lang w:val="en-US" w:eastAsia="zh-CN"/>
                    </w:rPr>
                    <w:t>T，C</w:t>
                  </w:r>
                </w:p>
              </w:tc>
              <w:tc>
                <w:tcPr>
                  <w:tcW w:w="385" w:type="pct"/>
                  <w:shd w:val="clear" w:color="auto" w:fill="auto"/>
                  <w:vAlign w:val="center"/>
                </w:tcPr>
                <w:p>
                  <w:pPr>
                    <w:jc w:val="center"/>
                    <w:rPr>
                      <w:rFonts w:hint="default" w:eastAsia="宋体"/>
                      <w:sz w:val="20"/>
                      <w:szCs w:val="20"/>
                      <w:lang w:val="en-US" w:eastAsia="zh-CN"/>
                    </w:rPr>
                  </w:pPr>
                  <w:r>
                    <w:rPr>
                      <w:rFonts w:hint="eastAsia"/>
                      <w:sz w:val="20"/>
                      <w:szCs w:val="20"/>
                      <w:lang w:val="en-US" w:eastAsia="zh-CN"/>
                    </w:rPr>
                    <w:t>HW31</w:t>
                  </w:r>
                </w:p>
              </w:tc>
              <w:tc>
                <w:tcPr>
                  <w:tcW w:w="699" w:type="pct"/>
                  <w:shd w:val="clear" w:color="auto" w:fill="auto"/>
                  <w:vAlign w:val="center"/>
                </w:tcPr>
                <w:p>
                  <w:pPr>
                    <w:jc w:val="center"/>
                    <w:rPr>
                      <w:rFonts w:hint="default" w:eastAsia="宋体"/>
                      <w:kern w:val="0"/>
                      <w:sz w:val="20"/>
                      <w:szCs w:val="20"/>
                      <w:lang w:val="en-US" w:eastAsia="zh-CN"/>
                    </w:rPr>
                  </w:pPr>
                  <w:r>
                    <w:rPr>
                      <w:rFonts w:hint="eastAsia"/>
                      <w:kern w:val="0"/>
                      <w:sz w:val="20"/>
                      <w:szCs w:val="20"/>
                      <w:lang w:val="en-US" w:eastAsia="zh-CN"/>
                    </w:rPr>
                    <w:t>900-052-31</w:t>
                  </w:r>
                </w:p>
              </w:tc>
              <w:tc>
                <w:tcPr>
                  <w:tcW w:w="341" w:type="pct"/>
                  <w:shd w:val="clear" w:color="auto" w:fill="auto"/>
                  <w:vAlign w:val="center"/>
                </w:tcPr>
                <w:p>
                  <w:pPr>
                    <w:jc w:val="center"/>
                    <w:rPr>
                      <w:rFonts w:hint="default" w:eastAsia="宋体"/>
                      <w:sz w:val="20"/>
                      <w:szCs w:val="20"/>
                      <w:lang w:val="en-US" w:eastAsia="zh-CN"/>
                    </w:rPr>
                  </w:pPr>
                  <w:r>
                    <w:rPr>
                      <w:rFonts w:hint="eastAsia"/>
                      <w:sz w:val="20"/>
                      <w:szCs w:val="20"/>
                      <w:lang w:val="en-US" w:eastAsia="zh-CN"/>
                    </w:rPr>
                    <w:t>0.012t/3a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7" w:type="pct"/>
                  <w:vAlign w:val="center"/>
                </w:tcPr>
                <w:p>
                  <w:pPr>
                    <w:pStyle w:val="33"/>
                    <w:adjustRightInd w:val="0"/>
                    <w:snapToGrid w:val="0"/>
                    <w:rPr>
                      <w:rFonts w:hint="default" w:ascii="Times New Roman" w:hAnsi="Times New Roman" w:eastAsia="等线" w:cs="Times New Roman"/>
                      <w:b w:val="0"/>
                      <w:color w:val="auto"/>
                      <w:sz w:val="20"/>
                      <w:szCs w:val="20"/>
                      <w:lang w:val="en-US" w:eastAsia="zh-CN"/>
                    </w:rPr>
                  </w:pPr>
                  <w:r>
                    <w:rPr>
                      <w:rFonts w:hint="eastAsia" w:ascii="Times New Roman" w:hAnsi="Times New Roman" w:eastAsia="等线" w:cs="Times New Roman"/>
                      <w:b w:val="0"/>
                      <w:color w:val="auto"/>
                      <w:sz w:val="20"/>
                      <w:szCs w:val="20"/>
                      <w:lang w:val="en-US" w:eastAsia="zh-CN"/>
                    </w:rPr>
                    <w:t>15</w:t>
                  </w:r>
                </w:p>
              </w:tc>
              <w:tc>
                <w:tcPr>
                  <w:tcW w:w="674"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color w:val="auto"/>
                      <w:sz w:val="20"/>
                      <w:szCs w:val="20"/>
                    </w:rPr>
                    <w:t>生活垃圾</w:t>
                  </w:r>
                </w:p>
              </w:tc>
              <w:tc>
                <w:tcPr>
                  <w:tcW w:w="305"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color w:val="auto"/>
                      <w:sz w:val="20"/>
                      <w:szCs w:val="20"/>
                    </w:rPr>
                    <w:t>生活垃圾</w:t>
                  </w:r>
                </w:p>
              </w:tc>
              <w:tc>
                <w:tcPr>
                  <w:tcW w:w="546"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color w:val="auto"/>
                      <w:sz w:val="20"/>
                      <w:szCs w:val="20"/>
                    </w:rPr>
                    <w:t>生活</w:t>
                  </w:r>
                </w:p>
              </w:tc>
              <w:tc>
                <w:tcPr>
                  <w:tcW w:w="299"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color w:val="auto"/>
                      <w:sz w:val="20"/>
                      <w:szCs w:val="20"/>
                    </w:rPr>
                    <w:t>固</w:t>
                  </w:r>
                </w:p>
              </w:tc>
              <w:tc>
                <w:tcPr>
                  <w:tcW w:w="579"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color w:val="auto"/>
                      <w:sz w:val="20"/>
                      <w:szCs w:val="20"/>
                    </w:rPr>
                    <w:t>生活垃圾</w:t>
                  </w:r>
                </w:p>
              </w:tc>
              <w:tc>
                <w:tcPr>
                  <w:tcW w:w="541"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color w:val="auto"/>
                      <w:sz w:val="20"/>
                      <w:szCs w:val="20"/>
                    </w:rPr>
                    <w:t>-</w:t>
                  </w:r>
                </w:p>
              </w:tc>
              <w:tc>
                <w:tcPr>
                  <w:tcW w:w="417"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color w:val="auto"/>
                      <w:sz w:val="20"/>
                      <w:szCs w:val="20"/>
                    </w:rPr>
                    <w:t>-</w:t>
                  </w:r>
                </w:p>
              </w:tc>
              <w:tc>
                <w:tcPr>
                  <w:tcW w:w="385" w:type="pct"/>
                  <w:vAlign w:val="center"/>
                </w:tcPr>
                <w:p>
                  <w:pPr>
                    <w:pStyle w:val="33"/>
                    <w:adjustRightInd w:val="0"/>
                    <w:snapToGrid w:val="0"/>
                    <w:rPr>
                      <w:rFonts w:ascii="Times New Roman" w:hAnsi="Times New Roman" w:cs="Times New Roman"/>
                      <w:b w:val="0"/>
                      <w:color w:val="auto"/>
                      <w:sz w:val="20"/>
                      <w:szCs w:val="20"/>
                    </w:rPr>
                  </w:pPr>
                  <w:r>
                    <w:rPr>
                      <w:rFonts w:ascii="Times New Roman" w:hAnsi="Times New Roman" w:cs="Times New Roman"/>
                      <w:b w:val="0"/>
                      <w:color w:val="auto"/>
                      <w:sz w:val="20"/>
                      <w:szCs w:val="20"/>
                    </w:rPr>
                    <w:t>SW64</w:t>
                  </w:r>
                </w:p>
              </w:tc>
              <w:tc>
                <w:tcPr>
                  <w:tcW w:w="699" w:type="pct"/>
                  <w:vAlign w:val="center"/>
                </w:tcPr>
                <w:p>
                  <w:pPr>
                    <w:pStyle w:val="33"/>
                    <w:adjustRightInd w:val="0"/>
                    <w:snapToGrid w:val="0"/>
                    <w:rPr>
                      <w:rFonts w:ascii="Times New Roman" w:hAnsi="Times New Roman" w:cs="Times New Roman"/>
                      <w:b w:val="0"/>
                      <w:color w:val="auto"/>
                      <w:sz w:val="20"/>
                      <w:szCs w:val="20"/>
                    </w:rPr>
                  </w:pPr>
                  <w:r>
                    <w:rPr>
                      <w:rFonts w:ascii="Times New Roman" w:hAnsi="Times New Roman" w:cs="Times New Roman"/>
                      <w:b w:val="0"/>
                      <w:color w:val="auto"/>
                      <w:sz w:val="20"/>
                      <w:szCs w:val="20"/>
                    </w:rPr>
                    <w:t>900-099-S64</w:t>
                  </w:r>
                </w:p>
              </w:tc>
              <w:tc>
                <w:tcPr>
                  <w:tcW w:w="341"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7.5</w:t>
                  </w:r>
                </w:p>
              </w:tc>
            </w:tr>
          </w:tbl>
          <w:p>
            <w:pPr>
              <w:keepNext w:val="0"/>
              <w:keepLines w:val="0"/>
              <w:pageBreakBefore w:val="0"/>
              <w:widowControl w:val="0"/>
              <w:kinsoku/>
              <w:wordWrap/>
              <w:overflowPunct/>
              <w:topLinePunct w:val="0"/>
              <w:autoSpaceDE/>
              <w:autoSpaceDN/>
              <w:bidi w:val="0"/>
              <w:adjustRightInd w:val="0"/>
              <w:snapToGrid w:val="0"/>
              <w:spacing w:before="157" w:beforeLines="50" w:line="360" w:lineRule="auto"/>
              <w:ind w:firstLine="482"/>
              <w:jc w:val="center"/>
              <w:textAlignment w:val="auto"/>
              <w:rPr>
                <w:b/>
                <w:color w:val="auto"/>
                <w:szCs w:val="21"/>
                <w:lang w:val="zh-CN"/>
              </w:rPr>
            </w:pPr>
            <w:r>
              <w:rPr>
                <w:b/>
                <w:color w:val="auto"/>
                <w:szCs w:val="21"/>
                <w:lang w:val="zh-CN"/>
              </w:rPr>
              <w:t>表4</w:t>
            </w:r>
            <w:r>
              <w:rPr>
                <w:rFonts w:hint="eastAsia"/>
                <w:b/>
                <w:color w:val="auto"/>
                <w:szCs w:val="21"/>
              </w:rPr>
              <w:t>-</w:t>
            </w:r>
            <w:r>
              <w:rPr>
                <w:rFonts w:hint="eastAsia"/>
                <w:b/>
                <w:color w:val="auto"/>
                <w:szCs w:val="21"/>
                <w:lang w:val="en-US" w:eastAsia="zh-CN"/>
              </w:rPr>
              <w:t xml:space="preserve">31 </w:t>
            </w:r>
            <w:r>
              <w:rPr>
                <w:b/>
                <w:color w:val="auto"/>
                <w:szCs w:val="21"/>
                <w:lang w:val="zh-CN"/>
              </w:rPr>
              <w:t xml:space="preserve"> 项目固体废物</w:t>
            </w:r>
            <w:r>
              <w:rPr>
                <w:rFonts w:hint="eastAsia"/>
                <w:b/>
                <w:color w:val="auto"/>
                <w:szCs w:val="21"/>
                <w:lang w:val="zh-CN"/>
              </w:rPr>
              <w:t>处置情况表</w:t>
            </w:r>
          </w:p>
          <w:tbl>
            <w:tblPr>
              <w:tblStyle w:val="90"/>
              <w:tblW w:w="4981"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350"/>
              <w:gridCol w:w="1141"/>
              <w:gridCol w:w="271"/>
              <w:gridCol w:w="1168"/>
              <w:gridCol w:w="504"/>
              <w:gridCol w:w="705"/>
              <w:gridCol w:w="648"/>
              <w:gridCol w:w="1178"/>
              <w:gridCol w:w="574"/>
              <w:gridCol w:w="910"/>
              <w:gridCol w:w="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208"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序号</w:t>
                  </w:r>
                </w:p>
              </w:tc>
              <w:tc>
                <w:tcPr>
                  <w:tcW w:w="679"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固废名称</w:t>
                  </w:r>
                </w:p>
              </w:tc>
              <w:tc>
                <w:tcPr>
                  <w:tcW w:w="161"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属性</w:t>
                  </w:r>
                </w:p>
              </w:tc>
              <w:tc>
                <w:tcPr>
                  <w:tcW w:w="695"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产生工序</w:t>
                  </w:r>
                </w:p>
              </w:tc>
              <w:tc>
                <w:tcPr>
                  <w:tcW w:w="300"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形态</w:t>
                  </w:r>
                </w:p>
              </w:tc>
              <w:tc>
                <w:tcPr>
                  <w:tcW w:w="420"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危险特性</w:t>
                  </w:r>
                </w:p>
              </w:tc>
              <w:tc>
                <w:tcPr>
                  <w:tcW w:w="386"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废物</w:t>
                  </w:r>
                </w:p>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类别</w:t>
                  </w:r>
                </w:p>
              </w:tc>
              <w:tc>
                <w:tcPr>
                  <w:tcW w:w="701"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废物代码</w:t>
                  </w:r>
                </w:p>
              </w:tc>
              <w:tc>
                <w:tcPr>
                  <w:tcW w:w="341"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产生量t/a</w:t>
                  </w:r>
                </w:p>
              </w:tc>
              <w:tc>
                <w:tcPr>
                  <w:tcW w:w="542"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利用处置方式或去向</w:t>
                  </w:r>
                </w:p>
              </w:tc>
              <w:tc>
                <w:tcPr>
                  <w:tcW w:w="561" w:type="pct"/>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利用或处置量t/a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bookmarkStart w:id="24" w:name="_Hlk214373768"/>
                  <w:r>
                    <w:rPr>
                      <w:rFonts w:ascii="Times New Roman" w:hAnsi="Times New Roman" w:eastAsia="等线" w:cs="Times New Roman"/>
                      <w:b w:val="0"/>
                      <w:color w:val="auto"/>
                      <w:sz w:val="20"/>
                      <w:szCs w:val="20"/>
                    </w:rPr>
                    <w:t>1</w:t>
                  </w:r>
                </w:p>
              </w:tc>
              <w:tc>
                <w:tcPr>
                  <w:tcW w:w="679" w:type="pct"/>
                  <w:tcBorders>
                    <w:top w:val="single" w:color="auto" w:sz="12" w:space="0"/>
                  </w:tcBorders>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废导热油</w:t>
                  </w:r>
                </w:p>
              </w:tc>
              <w:tc>
                <w:tcPr>
                  <w:tcW w:w="161" w:type="pct"/>
                  <w:vMerge w:val="restart"/>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危险废物</w:t>
                  </w:r>
                </w:p>
              </w:tc>
              <w:tc>
                <w:tcPr>
                  <w:tcW w:w="695" w:type="pct"/>
                  <w:tcBorders>
                    <w:top w:val="single" w:color="auto" w:sz="12" w:space="0"/>
                  </w:tcBorders>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导热油炉燃烧</w:t>
                  </w:r>
                </w:p>
              </w:tc>
              <w:tc>
                <w:tcPr>
                  <w:tcW w:w="300" w:type="pct"/>
                  <w:tcBorders>
                    <w:top w:val="single" w:color="auto" w:sz="12" w:space="0"/>
                  </w:tcBorders>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ascii="Times New Roman" w:hAnsi="Times New Roman" w:cs="Times New Roman"/>
                      <w:b w:val="0"/>
                      <w:color w:val="auto"/>
                      <w:sz w:val="20"/>
                      <w:szCs w:val="20"/>
                    </w:rPr>
                    <w:t>固</w:t>
                  </w:r>
                </w:p>
              </w:tc>
              <w:tc>
                <w:tcPr>
                  <w:tcW w:w="420" w:type="pct"/>
                  <w:tcBorders>
                    <w:top w:val="single" w:color="auto" w:sz="12" w:space="0"/>
                  </w:tcBorders>
                  <w:shd w:val="clear" w:color="auto" w:fill="auto"/>
                  <w:vAlign w:val="center"/>
                </w:tcPr>
                <w:p>
                  <w:pPr>
                    <w:jc w:val="center"/>
                    <w:rPr>
                      <w:rFonts w:ascii="Times New Roman" w:hAnsi="Times New Roman" w:eastAsia="仿宋" w:cs="Times New Roman"/>
                      <w:kern w:val="2"/>
                      <w:sz w:val="20"/>
                      <w:szCs w:val="20"/>
                      <w:lang w:val="en-US" w:eastAsia="zh-CN" w:bidi="ar-SA"/>
                    </w:rPr>
                  </w:pPr>
                  <w:r>
                    <w:rPr>
                      <w:bCs/>
                      <w:kern w:val="0"/>
                      <w:sz w:val="20"/>
                      <w:szCs w:val="20"/>
                    </w:rPr>
                    <w:t>T</w:t>
                  </w:r>
                  <w:r>
                    <w:rPr>
                      <w:rFonts w:hint="eastAsia"/>
                      <w:bCs/>
                      <w:kern w:val="0"/>
                      <w:sz w:val="20"/>
                      <w:szCs w:val="20"/>
                    </w:rPr>
                    <w:t>，I</w:t>
                  </w:r>
                </w:p>
              </w:tc>
              <w:tc>
                <w:tcPr>
                  <w:tcW w:w="386" w:type="pct"/>
                  <w:tcBorders>
                    <w:top w:val="single" w:color="auto" w:sz="12" w:space="0"/>
                  </w:tcBorders>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sz w:val="20"/>
                      <w:szCs w:val="20"/>
                    </w:rPr>
                    <w:t>HW</w:t>
                  </w:r>
                  <w:r>
                    <w:rPr>
                      <w:rFonts w:hint="eastAsia"/>
                      <w:sz w:val="20"/>
                      <w:szCs w:val="20"/>
                    </w:rPr>
                    <w:t>08</w:t>
                  </w:r>
                </w:p>
              </w:tc>
              <w:tc>
                <w:tcPr>
                  <w:tcW w:w="701" w:type="pct"/>
                  <w:tcBorders>
                    <w:top w:val="single" w:color="auto" w:sz="12" w:space="0"/>
                  </w:tcBorders>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kern w:val="0"/>
                      <w:sz w:val="20"/>
                      <w:szCs w:val="20"/>
                    </w:rPr>
                    <w:t>900-</w:t>
                  </w:r>
                  <w:r>
                    <w:rPr>
                      <w:rFonts w:hint="eastAsia"/>
                      <w:kern w:val="0"/>
                      <w:sz w:val="20"/>
                      <w:szCs w:val="20"/>
                    </w:rPr>
                    <w:t>249</w:t>
                  </w:r>
                  <w:r>
                    <w:rPr>
                      <w:kern w:val="0"/>
                      <w:sz w:val="20"/>
                      <w:szCs w:val="20"/>
                    </w:rPr>
                    <w:t>-</w:t>
                  </w:r>
                  <w:r>
                    <w:rPr>
                      <w:rFonts w:hint="eastAsia"/>
                      <w:kern w:val="0"/>
                      <w:sz w:val="20"/>
                      <w:szCs w:val="20"/>
                    </w:rPr>
                    <w:t>08</w:t>
                  </w:r>
                </w:p>
              </w:tc>
              <w:tc>
                <w:tcPr>
                  <w:tcW w:w="341" w:type="pct"/>
                  <w:tcBorders>
                    <w:top w:val="single" w:color="auto" w:sz="12" w:space="0"/>
                  </w:tcBorders>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eastAsia="等线" w:cs="Times New Roman"/>
                      <w:b w:val="0"/>
                      <w:bCs w:val="0"/>
                      <w:color w:val="auto"/>
                      <w:sz w:val="20"/>
                      <w:szCs w:val="20"/>
                      <w:lang w:val="en-US" w:eastAsia="zh-CN"/>
                    </w:rPr>
                    <w:t>2</w:t>
                  </w:r>
                </w:p>
              </w:tc>
              <w:tc>
                <w:tcPr>
                  <w:tcW w:w="542" w:type="pct"/>
                  <w:vMerge w:val="restart"/>
                  <w:tcBorders>
                    <w:top w:val="single" w:color="auto" w:sz="12" w:space="0"/>
                  </w:tcBorders>
                  <w:vAlign w:val="center"/>
                </w:tcPr>
                <w:p>
                  <w:pPr>
                    <w:pStyle w:val="33"/>
                    <w:adjustRightInd w:val="0"/>
                    <w:snapToGrid w:val="0"/>
                    <w:rPr>
                      <w:rFonts w:ascii="Times New Roman" w:hAnsi="Times New Roman" w:cs="Times New Roman"/>
                      <w:b w:val="0"/>
                      <w:color w:val="auto"/>
                      <w:sz w:val="20"/>
                      <w:szCs w:val="20"/>
                    </w:rPr>
                  </w:pPr>
                  <w:r>
                    <w:rPr>
                      <w:rFonts w:ascii="Times New Roman" w:hAnsi="Times New Roman" w:cs="Times New Roman"/>
                      <w:b w:val="0"/>
                      <w:color w:val="auto"/>
                      <w:sz w:val="20"/>
                      <w:szCs w:val="20"/>
                    </w:rPr>
                    <w:t>委托资质单位处置</w:t>
                  </w:r>
                </w:p>
              </w:tc>
              <w:tc>
                <w:tcPr>
                  <w:tcW w:w="561" w:type="pct"/>
                  <w:tcBorders>
                    <w:top w:val="single" w:color="auto" w:sz="12" w:space="0"/>
                  </w:tcBorders>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eastAsia="等线" w:cs="Times New Roman"/>
                      <w:b w:val="0"/>
                      <w:bCs w:val="0"/>
                      <w:color w:val="auto"/>
                      <w:sz w:val="20"/>
                      <w:szCs w:val="20"/>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2</w:t>
                  </w:r>
                </w:p>
              </w:tc>
              <w:tc>
                <w:tcPr>
                  <w:tcW w:w="67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hAnsi="宋体" w:cs="宋体"/>
                      <w:b w:val="0"/>
                      <w:bCs w:val="0"/>
                      <w:sz w:val="20"/>
                      <w:szCs w:val="20"/>
                    </w:rPr>
                    <w:t>含油抹布手套</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b w:val="0"/>
                      <w:bCs w:val="0"/>
                      <w:color w:val="auto"/>
                      <w:sz w:val="20"/>
                      <w:szCs w:val="20"/>
                      <w:lang w:val="en-US" w:eastAsia="zh-CN"/>
                    </w:rPr>
                    <w:t>设备维护</w:t>
                  </w:r>
                </w:p>
              </w:tc>
              <w:tc>
                <w:tcPr>
                  <w:tcW w:w="300"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420"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bCs/>
                      <w:kern w:val="0"/>
                      <w:sz w:val="20"/>
                      <w:szCs w:val="20"/>
                    </w:rPr>
                    <w:t>T/In</w:t>
                  </w:r>
                </w:p>
              </w:tc>
              <w:tc>
                <w:tcPr>
                  <w:tcW w:w="386"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sz w:val="20"/>
                      <w:szCs w:val="20"/>
                    </w:rPr>
                    <w:t>HW49</w:t>
                  </w:r>
                </w:p>
              </w:tc>
              <w:tc>
                <w:tcPr>
                  <w:tcW w:w="701"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kern w:val="0"/>
                      <w:sz w:val="20"/>
                      <w:szCs w:val="20"/>
                    </w:rPr>
                    <w:t>900-041-49</w:t>
                  </w:r>
                </w:p>
              </w:tc>
              <w:tc>
                <w:tcPr>
                  <w:tcW w:w="341"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0.2</w:t>
                  </w:r>
                </w:p>
              </w:tc>
              <w:tc>
                <w:tcPr>
                  <w:tcW w:w="542" w:type="pct"/>
                  <w:vMerge w:val="continue"/>
                  <w:vAlign w:val="center"/>
                </w:tcPr>
                <w:p>
                  <w:pPr>
                    <w:pStyle w:val="33"/>
                    <w:adjustRightInd w:val="0"/>
                    <w:snapToGrid w:val="0"/>
                    <w:rPr>
                      <w:rFonts w:ascii="Times New Roman" w:hAnsi="Times New Roman" w:cs="Times New Roman"/>
                      <w:b w:val="0"/>
                      <w:color w:val="auto"/>
                      <w:sz w:val="20"/>
                      <w:szCs w:val="20"/>
                    </w:rPr>
                  </w:pPr>
                </w:p>
              </w:tc>
              <w:tc>
                <w:tcPr>
                  <w:tcW w:w="561" w:type="pct"/>
                  <w:vAlign w:val="center"/>
                </w:tcPr>
                <w:p>
                  <w:pPr>
                    <w:pStyle w:val="33"/>
                    <w:adjustRightInd w:val="0"/>
                    <w:snapToGrid w:val="0"/>
                    <w:rPr>
                      <w:rFonts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3</w:t>
                  </w:r>
                </w:p>
              </w:tc>
              <w:tc>
                <w:tcPr>
                  <w:tcW w:w="679"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废机油</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设备维护</w:t>
                  </w:r>
                </w:p>
              </w:tc>
              <w:tc>
                <w:tcPr>
                  <w:tcW w:w="300"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液</w:t>
                  </w:r>
                </w:p>
              </w:tc>
              <w:tc>
                <w:tcPr>
                  <w:tcW w:w="420" w:type="pct"/>
                  <w:shd w:val="clear" w:color="auto" w:fill="auto"/>
                  <w:vAlign w:val="center"/>
                </w:tcPr>
                <w:p>
                  <w:pPr>
                    <w:jc w:val="center"/>
                    <w:rPr>
                      <w:rFonts w:ascii="Times New Roman" w:hAnsi="Times New Roman" w:eastAsia="仿宋" w:cs="Times New Roman"/>
                      <w:kern w:val="2"/>
                      <w:sz w:val="20"/>
                      <w:szCs w:val="20"/>
                      <w:lang w:val="en-US" w:eastAsia="zh-CN" w:bidi="ar-SA"/>
                    </w:rPr>
                  </w:pPr>
                  <w:r>
                    <w:rPr>
                      <w:bCs/>
                      <w:kern w:val="0"/>
                      <w:sz w:val="20"/>
                      <w:szCs w:val="20"/>
                    </w:rPr>
                    <w:t>T</w:t>
                  </w:r>
                  <w:r>
                    <w:rPr>
                      <w:rFonts w:hint="eastAsia"/>
                      <w:bCs/>
                      <w:kern w:val="0"/>
                      <w:sz w:val="20"/>
                      <w:szCs w:val="20"/>
                    </w:rPr>
                    <w:t>，I</w:t>
                  </w:r>
                </w:p>
              </w:tc>
              <w:tc>
                <w:tcPr>
                  <w:tcW w:w="386"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sz w:val="20"/>
                      <w:szCs w:val="20"/>
                    </w:rPr>
                    <w:t>HW</w:t>
                  </w:r>
                  <w:r>
                    <w:rPr>
                      <w:rFonts w:hint="eastAsia"/>
                      <w:sz w:val="20"/>
                      <w:szCs w:val="20"/>
                    </w:rPr>
                    <w:t>08</w:t>
                  </w:r>
                </w:p>
              </w:tc>
              <w:tc>
                <w:tcPr>
                  <w:tcW w:w="701"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kern w:val="0"/>
                      <w:sz w:val="20"/>
                      <w:szCs w:val="20"/>
                    </w:rPr>
                    <w:t>900-</w:t>
                  </w:r>
                  <w:r>
                    <w:rPr>
                      <w:rFonts w:hint="eastAsia"/>
                      <w:kern w:val="0"/>
                      <w:sz w:val="20"/>
                      <w:szCs w:val="20"/>
                    </w:rPr>
                    <w:t>218</w:t>
                  </w:r>
                  <w:r>
                    <w:rPr>
                      <w:kern w:val="0"/>
                      <w:sz w:val="20"/>
                      <w:szCs w:val="20"/>
                    </w:rPr>
                    <w:t>-</w:t>
                  </w:r>
                  <w:r>
                    <w:rPr>
                      <w:rFonts w:hint="eastAsia"/>
                      <w:kern w:val="0"/>
                      <w:sz w:val="20"/>
                      <w:szCs w:val="20"/>
                    </w:rPr>
                    <w:t>08</w:t>
                  </w:r>
                </w:p>
              </w:tc>
              <w:tc>
                <w:tcPr>
                  <w:tcW w:w="341" w:type="pct"/>
                  <w:shd w:val="clear" w:color="auto" w:fill="auto"/>
                  <w:vAlign w:val="center"/>
                </w:tcPr>
                <w:p>
                  <w:pPr>
                    <w:jc w:val="center"/>
                    <w:rPr>
                      <w:rFonts w:ascii="Times New Roman" w:hAnsi="Times New Roman" w:eastAsia="宋体" w:cs="Times New Roman"/>
                      <w:b w:val="0"/>
                      <w:color w:val="auto"/>
                      <w:kern w:val="2"/>
                      <w:sz w:val="20"/>
                      <w:szCs w:val="20"/>
                      <w:lang w:val="en-US" w:eastAsia="zh-CN" w:bidi="ar-SA"/>
                    </w:rPr>
                  </w:pPr>
                  <w:r>
                    <w:rPr>
                      <w:rFonts w:hint="eastAsia"/>
                      <w:bCs/>
                      <w:sz w:val="20"/>
                      <w:szCs w:val="20"/>
                    </w:rPr>
                    <w:t>0.8</w:t>
                  </w:r>
                </w:p>
              </w:tc>
              <w:tc>
                <w:tcPr>
                  <w:tcW w:w="542" w:type="pct"/>
                  <w:vMerge w:val="continue"/>
                  <w:vAlign w:val="center"/>
                </w:tcPr>
                <w:p>
                  <w:pPr>
                    <w:pStyle w:val="33"/>
                    <w:adjustRightInd w:val="0"/>
                    <w:snapToGrid w:val="0"/>
                    <w:rPr>
                      <w:rFonts w:ascii="Times New Roman" w:hAnsi="Times New Roman" w:cs="Times New Roman"/>
                      <w:b w:val="0"/>
                      <w:color w:val="auto"/>
                      <w:sz w:val="20"/>
                      <w:szCs w:val="20"/>
                    </w:rPr>
                  </w:pPr>
                </w:p>
              </w:tc>
              <w:tc>
                <w:tcPr>
                  <w:tcW w:w="561" w:type="pct"/>
                  <w:vAlign w:val="center"/>
                </w:tcPr>
                <w:p>
                  <w:pPr>
                    <w:jc w:val="center"/>
                    <w:rPr>
                      <w:rFonts w:ascii="Times New Roman" w:hAnsi="Times New Roman" w:cs="Times New Roman"/>
                      <w:b w:val="0"/>
                      <w:color w:val="auto"/>
                      <w:sz w:val="20"/>
                      <w:szCs w:val="20"/>
                    </w:rPr>
                  </w:pPr>
                  <w:r>
                    <w:rPr>
                      <w:rFonts w:hint="eastAsia"/>
                      <w:bCs/>
                      <w:sz w:val="20"/>
                      <w:szCs w:val="20"/>
                    </w:rPr>
                    <w:t>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4</w:t>
                  </w:r>
                </w:p>
              </w:tc>
              <w:tc>
                <w:tcPr>
                  <w:tcW w:w="679" w:type="pct"/>
                  <w:shd w:val="clear" w:color="auto" w:fill="auto"/>
                  <w:vAlign w:val="center"/>
                </w:tcPr>
                <w:p>
                  <w:pPr>
                    <w:autoSpaceDE w:val="0"/>
                    <w:autoSpaceDN w:val="0"/>
                    <w:snapToGrid w:val="0"/>
                    <w:jc w:val="center"/>
                    <w:rPr>
                      <w:rFonts w:ascii="Times New Roman" w:hAnsi="Times New Roman" w:eastAsia="宋体" w:cs="Times New Roman"/>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定型废气处理废油</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废气处理</w:t>
                  </w:r>
                </w:p>
              </w:tc>
              <w:tc>
                <w:tcPr>
                  <w:tcW w:w="300" w:type="pct"/>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液</w:t>
                  </w:r>
                </w:p>
              </w:tc>
              <w:tc>
                <w:tcPr>
                  <w:tcW w:w="420" w:type="pct"/>
                  <w:shd w:val="clear" w:color="auto" w:fill="auto"/>
                  <w:vAlign w:val="center"/>
                </w:tcPr>
                <w:p>
                  <w:pPr>
                    <w:jc w:val="center"/>
                    <w:rPr>
                      <w:rFonts w:hint="eastAsia" w:ascii="Times New Roman" w:hAnsi="Times New Roman" w:eastAsia="宋体" w:cs="Times New Roman"/>
                      <w:bCs/>
                      <w:kern w:val="0"/>
                      <w:sz w:val="20"/>
                      <w:szCs w:val="20"/>
                      <w:lang w:val="en-US" w:eastAsia="zh-CN" w:bidi="ar-SA"/>
                    </w:rPr>
                  </w:pPr>
                  <w:r>
                    <w:rPr>
                      <w:rFonts w:hint="eastAsia"/>
                      <w:bCs/>
                      <w:kern w:val="0"/>
                      <w:sz w:val="20"/>
                      <w:szCs w:val="20"/>
                    </w:rPr>
                    <w:t>T，I</w:t>
                  </w:r>
                </w:p>
              </w:tc>
              <w:tc>
                <w:tcPr>
                  <w:tcW w:w="386" w:type="pct"/>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rPr>
                    <w:t>HW08</w:t>
                  </w:r>
                </w:p>
              </w:tc>
              <w:tc>
                <w:tcPr>
                  <w:tcW w:w="701" w:type="pct"/>
                  <w:shd w:val="clear" w:color="auto" w:fill="auto"/>
                  <w:vAlign w:val="center"/>
                </w:tcPr>
                <w:p>
                  <w:pPr>
                    <w:jc w:val="center"/>
                    <w:rPr>
                      <w:rFonts w:hint="eastAsia" w:ascii="Times New Roman" w:hAnsi="Times New Roman" w:eastAsia="宋体" w:cs="Times New Roman"/>
                      <w:kern w:val="0"/>
                      <w:sz w:val="20"/>
                      <w:szCs w:val="20"/>
                      <w:lang w:val="en-US" w:eastAsia="zh-CN" w:bidi="ar-SA"/>
                    </w:rPr>
                  </w:pPr>
                  <w:r>
                    <w:rPr>
                      <w:rFonts w:hint="eastAsia"/>
                      <w:kern w:val="0"/>
                      <w:sz w:val="20"/>
                      <w:szCs w:val="20"/>
                    </w:rPr>
                    <w:t>900-249-08</w:t>
                  </w:r>
                </w:p>
              </w:tc>
              <w:tc>
                <w:tcPr>
                  <w:tcW w:w="341" w:type="pct"/>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1.97</w:t>
                  </w:r>
                </w:p>
              </w:tc>
              <w:tc>
                <w:tcPr>
                  <w:tcW w:w="542" w:type="pct"/>
                  <w:vMerge w:val="continue"/>
                  <w:vAlign w:val="center"/>
                </w:tcPr>
                <w:p>
                  <w:pPr>
                    <w:pStyle w:val="33"/>
                    <w:adjustRightInd w:val="0"/>
                    <w:snapToGrid w:val="0"/>
                    <w:rPr>
                      <w:rFonts w:ascii="Times New Roman" w:hAnsi="Times New Roman" w:cs="Times New Roman"/>
                      <w:b w:val="0"/>
                      <w:color w:val="auto"/>
                      <w:sz w:val="20"/>
                      <w:szCs w:val="20"/>
                    </w:rPr>
                  </w:pPr>
                </w:p>
              </w:tc>
              <w:tc>
                <w:tcPr>
                  <w:tcW w:w="561" w:type="pct"/>
                  <w:vAlign w:val="center"/>
                </w:tcPr>
                <w:p>
                  <w:pPr>
                    <w:pStyle w:val="33"/>
                    <w:adjustRightInd w:val="0"/>
                    <w:snapToGrid w:val="0"/>
                    <w:rPr>
                      <w:rFonts w:hint="default" w:ascii="Times New Roman" w:hAnsi="Times New Roman" w:cs="Times New Roman"/>
                      <w:b w:val="0"/>
                      <w:color w:val="auto"/>
                      <w:sz w:val="20"/>
                      <w:szCs w:val="20"/>
                      <w:lang w:val="en-US"/>
                    </w:rPr>
                  </w:pPr>
                  <w:r>
                    <w:rPr>
                      <w:rFonts w:hint="eastAsia" w:ascii="Times New Roman" w:hAnsi="Times New Roman" w:cs="Times New Roman"/>
                      <w:b w:val="0"/>
                      <w:bCs w:val="0"/>
                      <w:color w:val="auto"/>
                      <w:sz w:val="20"/>
                      <w:szCs w:val="20"/>
                      <w:lang w:val="en-US" w:eastAsia="zh-CN"/>
                    </w:rPr>
                    <w:t>1.231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5</w:t>
                  </w:r>
                </w:p>
              </w:tc>
              <w:tc>
                <w:tcPr>
                  <w:tcW w:w="679"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废包装桶</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原料包装</w:t>
                  </w:r>
                </w:p>
              </w:tc>
              <w:tc>
                <w:tcPr>
                  <w:tcW w:w="300"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420"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bCs/>
                      <w:kern w:val="0"/>
                      <w:sz w:val="20"/>
                      <w:szCs w:val="20"/>
                    </w:rPr>
                    <w:t>T/In</w:t>
                  </w:r>
                </w:p>
              </w:tc>
              <w:tc>
                <w:tcPr>
                  <w:tcW w:w="386"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sz w:val="20"/>
                      <w:szCs w:val="20"/>
                    </w:rPr>
                    <w:t>HW49</w:t>
                  </w:r>
                </w:p>
              </w:tc>
              <w:tc>
                <w:tcPr>
                  <w:tcW w:w="701"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kern w:val="0"/>
                      <w:sz w:val="20"/>
                      <w:szCs w:val="20"/>
                    </w:rPr>
                    <w:t>900-041-49</w:t>
                  </w:r>
                </w:p>
              </w:tc>
              <w:tc>
                <w:tcPr>
                  <w:tcW w:w="341" w:type="pct"/>
                  <w:shd w:val="clear" w:color="auto" w:fill="auto"/>
                  <w:vAlign w:val="center"/>
                </w:tcPr>
                <w:p>
                  <w:pPr>
                    <w:jc w:val="center"/>
                    <w:rPr>
                      <w:rFonts w:hint="default" w:ascii="Times New Roman" w:hAnsi="Times New Roman" w:eastAsia="宋体" w:cs="Times New Roman"/>
                      <w:b w:val="0"/>
                      <w:color w:val="auto"/>
                      <w:kern w:val="2"/>
                      <w:sz w:val="20"/>
                      <w:szCs w:val="20"/>
                      <w:lang w:val="en-US" w:eastAsia="zh-CN" w:bidi="ar-SA"/>
                    </w:rPr>
                  </w:pPr>
                  <w:r>
                    <w:rPr>
                      <w:rFonts w:hint="eastAsia"/>
                      <w:sz w:val="20"/>
                      <w:szCs w:val="20"/>
                      <w:lang w:val="en-US" w:eastAsia="zh-CN"/>
                    </w:rPr>
                    <w:t>0.</w:t>
                  </w:r>
                  <w:r>
                    <w:rPr>
                      <w:rFonts w:hint="eastAsia"/>
                      <w:sz w:val="20"/>
                      <w:szCs w:val="20"/>
                    </w:rPr>
                    <w:t>15</w:t>
                  </w:r>
                </w:p>
              </w:tc>
              <w:tc>
                <w:tcPr>
                  <w:tcW w:w="542" w:type="pct"/>
                  <w:vMerge w:val="continue"/>
                  <w:vAlign w:val="center"/>
                </w:tcPr>
                <w:p>
                  <w:pPr>
                    <w:pStyle w:val="33"/>
                    <w:adjustRightInd w:val="0"/>
                    <w:snapToGrid w:val="0"/>
                    <w:rPr>
                      <w:rFonts w:ascii="Times New Roman" w:hAnsi="Times New Roman" w:cs="Times New Roman"/>
                      <w:b w:val="0"/>
                      <w:color w:val="auto"/>
                      <w:sz w:val="20"/>
                      <w:szCs w:val="20"/>
                    </w:rPr>
                  </w:pPr>
                </w:p>
              </w:tc>
              <w:tc>
                <w:tcPr>
                  <w:tcW w:w="561" w:type="pct"/>
                  <w:vAlign w:val="center"/>
                </w:tcPr>
                <w:p>
                  <w:pPr>
                    <w:jc w:val="center"/>
                    <w:rPr>
                      <w:rFonts w:hint="default" w:ascii="Times New Roman" w:hAnsi="Times New Roman" w:eastAsia="宋体" w:cs="Times New Roman"/>
                      <w:b w:val="0"/>
                      <w:color w:val="auto"/>
                      <w:sz w:val="20"/>
                      <w:szCs w:val="20"/>
                      <w:lang w:val="en-US" w:eastAsia="zh-CN"/>
                    </w:rPr>
                  </w:pPr>
                  <w:r>
                    <w:rPr>
                      <w:rFonts w:hint="eastAsia"/>
                      <w:sz w:val="20"/>
                      <w:szCs w:val="20"/>
                      <w:lang w:val="en-US" w:eastAsia="zh-CN"/>
                    </w:rPr>
                    <w:t>0.</w:t>
                  </w:r>
                  <w:r>
                    <w:rPr>
                      <w:rFonts w:hint="eastAsia"/>
                      <w:sz w:val="20"/>
                      <w:szCs w:val="20"/>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6</w:t>
                  </w:r>
                </w:p>
              </w:tc>
              <w:tc>
                <w:tcPr>
                  <w:tcW w:w="67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废油桶</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原料包装</w:t>
                  </w:r>
                </w:p>
              </w:tc>
              <w:tc>
                <w:tcPr>
                  <w:tcW w:w="300"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固</w:t>
                  </w:r>
                </w:p>
              </w:tc>
              <w:tc>
                <w:tcPr>
                  <w:tcW w:w="420"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bCs/>
                      <w:kern w:val="0"/>
                      <w:sz w:val="20"/>
                      <w:szCs w:val="20"/>
                    </w:rPr>
                    <w:t>T</w:t>
                  </w:r>
                  <w:r>
                    <w:rPr>
                      <w:rFonts w:hint="eastAsia"/>
                      <w:bCs/>
                      <w:kern w:val="0"/>
                      <w:sz w:val="20"/>
                      <w:szCs w:val="20"/>
                    </w:rPr>
                    <w:t>，I</w:t>
                  </w:r>
                </w:p>
              </w:tc>
              <w:tc>
                <w:tcPr>
                  <w:tcW w:w="386"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sz w:val="20"/>
                      <w:szCs w:val="20"/>
                    </w:rPr>
                    <w:t>HW</w:t>
                  </w:r>
                  <w:r>
                    <w:rPr>
                      <w:rFonts w:hint="eastAsia"/>
                      <w:sz w:val="20"/>
                      <w:szCs w:val="20"/>
                    </w:rPr>
                    <w:t>08</w:t>
                  </w:r>
                </w:p>
              </w:tc>
              <w:tc>
                <w:tcPr>
                  <w:tcW w:w="701" w:type="pct"/>
                  <w:shd w:val="clear" w:color="auto" w:fill="auto"/>
                  <w:vAlign w:val="center"/>
                </w:tcPr>
                <w:p>
                  <w:pPr>
                    <w:jc w:val="center"/>
                    <w:rPr>
                      <w:rFonts w:hint="eastAsia" w:ascii="Times New Roman" w:hAnsi="Times New Roman" w:eastAsia="仿宋" w:cs="Times New Roman"/>
                      <w:kern w:val="2"/>
                      <w:sz w:val="20"/>
                      <w:szCs w:val="20"/>
                      <w:lang w:val="en-US" w:eastAsia="zh-CN" w:bidi="ar-SA"/>
                    </w:rPr>
                  </w:pPr>
                  <w:r>
                    <w:rPr>
                      <w:kern w:val="0"/>
                      <w:sz w:val="20"/>
                      <w:szCs w:val="20"/>
                    </w:rPr>
                    <w:t>900-</w:t>
                  </w:r>
                  <w:r>
                    <w:rPr>
                      <w:rFonts w:hint="eastAsia"/>
                      <w:kern w:val="0"/>
                      <w:sz w:val="20"/>
                      <w:szCs w:val="20"/>
                    </w:rPr>
                    <w:t>249</w:t>
                  </w:r>
                  <w:r>
                    <w:rPr>
                      <w:kern w:val="0"/>
                      <w:sz w:val="20"/>
                      <w:szCs w:val="20"/>
                    </w:rPr>
                    <w:t>-</w:t>
                  </w:r>
                  <w:r>
                    <w:rPr>
                      <w:rFonts w:hint="eastAsia"/>
                      <w:kern w:val="0"/>
                      <w:sz w:val="20"/>
                      <w:szCs w:val="20"/>
                    </w:rPr>
                    <w:t>08</w:t>
                  </w:r>
                </w:p>
              </w:tc>
              <w:tc>
                <w:tcPr>
                  <w:tcW w:w="341" w:type="pct"/>
                  <w:shd w:val="clear" w:color="auto" w:fill="auto"/>
                  <w:vAlign w:val="center"/>
                </w:tcPr>
                <w:p>
                  <w:pPr>
                    <w:jc w:val="center"/>
                    <w:rPr>
                      <w:rFonts w:hint="eastAsia" w:ascii="Times New Roman" w:hAnsi="Times New Roman" w:eastAsia="宋体" w:cs="Times New Roman"/>
                      <w:b w:val="0"/>
                      <w:color w:val="auto"/>
                      <w:kern w:val="2"/>
                      <w:sz w:val="20"/>
                      <w:szCs w:val="20"/>
                      <w:lang w:val="en-US" w:eastAsia="zh-CN" w:bidi="ar-SA"/>
                    </w:rPr>
                  </w:pPr>
                  <w:r>
                    <w:rPr>
                      <w:rFonts w:hint="eastAsia"/>
                      <w:sz w:val="20"/>
                      <w:szCs w:val="20"/>
                    </w:rPr>
                    <w:t>0.3</w:t>
                  </w:r>
                </w:p>
              </w:tc>
              <w:tc>
                <w:tcPr>
                  <w:tcW w:w="542" w:type="pct"/>
                  <w:vMerge w:val="continue"/>
                  <w:vAlign w:val="center"/>
                </w:tcPr>
                <w:p>
                  <w:pPr>
                    <w:pStyle w:val="33"/>
                    <w:adjustRightInd w:val="0"/>
                    <w:snapToGrid w:val="0"/>
                    <w:rPr>
                      <w:rFonts w:ascii="Times New Roman" w:hAnsi="Times New Roman" w:cs="Times New Roman"/>
                      <w:b w:val="0"/>
                      <w:color w:val="auto"/>
                      <w:sz w:val="20"/>
                      <w:szCs w:val="20"/>
                    </w:rPr>
                  </w:pPr>
                </w:p>
              </w:tc>
              <w:tc>
                <w:tcPr>
                  <w:tcW w:w="561" w:type="pct"/>
                  <w:vAlign w:val="center"/>
                </w:tcPr>
                <w:p>
                  <w:pPr>
                    <w:jc w:val="center"/>
                    <w:rPr>
                      <w:rFonts w:hint="eastAsia" w:ascii="Times New Roman" w:hAnsi="Times New Roman" w:eastAsia="宋体" w:cs="Times New Roman"/>
                      <w:b w:val="0"/>
                      <w:color w:val="auto"/>
                      <w:sz w:val="20"/>
                      <w:szCs w:val="20"/>
                      <w:lang w:eastAsia="zh-CN"/>
                    </w:rPr>
                  </w:pPr>
                  <w:r>
                    <w:rPr>
                      <w:rFonts w:hint="eastAsia"/>
                      <w:sz w:val="20"/>
                      <w:szCs w:val="20"/>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bookmarkStart w:id="25" w:name="_Hlk214374910"/>
                  <w:r>
                    <w:rPr>
                      <w:rFonts w:hint="eastAsia" w:ascii="Times New Roman" w:hAnsi="Times New Roman" w:eastAsia="等线" w:cs="Times New Roman"/>
                      <w:b w:val="0"/>
                      <w:color w:val="auto"/>
                      <w:sz w:val="20"/>
                      <w:szCs w:val="20"/>
                      <w:lang w:val="en-US" w:eastAsia="zh-CN"/>
                    </w:rPr>
                    <w:t>7</w:t>
                  </w:r>
                </w:p>
              </w:tc>
              <w:tc>
                <w:tcPr>
                  <w:tcW w:w="679"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废蓄电池</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叉车使用</w:t>
                  </w:r>
                </w:p>
              </w:tc>
              <w:tc>
                <w:tcPr>
                  <w:tcW w:w="300" w:type="pct"/>
                  <w:shd w:val="clear" w:color="auto" w:fill="auto"/>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固</w:t>
                  </w:r>
                </w:p>
              </w:tc>
              <w:tc>
                <w:tcPr>
                  <w:tcW w:w="420" w:type="pct"/>
                  <w:shd w:val="clear" w:color="auto" w:fill="auto"/>
                  <w:vAlign w:val="center"/>
                </w:tcPr>
                <w:p>
                  <w:pPr>
                    <w:jc w:val="center"/>
                    <w:rPr>
                      <w:rFonts w:hint="default" w:ascii="Times New Roman" w:hAnsi="Times New Roman" w:eastAsia="宋体" w:cs="Times New Roman"/>
                      <w:bCs/>
                      <w:kern w:val="0"/>
                      <w:sz w:val="20"/>
                      <w:szCs w:val="20"/>
                      <w:lang w:val="en-US" w:eastAsia="zh-CN" w:bidi="ar-SA"/>
                    </w:rPr>
                  </w:pPr>
                  <w:r>
                    <w:rPr>
                      <w:rFonts w:hint="eastAsia"/>
                      <w:bCs/>
                      <w:kern w:val="0"/>
                      <w:sz w:val="20"/>
                      <w:szCs w:val="20"/>
                      <w:lang w:val="en-US" w:eastAsia="zh-CN"/>
                    </w:rPr>
                    <w:t>T，C</w:t>
                  </w:r>
                </w:p>
              </w:tc>
              <w:tc>
                <w:tcPr>
                  <w:tcW w:w="386" w:type="pct"/>
                  <w:shd w:val="clear" w:color="auto" w:fill="auto"/>
                  <w:vAlign w:val="center"/>
                </w:tcPr>
                <w:p>
                  <w:pPr>
                    <w:jc w:val="center"/>
                    <w:rPr>
                      <w:rFonts w:hint="default" w:ascii="Times New Roman" w:hAnsi="Times New Roman" w:eastAsia="宋体" w:cs="Times New Roman"/>
                      <w:kern w:val="2"/>
                      <w:sz w:val="20"/>
                      <w:szCs w:val="20"/>
                      <w:lang w:val="en-US" w:eastAsia="zh-CN" w:bidi="ar-SA"/>
                    </w:rPr>
                  </w:pPr>
                  <w:r>
                    <w:rPr>
                      <w:rFonts w:hint="eastAsia"/>
                      <w:sz w:val="20"/>
                      <w:szCs w:val="20"/>
                      <w:lang w:val="en-US" w:eastAsia="zh-CN"/>
                    </w:rPr>
                    <w:t>HW31</w:t>
                  </w:r>
                </w:p>
              </w:tc>
              <w:tc>
                <w:tcPr>
                  <w:tcW w:w="701" w:type="pct"/>
                  <w:shd w:val="clear" w:color="auto" w:fill="auto"/>
                  <w:vAlign w:val="center"/>
                </w:tcPr>
                <w:p>
                  <w:pPr>
                    <w:jc w:val="center"/>
                    <w:rPr>
                      <w:rFonts w:hint="default" w:ascii="Times New Roman" w:hAnsi="Times New Roman" w:eastAsia="宋体" w:cs="Times New Roman"/>
                      <w:kern w:val="0"/>
                      <w:sz w:val="20"/>
                      <w:szCs w:val="20"/>
                      <w:lang w:val="en-US" w:eastAsia="zh-CN" w:bidi="ar-SA"/>
                    </w:rPr>
                  </w:pPr>
                  <w:r>
                    <w:rPr>
                      <w:rFonts w:hint="eastAsia"/>
                      <w:kern w:val="0"/>
                      <w:sz w:val="20"/>
                      <w:szCs w:val="20"/>
                      <w:lang w:val="en-US" w:eastAsia="zh-CN"/>
                    </w:rPr>
                    <w:t>900-052-31</w:t>
                  </w:r>
                </w:p>
              </w:tc>
              <w:tc>
                <w:tcPr>
                  <w:tcW w:w="341" w:type="pct"/>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0.012t/3a</w:t>
                  </w:r>
                </w:p>
              </w:tc>
              <w:tc>
                <w:tcPr>
                  <w:tcW w:w="542" w:type="pct"/>
                  <w:vMerge w:val="continue"/>
                  <w:vAlign w:val="center"/>
                </w:tcPr>
                <w:p>
                  <w:pPr>
                    <w:pStyle w:val="33"/>
                    <w:adjustRightInd w:val="0"/>
                    <w:snapToGrid w:val="0"/>
                    <w:rPr>
                      <w:rFonts w:ascii="Times New Roman" w:hAnsi="Times New Roman" w:cs="Times New Roman"/>
                      <w:b w:val="0"/>
                      <w:color w:val="auto"/>
                      <w:sz w:val="20"/>
                      <w:szCs w:val="20"/>
                    </w:rPr>
                  </w:pPr>
                </w:p>
              </w:tc>
              <w:tc>
                <w:tcPr>
                  <w:tcW w:w="561" w:type="pct"/>
                  <w:vAlign w:val="center"/>
                </w:tcPr>
                <w:p>
                  <w:pPr>
                    <w:jc w:val="center"/>
                    <w:rPr>
                      <w:rFonts w:hint="eastAsia"/>
                      <w:sz w:val="20"/>
                      <w:szCs w:val="20"/>
                    </w:rPr>
                  </w:pPr>
                  <w:r>
                    <w:rPr>
                      <w:rFonts w:hint="eastAsia"/>
                      <w:sz w:val="20"/>
                      <w:szCs w:val="20"/>
                      <w:lang w:val="en-US" w:eastAsia="zh-CN"/>
                    </w:rPr>
                    <w:t>0.012t/3a</w:t>
                  </w:r>
                </w:p>
              </w:tc>
            </w:tr>
            <w:bookmarkEnd w:id="24"/>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eastAsia="等线" w:cs="Times New Roman"/>
                      <w:b w:val="0"/>
                      <w:color w:val="auto"/>
                      <w:sz w:val="20"/>
                      <w:szCs w:val="20"/>
                      <w:lang w:val="en-US" w:eastAsia="zh-CN"/>
                    </w:rPr>
                    <w:t>8</w:t>
                  </w:r>
                </w:p>
              </w:tc>
              <w:tc>
                <w:tcPr>
                  <w:tcW w:w="679"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废布料</w:t>
                  </w:r>
                </w:p>
              </w:tc>
              <w:tc>
                <w:tcPr>
                  <w:tcW w:w="161" w:type="pct"/>
                  <w:vMerge w:val="restart"/>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cs="Times New Roman"/>
                      <w:b w:val="0"/>
                      <w:bCs w:val="0"/>
                      <w:color w:val="auto"/>
                      <w:sz w:val="20"/>
                      <w:szCs w:val="20"/>
                    </w:rPr>
                    <w:t>一般固废</w:t>
                  </w:r>
                </w:p>
              </w:tc>
              <w:tc>
                <w:tcPr>
                  <w:tcW w:w="695"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翻缝</w:t>
                  </w:r>
                </w:p>
              </w:tc>
              <w:tc>
                <w:tcPr>
                  <w:tcW w:w="300"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420" w:type="pct"/>
                  <w:vAlign w:val="center"/>
                </w:tcPr>
                <w:p>
                  <w:pPr>
                    <w:autoSpaceDE w:val="0"/>
                    <w:autoSpaceDN w:val="0"/>
                    <w:adjustRightInd w:val="0"/>
                    <w:snapToGrid w:val="0"/>
                    <w:jc w:val="center"/>
                    <w:rPr>
                      <w:color w:val="auto"/>
                      <w:kern w:val="0"/>
                      <w:sz w:val="20"/>
                      <w:szCs w:val="20"/>
                    </w:rPr>
                  </w:pPr>
                  <w:r>
                    <w:rPr>
                      <w:rFonts w:hint="eastAsia"/>
                      <w:b/>
                      <w:bCs/>
                      <w:color w:val="auto"/>
                      <w:sz w:val="20"/>
                      <w:szCs w:val="20"/>
                    </w:rPr>
                    <w:t>-</w:t>
                  </w:r>
                </w:p>
              </w:tc>
              <w:tc>
                <w:tcPr>
                  <w:tcW w:w="386" w:type="pct"/>
                  <w:vAlign w:val="center"/>
                </w:tcPr>
                <w:p>
                  <w:pPr>
                    <w:jc w:val="center"/>
                    <w:rPr>
                      <w:color w:val="auto"/>
                      <w:kern w:val="0"/>
                      <w:sz w:val="20"/>
                      <w:szCs w:val="20"/>
                    </w:rPr>
                  </w:pPr>
                  <w:r>
                    <w:rPr>
                      <w:rFonts w:hint="eastAsia" w:eastAsia="仿宋"/>
                      <w:sz w:val="20"/>
                      <w:szCs w:val="20"/>
                    </w:rPr>
                    <w:t>SW62</w:t>
                  </w:r>
                </w:p>
              </w:tc>
              <w:tc>
                <w:tcPr>
                  <w:tcW w:w="701" w:type="pct"/>
                  <w:vAlign w:val="center"/>
                </w:tcPr>
                <w:p>
                  <w:pPr>
                    <w:jc w:val="center"/>
                    <w:rPr>
                      <w:color w:val="auto"/>
                      <w:kern w:val="0"/>
                      <w:sz w:val="20"/>
                      <w:szCs w:val="20"/>
                    </w:rPr>
                  </w:pPr>
                  <w:r>
                    <w:rPr>
                      <w:rFonts w:hint="eastAsia" w:eastAsia="仿宋"/>
                      <w:kern w:val="24"/>
                      <w:sz w:val="20"/>
                      <w:szCs w:val="20"/>
                    </w:rPr>
                    <w:t>900-005-S62</w:t>
                  </w:r>
                </w:p>
              </w:tc>
              <w:tc>
                <w:tcPr>
                  <w:tcW w:w="341"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eastAsiaTheme="minorEastAsia"/>
                      <w:b w:val="0"/>
                      <w:bCs w:val="0"/>
                      <w:color w:val="auto"/>
                      <w:sz w:val="20"/>
                      <w:szCs w:val="20"/>
                      <w:lang w:val="en-US" w:eastAsia="zh-CN"/>
                    </w:rPr>
                    <w:t>4.85</w:t>
                  </w:r>
                </w:p>
              </w:tc>
              <w:tc>
                <w:tcPr>
                  <w:tcW w:w="542" w:type="pct"/>
                  <w:vMerge w:val="restart"/>
                  <w:vAlign w:val="center"/>
                </w:tcPr>
                <w:p>
                  <w:pPr>
                    <w:pStyle w:val="33"/>
                    <w:adjustRightInd w:val="0"/>
                    <w:snapToGrid w:val="0"/>
                    <w:rPr>
                      <w:rFonts w:hint="eastAsia" w:cs="Times New Roman"/>
                      <w:b w:val="0"/>
                      <w:color w:val="auto"/>
                      <w:sz w:val="20"/>
                      <w:szCs w:val="20"/>
                    </w:rPr>
                  </w:pPr>
                  <w:r>
                    <w:rPr>
                      <w:rFonts w:hint="eastAsia" w:ascii="Times New Roman" w:hAnsi="Times New Roman" w:cs="Times New Roman"/>
                      <w:b w:val="0"/>
                      <w:color w:val="auto"/>
                      <w:sz w:val="20"/>
                      <w:szCs w:val="20"/>
                    </w:rPr>
                    <w:t>委托处置</w:t>
                  </w:r>
                </w:p>
              </w:tc>
              <w:tc>
                <w:tcPr>
                  <w:tcW w:w="561" w:type="pct"/>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3.2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9</w:t>
                  </w:r>
                </w:p>
              </w:tc>
              <w:tc>
                <w:tcPr>
                  <w:tcW w:w="67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ascii="Times New Roman" w:hAnsi="Times New Roman" w:cs="Times New Roman"/>
                      <w:b w:val="0"/>
                      <w:color w:val="auto"/>
                      <w:sz w:val="20"/>
                      <w:szCs w:val="20"/>
                    </w:rPr>
                    <w:t>不合格品</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vAlign w:val="center"/>
                </w:tcPr>
                <w:p>
                  <w:pPr>
                    <w:adjustRightInd w:val="0"/>
                    <w:snapToGrid w:val="0"/>
                    <w:jc w:val="center"/>
                    <w:rPr>
                      <w:rFonts w:ascii="Times New Roman" w:hAnsi="Times New Roman" w:cs="Times New Roman"/>
                      <w:b w:val="0"/>
                      <w:bCs w:val="0"/>
                      <w:color w:val="auto"/>
                      <w:sz w:val="20"/>
                      <w:szCs w:val="20"/>
                    </w:rPr>
                  </w:pPr>
                  <w:r>
                    <w:rPr>
                      <w:rFonts w:hint="eastAsia"/>
                      <w:color w:val="auto"/>
                      <w:sz w:val="20"/>
                      <w:szCs w:val="20"/>
                      <w:lang w:val="en-US" w:eastAsia="zh-CN"/>
                    </w:rPr>
                    <w:t>检验</w:t>
                  </w:r>
                </w:p>
              </w:tc>
              <w:tc>
                <w:tcPr>
                  <w:tcW w:w="300"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420" w:type="pct"/>
                  <w:vAlign w:val="center"/>
                </w:tcPr>
                <w:p>
                  <w:pPr>
                    <w:autoSpaceDE w:val="0"/>
                    <w:autoSpaceDN w:val="0"/>
                    <w:adjustRightInd w:val="0"/>
                    <w:snapToGrid w:val="0"/>
                    <w:jc w:val="center"/>
                    <w:rPr>
                      <w:color w:val="auto"/>
                      <w:kern w:val="0"/>
                      <w:sz w:val="20"/>
                      <w:szCs w:val="20"/>
                    </w:rPr>
                  </w:pPr>
                  <w:r>
                    <w:rPr>
                      <w:rFonts w:hint="eastAsia"/>
                      <w:b/>
                      <w:bCs/>
                      <w:color w:val="auto"/>
                      <w:sz w:val="20"/>
                      <w:szCs w:val="20"/>
                    </w:rPr>
                    <w:t>-</w:t>
                  </w:r>
                </w:p>
              </w:tc>
              <w:tc>
                <w:tcPr>
                  <w:tcW w:w="386" w:type="pct"/>
                  <w:vAlign w:val="center"/>
                </w:tcPr>
                <w:p>
                  <w:pPr>
                    <w:autoSpaceDE w:val="0"/>
                    <w:autoSpaceDN w:val="0"/>
                    <w:snapToGrid w:val="0"/>
                    <w:jc w:val="center"/>
                    <w:rPr>
                      <w:color w:val="auto"/>
                      <w:kern w:val="0"/>
                      <w:sz w:val="20"/>
                      <w:szCs w:val="20"/>
                    </w:rPr>
                  </w:pPr>
                  <w:r>
                    <w:rPr>
                      <w:color w:val="auto"/>
                      <w:kern w:val="0"/>
                      <w:sz w:val="20"/>
                      <w:szCs w:val="20"/>
                    </w:rPr>
                    <w:t>SW17</w:t>
                  </w:r>
                </w:p>
              </w:tc>
              <w:tc>
                <w:tcPr>
                  <w:tcW w:w="701" w:type="pct"/>
                  <w:vAlign w:val="center"/>
                </w:tcPr>
                <w:p>
                  <w:pPr>
                    <w:autoSpaceDE w:val="0"/>
                    <w:autoSpaceDN w:val="0"/>
                    <w:snapToGrid w:val="0"/>
                    <w:jc w:val="center"/>
                    <w:rPr>
                      <w:color w:val="auto"/>
                      <w:kern w:val="0"/>
                      <w:sz w:val="20"/>
                      <w:szCs w:val="20"/>
                    </w:rPr>
                  </w:pPr>
                  <w:r>
                    <w:rPr>
                      <w:color w:val="auto"/>
                      <w:kern w:val="0"/>
                      <w:sz w:val="20"/>
                      <w:szCs w:val="20"/>
                    </w:rPr>
                    <w:t>900-008-S17</w:t>
                  </w:r>
                </w:p>
              </w:tc>
              <w:tc>
                <w:tcPr>
                  <w:tcW w:w="341"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eastAsiaTheme="minorEastAsia"/>
                      <w:b w:val="0"/>
                      <w:bCs w:val="0"/>
                      <w:color w:val="auto"/>
                      <w:sz w:val="20"/>
                      <w:szCs w:val="20"/>
                      <w:lang w:val="en-US" w:eastAsia="zh-CN"/>
                    </w:rPr>
                    <w:t>4.8</w:t>
                  </w:r>
                </w:p>
              </w:tc>
              <w:tc>
                <w:tcPr>
                  <w:tcW w:w="542" w:type="pct"/>
                  <w:vMerge w:val="continue"/>
                  <w:vAlign w:val="center"/>
                </w:tcPr>
                <w:p>
                  <w:pPr>
                    <w:pStyle w:val="33"/>
                    <w:adjustRightInd w:val="0"/>
                    <w:snapToGrid w:val="0"/>
                    <w:rPr>
                      <w:rFonts w:ascii="Times New Roman" w:hAnsi="Times New Roman" w:eastAsia="等线" w:cs="Times New Roman"/>
                      <w:b w:val="0"/>
                      <w:color w:val="auto"/>
                      <w:sz w:val="20"/>
                      <w:szCs w:val="20"/>
                    </w:rPr>
                  </w:pPr>
                </w:p>
              </w:tc>
              <w:tc>
                <w:tcPr>
                  <w:tcW w:w="561" w:type="pct"/>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3.08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rPr>
                    <w:t>1</w:t>
                  </w:r>
                  <w:r>
                    <w:rPr>
                      <w:rFonts w:hint="eastAsia" w:ascii="Times New Roman" w:hAnsi="Times New Roman" w:cs="Times New Roman"/>
                      <w:b w:val="0"/>
                      <w:bCs w:val="0"/>
                      <w:color w:val="auto"/>
                      <w:sz w:val="20"/>
                      <w:szCs w:val="20"/>
                      <w:lang w:val="en-US" w:eastAsia="zh-CN"/>
                    </w:rPr>
                    <w:t>0</w:t>
                  </w:r>
                </w:p>
              </w:tc>
              <w:tc>
                <w:tcPr>
                  <w:tcW w:w="679"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废炉渣</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锅炉清理</w:t>
                  </w:r>
                </w:p>
              </w:tc>
              <w:tc>
                <w:tcPr>
                  <w:tcW w:w="300"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固</w:t>
                  </w:r>
                </w:p>
              </w:tc>
              <w:tc>
                <w:tcPr>
                  <w:tcW w:w="420" w:type="pct"/>
                  <w:vAlign w:val="center"/>
                </w:tcPr>
                <w:p>
                  <w:pPr>
                    <w:autoSpaceDE w:val="0"/>
                    <w:autoSpaceDN w:val="0"/>
                    <w:adjustRightInd w:val="0"/>
                    <w:snapToGrid w:val="0"/>
                    <w:jc w:val="center"/>
                    <w:rPr>
                      <w:color w:val="auto"/>
                      <w:kern w:val="0"/>
                      <w:sz w:val="20"/>
                      <w:szCs w:val="20"/>
                    </w:rPr>
                  </w:pPr>
                  <w:r>
                    <w:rPr>
                      <w:rFonts w:hint="eastAsia"/>
                      <w:b/>
                      <w:bCs/>
                      <w:color w:val="auto"/>
                      <w:sz w:val="20"/>
                      <w:szCs w:val="20"/>
                    </w:rPr>
                    <w:t>-</w:t>
                  </w:r>
                </w:p>
              </w:tc>
              <w:tc>
                <w:tcPr>
                  <w:tcW w:w="386" w:type="pct"/>
                  <w:vAlign w:val="center"/>
                </w:tcPr>
                <w:p>
                  <w:pPr>
                    <w:jc w:val="center"/>
                    <w:rPr>
                      <w:color w:val="auto"/>
                      <w:kern w:val="0"/>
                      <w:sz w:val="20"/>
                      <w:szCs w:val="20"/>
                    </w:rPr>
                  </w:pPr>
                  <w:r>
                    <w:rPr>
                      <w:rFonts w:hint="eastAsia" w:eastAsia="仿宋"/>
                      <w:sz w:val="20"/>
                      <w:szCs w:val="20"/>
                    </w:rPr>
                    <w:t>SW03</w:t>
                  </w:r>
                </w:p>
              </w:tc>
              <w:tc>
                <w:tcPr>
                  <w:tcW w:w="701" w:type="pct"/>
                  <w:vAlign w:val="center"/>
                </w:tcPr>
                <w:p>
                  <w:pPr>
                    <w:jc w:val="center"/>
                    <w:rPr>
                      <w:color w:val="auto"/>
                      <w:kern w:val="0"/>
                      <w:sz w:val="20"/>
                      <w:szCs w:val="20"/>
                    </w:rPr>
                  </w:pPr>
                  <w:r>
                    <w:rPr>
                      <w:rFonts w:hint="eastAsia" w:eastAsia="仿宋"/>
                      <w:kern w:val="24"/>
                      <w:sz w:val="20"/>
                      <w:szCs w:val="20"/>
                    </w:rPr>
                    <w:t>900-099-S03</w:t>
                  </w:r>
                </w:p>
              </w:tc>
              <w:tc>
                <w:tcPr>
                  <w:tcW w:w="341"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eastAsiaTheme="minorEastAsia"/>
                      <w:b w:val="0"/>
                      <w:bCs w:val="0"/>
                      <w:color w:val="auto"/>
                      <w:sz w:val="20"/>
                      <w:szCs w:val="20"/>
                      <w:lang w:val="en-US" w:eastAsia="zh-CN"/>
                    </w:rPr>
                    <w:t>149</w:t>
                  </w:r>
                </w:p>
              </w:tc>
              <w:tc>
                <w:tcPr>
                  <w:tcW w:w="542" w:type="pct"/>
                  <w:vMerge w:val="continue"/>
                  <w:vAlign w:val="center"/>
                </w:tcPr>
                <w:p>
                  <w:pPr>
                    <w:pStyle w:val="33"/>
                    <w:adjustRightInd w:val="0"/>
                    <w:snapToGrid w:val="0"/>
                    <w:rPr>
                      <w:rFonts w:ascii="Times New Roman" w:hAnsi="Times New Roman" w:eastAsia="等线" w:cs="Times New Roman"/>
                      <w:b w:val="0"/>
                      <w:color w:val="auto"/>
                      <w:sz w:val="20"/>
                      <w:szCs w:val="20"/>
                    </w:rPr>
                  </w:pPr>
                </w:p>
              </w:tc>
              <w:tc>
                <w:tcPr>
                  <w:tcW w:w="561" w:type="pct"/>
                  <w:vAlign w:val="center"/>
                </w:tcPr>
                <w:p>
                  <w:pPr>
                    <w:pStyle w:val="33"/>
                    <w:adjustRightInd w:val="0"/>
                    <w:snapToGrid w:val="0"/>
                    <w:rPr>
                      <w:rFonts w:hint="default" w:ascii="Times New Roman" w:hAnsi="Times New Roman" w:cs="Times New Roman"/>
                      <w:b w:val="0"/>
                      <w:bCs w:val="0"/>
                      <w:color w:val="auto"/>
                      <w:sz w:val="20"/>
                      <w:szCs w:val="20"/>
                      <w:lang w:val="en-US"/>
                    </w:rPr>
                  </w:pPr>
                  <w:r>
                    <w:rPr>
                      <w:rFonts w:hint="eastAsia" w:ascii="Times New Roman" w:hAnsi="Times New Roman" w:cs="Times New Roman" w:eastAsiaTheme="minorEastAsia"/>
                      <w:b w:val="0"/>
                      <w:bCs w:val="0"/>
                      <w:color w:val="auto"/>
                      <w:sz w:val="20"/>
                      <w:szCs w:val="20"/>
                      <w:lang w:val="en-US" w:eastAsia="zh-CN"/>
                    </w:rPr>
                    <w:t>140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rPr>
                    <w:t>1</w:t>
                  </w:r>
                  <w:r>
                    <w:rPr>
                      <w:rFonts w:hint="eastAsia" w:ascii="Times New Roman" w:hAnsi="Times New Roman" w:cs="Times New Roman"/>
                      <w:b w:val="0"/>
                      <w:bCs w:val="0"/>
                      <w:color w:val="auto"/>
                      <w:sz w:val="20"/>
                      <w:szCs w:val="20"/>
                      <w:lang w:val="en-US" w:eastAsia="zh-CN"/>
                    </w:rPr>
                    <w:t>1</w:t>
                  </w:r>
                </w:p>
              </w:tc>
              <w:tc>
                <w:tcPr>
                  <w:tcW w:w="679" w:type="pct"/>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废粉尘</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vAlign w:val="center"/>
                </w:tcPr>
                <w:p>
                  <w:pPr>
                    <w:adjustRightInd w:val="0"/>
                    <w:snapToGrid w:val="0"/>
                    <w:jc w:val="center"/>
                    <w:rPr>
                      <w:color w:val="auto"/>
                      <w:kern w:val="0"/>
                      <w:sz w:val="20"/>
                      <w:szCs w:val="20"/>
                    </w:rPr>
                  </w:pPr>
                  <w:r>
                    <w:rPr>
                      <w:rFonts w:hint="eastAsia"/>
                      <w:color w:val="auto"/>
                      <w:sz w:val="20"/>
                      <w:szCs w:val="20"/>
                      <w:lang w:val="en-US" w:eastAsia="zh-CN"/>
                    </w:rPr>
                    <w:t>废气处理</w:t>
                  </w:r>
                </w:p>
              </w:tc>
              <w:tc>
                <w:tcPr>
                  <w:tcW w:w="300" w:type="pct"/>
                  <w:vAlign w:val="center"/>
                </w:tcPr>
                <w:p>
                  <w:pPr>
                    <w:pStyle w:val="33"/>
                    <w:adjustRightInd w:val="0"/>
                    <w:snapToGrid w:val="0"/>
                    <w:rPr>
                      <w:color w:val="auto"/>
                      <w:kern w:val="0"/>
                      <w:sz w:val="20"/>
                      <w:szCs w:val="20"/>
                    </w:rPr>
                  </w:pPr>
                  <w:r>
                    <w:rPr>
                      <w:rFonts w:hint="eastAsia" w:ascii="Times New Roman" w:hAnsi="Times New Roman" w:cs="Times New Roman"/>
                      <w:b w:val="0"/>
                      <w:bCs w:val="0"/>
                      <w:color w:val="auto"/>
                      <w:sz w:val="20"/>
                      <w:szCs w:val="20"/>
                      <w:lang w:val="en-US" w:eastAsia="zh-CN"/>
                    </w:rPr>
                    <w:t>固</w:t>
                  </w:r>
                </w:p>
              </w:tc>
              <w:tc>
                <w:tcPr>
                  <w:tcW w:w="420" w:type="pct"/>
                  <w:vAlign w:val="center"/>
                </w:tcPr>
                <w:p>
                  <w:pPr>
                    <w:autoSpaceDE w:val="0"/>
                    <w:autoSpaceDN w:val="0"/>
                    <w:adjustRightInd w:val="0"/>
                    <w:snapToGrid w:val="0"/>
                    <w:jc w:val="center"/>
                    <w:rPr>
                      <w:b/>
                      <w:bCs/>
                      <w:color w:val="auto"/>
                      <w:sz w:val="20"/>
                      <w:szCs w:val="20"/>
                    </w:rPr>
                  </w:pPr>
                  <w:r>
                    <w:rPr>
                      <w:rFonts w:hint="eastAsia"/>
                      <w:b/>
                      <w:bCs/>
                      <w:color w:val="auto"/>
                      <w:sz w:val="20"/>
                      <w:szCs w:val="20"/>
                    </w:rPr>
                    <w:t>-</w:t>
                  </w:r>
                </w:p>
              </w:tc>
              <w:tc>
                <w:tcPr>
                  <w:tcW w:w="386" w:type="pct"/>
                  <w:vAlign w:val="center"/>
                </w:tcPr>
                <w:p>
                  <w:pPr>
                    <w:jc w:val="center"/>
                    <w:rPr>
                      <w:color w:val="auto"/>
                      <w:kern w:val="0"/>
                      <w:sz w:val="20"/>
                      <w:szCs w:val="20"/>
                    </w:rPr>
                  </w:pPr>
                  <w:r>
                    <w:rPr>
                      <w:rFonts w:hint="eastAsia" w:eastAsia="仿宋"/>
                      <w:sz w:val="20"/>
                      <w:szCs w:val="20"/>
                    </w:rPr>
                    <w:t>SW59</w:t>
                  </w:r>
                </w:p>
              </w:tc>
              <w:tc>
                <w:tcPr>
                  <w:tcW w:w="701" w:type="pct"/>
                  <w:vAlign w:val="center"/>
                </w:tcPr>
                <w:p>
                  <w:pPr>
                    <w:jc w:val="center"/>
                    <w:rPr>
                      <w:color w:val="auto"/>
                      <w:kern w:val="0"/>
                      <w:sz w:val="20"/>
                      <w:szCs w:val="20"/>
                    </w:rPr>
                  </w:pPr>
                  <w:r>
                    <w:rPr>
                      <w:rFonts w:hint="eastAsia" w:eastAsia="仿宋"/>
                      <w:kern w:val="24"/>
                      <w:sz w:val="20"/>
                      <w:szCs w:val="20"/>
                    </w:rPr>
                    <w:t>900-099-S59</w:t>
                  </w:r>
                </w:p>
              </w:tc>
              <w:tc>
                <w:tcPr>
                  <w:tcW w:w="341"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eastAsiaTheme="minorEastAsia"/>
                      <w:b w:val="0"/>
                      <w:bCs w:val="0"/>
                      <w:color w:val="auto"/>
                      <w:sz w:val="20"/>
                      <w:szCs w:val="20"/>
                      <w:lang w:val="en-US" w:eastAsia="zh-CN"/>
                    </w:rPr>
                    <w:t>559.4</w:t>
                  </w:r>
                </w:p>
              </w:tc>
              <w:tc>
                <w:tcPr>
                  <w:tcW w:w="542" w:type="pct"/>
                  <w:vMerge w:val="continue"/>
                  <w:vAlign w:val="center"/>
                </w:tcPr>
                <w:p>
                  <w:pPr>
                    <w:pStyle w:val="33"/>
                    <w:adjustRightInd w:val="0"/>
                    <w:snapToGrid w:val="0"/>
                    <w:rPr>
                      <w:rFonts w:ascii="Times New Roman" w:hAnsi="Times New Roman" w:eastAsia="等线" w:cs="Times New Roman"/>
                      <w:b w:val="0"/>
                      <w:color w:val="auto"/>
                      <w:sz w:val="20"/>
                      <w:szCs w:val="20"/>
                    </w:rPr>
                  </w:pPr>
                </w:p>
              </w:tc>
              <w:tc>
                <w:tcPr>
                  <w:tcW w:w="561" w:type="pct"/>
                  <w:vAlign w:val="center"/>
                </w:tcPr>
                <w:p>
                  <w:pPr>
                    <w:pStyle w:val="33"/>
                    <w:adjustRightInd w:val="0"/>
                    <w:snapToGrid w:val="0"/>
                    <w:rPr>
                      <w:rFonts w:hint="default" w:ascii="Times New Roman" w:hAnsi="Times New Roman" w:cs="Times New Roman"/>
                      <w:b w:val="0"/>
                      <w:bCs w:val="0"/>
                      <w:color w:val="auto"/>
                      <w:sz w:val="20"/>
                      <w:szCs w:val="20"/>
                      <w:lang w:val="en-US"/>
                    </w:rPr>
                  </w:pPr>
                  <w:r>
                    <w:rPr>
                      <w:rFonts w:hint="eastAsia" w:ascii="Times New Roman" w:hAnsi="Times New Roman" w:cs="Times New Roman" w:eastAsiaTheme="minorEastAsia"/>
                      <w:b w:val="0"/>
                      <w:bCs w:val="0"/>
                      <w:color w:val="auto"/>
                      <w:sz w:val="20"/>
                      <w:szCs w:val="20"/>
                      <w:lang w:val="en-US" w:eastAsia="zh-CN"/>
                    </w:rPr>
                    <w:t>6.998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12</w:t>
                  </w:r>
                </w:p>
              </w:tc>
              <w:tc>
                <w:tcPr>
                  <w:tcW w:w="679" w:type="pct"/>
                  <w:shd w:val="clear" w:color="auto" w:fill="auto"/>
                  <w:vAlign w:val="center"/>
                </w:tcPr>
                <w:p>
                  <w:pPr>
                    <w:pStyle w:val="33"/>
                    <w:adjustRightInd w:val="0"/>
                    <w:snapToGrid w:val="0"/>
                    <w:rPr>
                      <w:rFonts w:hint="eastAsia"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脱硫渣</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vAlign w:val="center"/>
                </w:tcPr>
                <w:p>
                  <w:pPr>
                    <w:pStyle w:val="33"/>
                    <w:adjustRightInd w:val="0"/>
                    <w:snapToGrid w:val="0"/>
                    <w:rPr>
                      <w:rFonts w:hint="eastAsia"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废气处理</w:t>
                  </w:r>
                </w:p>
              </w:tc>
              <w:tc>
                <w:tcPr>
                  <w:tcW w:w="300" w:type="pct"/>
                  <w:vAlign w:val="center"/>
                </w:tcPr>
                <w:p>
                  <w:pPr>
                    <w:pStyle w:val="33"/>
                    <w:adjustRightInd w:val="0"/>
                    <w:snapToGrid w:val="0"/>
                    <w:rPr>
                      <w:rFonts w:hint="eastAsia"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固</w:t>
                  </w:r>
                </w:p>
              </w:tc>
              <w:tc>
                <w:tcPr>
                  <w:tcW w:w="420" w:type="pct"/>
                  <w:vAlign w:val="center"/>
                </w:tcPr>
                <w:p>
                  <w:pPr>
                    <w:autoSpaceDE w:val="0"/>
                    <w:autoSpaceDN w:val="0"/>
                    <w:adjustRightInd w:val="0"/>
                    <w:snapToGrid w:val="0"/>
                    <w:jc w:val="center"/>
                    <w:rPr>
                      <w:rFonts w:hint="eastAsia" w:eastAsia="宋体"/>
                      <w:b/>
                      <w:bCs/>
                      <w:color w:val="auto"/>
                      <w:sz w:val="20"/>
                      <w:szCs w:val="20"/>
                      <w:lang w:val="en-US" w:eastAsia="zh-CN"/>
                    </w:rPr>
                  </w:pPr>
                  <w:r>
                    <w:rPr>
                      <w:rFonts w:hint="eastAsia"/>
                      <w:b/>
                      <w:bCs/>
                      <w:color w:val="auto"/>
                      <w:sz w:val="20"/>
                      <w:szCs w:val="20"/>
                      <w:lang w:val="en-US" w:eastAsia="zh-CN"/>
                    </w:rPr>
                    <w:t>-</w:t>
                  </w:r>
                </w:p>
              </w:tc>
              <w:tc>
                <w:tcPr>
                  <w:tcW w:w="386" w:type="pct"/>
                  <w:shd w:val="clear" w:color="auto" w:fill="auto"/>
                  <w:vAlign w:val="center"/>
                </w:tcPr>
                <w:p>
                  <w:pPr>
                    <w:pStyle w:val="33"/>
                    <w:tabs>
                      <w:tab w:val="left" w:pos="235"/>
                    </w:tabs>
                    <w:adjustRightInd w:val="0"/>
                    <w:snapToGrid w:val="0"/>
                    <w:jc w:val="center"/>
                    <w:rPr>
                      <w:rFonts w:hint="eastAsia"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lang w:val="en-US" w:eastAsia="zh-CN"/>
                    </w:rPr>
                    <w:t>SW06</w:t>
                  </w:r>
                </w:p>
              </w:tc>
              <w:tc>
                <w:tcPr>
                  <w:tcW w:w="701" w:type="pct"/>
                  <w:shd w:val="clear" w:color="auto" w:fill="auto"/>
                  <w:vAlign w:val="center"/>
                </w:tcPr>
                <w:p>
                  <w:pPr>
                    <w:pStyle w:val="33"/>
                    <w:adjustRightInd w:val="0"/>
                    <w:snapToGrid w:val="0"/>
                    <w:rPr>
                      <w:rFonts w:hint="eastAsia"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lang w:val="en-US" w:eastAsia="zh-CN"/>
                    </w:rPr>
                    <w:t>900-099-06</w:t>
                  </w:r>
                </w:p>
              </w:tc>
              <w:tc>
                <w:tcPr>
                  <w:tcW w:w="341" w:type="pct"/>
                  <w:shd w:val="clear" w:color="auto" w:fill="auto"/>
                  <w:vAlign w:val="center"/>
                </w:tcPr>
                <w:p>
                  <w:pPr>
                    <w:pStyle w:val="33"/>
                    <w:adjustRightInd w:val="0"/>
                    <w:snapToGrid w:val="0"/>
                    <w:rPr>
                      <w:rFonts w:hint="eastAsia"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15</w:t>
                  </w:r>
                </w:p>
              </w:tc>
              <w:tc>
                <w:tcPr>
                  <w:tcW w:w="542" w:type="pct"/>
                  <w:vMerge w:val="continue"/>
                  <w:vAlign w:val="center"/>
                </w:tcPr>
                <w:p>
                  <w:pPr>
                    <w:pStyle w:val="33"/>
                    <w:adjustRightInd w:val="0"/>
                    <w:snapToGrid w:val="0"/>
                    <w:rPr>
                      <w:rFonts w:ascii="Times New Roman" w:hAnsi="Times New Roman" w:eastAsia="等线" w:cs="Times New Roman"/>
                      <w:b w:val="0"/>
                      <w:color w:val="auto"/>
                      <w:sz w:val="20"/>
                      <w:szCs w:val="20"/>
                    </w:rPr>
                  </w:pPr>
                </w:p>
              </w:tc>
              <w:tc>
                <w:tcPr>
                  <w:tcW w:w="561"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kern w:val="0"/>
                      <w:sz w:val="20"/>
                      <w:szCs w:val="20"/>
                      <w:lang w:val="en-US" w:eastAsia="zh-CN" w:bidi="ar-SA"/>
                    </w:rPr>
                    <w:t>13</w:t>
                  </w:r>
                </w:p>
              </w:tc>
              <w:tc>
                <w:tcPr>
                  <w:tcW w:w="679" w:type="pct"/>
                  <w:shd w:val="clear" w:color="auto" w:fill="auto"/>
                  <w:vAlign w:val="center"/>
                </w:tcPr>
                <w:p>
                  <w:pPr>
                    <w:pStyle w:val="33"/>
                    <w:adjustRightInd w:val="0"/>
                    <w:snapToGrid w:val="0"/>
                    <w:rPr>
                      <w:rFonts w:hint="eastAsia"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废滤网</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预缩</w:t>
                  </w:r>
                </w:p>
              </w:tc>
              <w:tc>
                <w:tcPr>
                  <w:tcW w:w="300" w:type="pct"/>
                  <w:vAlign w:val="center"/>
                </w:tcPr>
                <w:p>
                  <w:pPr>
                    <w:pStyle w:val="33"/>
                    <w:adjustRightInd w:val="0"/>
                    <w:snapToGrid w:val="0"/>
                    <w:rPr>
                      <w:rFonts w:hint="eastAsia"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固</w:t>
                  </w:r>
                </w:p>
              </w:tc>
              <w:tc>
                <w:tcPr>
                  <w:tcW w:w="420" w:type="pct"/>
                  <w:vAlign w:val="center"/>
                </w:tcPr>
                <w:p>
                  <w:pPr>
                    <w:autoSpaceDE w:val="0"/>
                    <w:autoSpaceDN w:val="0"/>
                    <w:adjustRightInd w:val="0"/>
                    <w:snapToGrid w:val="0"/>
                    <w:jc w:val="center"/>
                    <w:rPr>
                      <w:rFonts w:hint="eastAsia" w:eastAsia="宋体"/>
                      <w:b/>
                      <w:bCs/>
                      <w:color w:val="auto"/>
                      <w:sz w:val="20"/>
                      <w:szCs w:val="20"/>
                      <w:lang w:val="en-US" w:eastAsia="zh-CN"/>
                    </w:rPr>
                  </w:pPr>
                  <w:r>
                    <w:rPr>
                      <w:rFonts w:hint="eastAsia"/>
                      <w:b/>
                      <w:bCs/>
                      <w:color w:val="auto"/>
                      <w:sz w:val="20"/>
                      <w:szCs w:val="20"/>
                      <w:lang w:val="en-US" w:eastAsia="zh-CN"/>
                    </w:rPr>
                    <w:t>-</w:t>
                  </w:r>
                </w:p>
              </w:tc>
              <w:tc>
                <w:tcPr>
                  <w:tcW w:w="386"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SW59</w:t>
                  </w:r>
                </w:p>
              </w:tc>
              <w:tc>
                <w:tcPr>
                  <w:tcW w:w="701"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9000-009-59</w:t>
                  </w:r>
                </w:p>
              </w:tc>
              <w:tc>
                <w:tcPr>
                  <w:tcW w:w="341"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0.02</w:t>
                  </w:r>
                </w:p>
              </w:tc>
              <w:tc>
                <w:tcPr>
                  <w:tcW w:w="542" w:type="pct"/>
                  <w:vMerge w:val="continue"/>
                  <w:vAlign w:val="center"/>
                </w:tcPr>
                <w:p>
                  <w:pPr>
                    <w:pStyle w:val="33"/>
                    <w:adjustRightInd w:val="0"/>
                    <w:snapToGrid w:val="0"/>
                    <w:rPr>
                      <w:rFonts w:ascii="Times New Roman" w:hAnsi="Times New Roman" w:eastAsia="等线" w:cs="Times New Roman"/>
                      <w:b w:val="0"/>
                      <w:color w:val="auto"/>
                      <w:sz w:val="20"/>
                      <w:szCs w:val="20"/>
                    </w:rPr>
                  </w:pPr>
                </w:p>
              </w:tc>
              <w:tc>
                <w:tcPr>
                  <w:tcW w:w="561" w:type="pct"/>
                  <w:vAlign w:val="center"/>
                </w:tcPr>
                <w:p>
                  <w:pPr>
                    <w:pStyle w:val="33"/>
                    <w:adjustRightInd w:val="0"/>
                    <w:snapToGrid w:val="0"/>
                    <w:rPr>
                      <w:rFonts w:hint="default" w:ascii="Times New Roman" w:hAnsi="Times New Roman" w:eastAsia="宋体" w:cs="Times New Roman"/>
                      <w:b w:val="0"/>
                      <w:color w:val="auto"/>
                      <w:sz w:val="20"/>
                      <w:szCs w:val="20"/>
                      <w:lang w:val="en-US" w:eastAsia="zh-CN"/>
                    </w:rPr>
                  </w:pPr>
                  <w:r>
                    <w:rPr>
                      <w:rFonts w:hint="eastAsia" w:ascii="Times New Roman" w:hAnsi="Times New Roman" w:cs="Times New Roman"/>
                      <w:b w:val="0"/>
                      <w:color w:val="auto"/>
                      <w:sz w:val="20"/>
                      <w:szCs w:val="20"/>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14</w:t>
                  </w:r>
                </w:p>
              </w:tc>
              <w:tc>
                <w:tcPr>
                  <w:tcW w:w="679" w:type="pct"/>
                  <w:shd w:val="clear" w:color="auto" w:fill="auto"/>
                  <w:vAlign w:val="center"/>
                </w:tcPr>
                <w:p>
                  <w:pPr>
                    <w:pStyle w:val="33"/>
                    <w:adjustRightInd w:val="0"/>
                    <w:snapToGrid w:val="0"/>
                    <w:rPr>
                      <w:rFonts w:hint="default"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纯水制备废滤芯</w:t>
                  </w:r>
                  <w:r>
                    <w:rPr>
                      <w:rFonts w:hint="eastAsia" w:ascii="Times New Roman" w:hAnsi="Times New Roman" w:cs="Times New Roman"/>
                      <w:b w:val="0"/>
                      <w:color w:val="auto"/>
                      <w:sz w:val="20"/>
                      <w:szCs w:val="20"/>
                      <w:lang w:eastAsia="zh-CN"/>
                    </w:rPr>
                    <w:t>、</w:t>
                  </w:r>
                  <w:r>
                    <w:rPr>
                      <w:rFonts w:hint="eastAsia" w:ascii="Times New Roman" w:hAnsi="Times New Roman" w:cs="Times New Roman"/>
                      <w:b w:val="0"/>
                      <w:color w:val="auto"/>
                      <w:sz w:val="20"/>
                      <w:szCs w:val="20"/>
                      <w:lang w:val="en-US" w:eastAsia="zh-CN"/>
                    </w:rPr>
                    <w:t>RO膜</w:t>
                  </w:r>
                </w:p>
              </w:tc>
              <w:tc>
                <w:tcPr>
                  <w:tcW w:w="161" w:type="pct"/>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695"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color w:val="auto"/>
                      <w:sz w:val="20"/>
                      <w:szCs w:val="20"/>
                    </w:rPr>
                    <w:t>纯水制备</w:t>
                  </w:r>
                </w:p>
              </w:tc>
              <w:tc>
                <w:tcPr>
                  <w:tcW w:w="300"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color w:val="auto"/>
                      <w:sz w:val="20"/>
                      <w:szCs w:val="20"/>
                    </w:rPr>
                    <w:t>固</w:t>
                  </w:r>
                </w:p>
              </w:tc>
              <w:tc>
                <w:tcPr>
                  <w:tcW w:w="420" w:type="pct"/>
                  <w:vAlign w:val="center"/>
                </w:tcPr>
                <w:p>
                  <w:pPr>
                    <w:autoSpaceDE w:val="0"/>
                    <w:autoSpaceDN w:val="0"/>
                    <w:adjustRightInd w:val="0"/>
                    <w:snapToGrid w:val="0"/>
                    <w:jc w:val="center"/>
                    <w:rPr>
                      <w:color w:val="auto"/>
                      <w:kern w:val="0"/>
                      <w:sz w:val="20"/>
                      <w:szCs w:val="20"/>
                    </w:rPr>
                  </w:pPr>
                  <w:r>
                    <w:rPr>
                      <w:rFonts w:hint="eastAsia"/>
                      <w:b/>
                      <w:bCs/>
                      <w:color w:val="auto"/>
                      <w:sz w:val="20"/>
                      <w:szCs w:val="20"/>
                    </w:rPr>
                    <w:t>-</w:t>
                  </w:r>
                </w:p>
              </w:tc>
              <w:tc>
                <w:tcPr>
                  <w:tcW w:w="386" w:type="pct"/>
                  <w:vAlign w:val="center"/>
                </w:tcPr>
                <w:p>
                  <w:pPr>
                    <w:pStyle w:val="33"/>
                    <w:adjustRightInd w:val="0"/>
                    <w:snapToGrid w:val="0"/>
                    <w:rPr>
                      <w:color w:val="auto"/>
                      <w:kern w:val="0"/>
                      <w:sz w:val="20"/>
                      <w:szCs w:val="20"/>
                    </w:rPr>
                  </w:pPr>
                  <w:r>
                    <w:rPr>
                      <w:rFonts w:hint="eastAsia" w:ascii="Times New Roman" w:hAnsi="Times New Roman" w:cs="Times New Roman"/>
                      <w:b w:val="0"/>
                      <w:color w:val="auto"/>
                      <w:sz w:val="20"/>
                      <w:szCs w:val="20"/>
                    </w:rPr>
                    <w:t>SW59</w:t>
                  </w:r>
                </w:p>
              </w:tc>
              <w:tc>
                <w:tcPr>
                  <w:tcW w:w="701" w:type="pct"/>
                  <w:vAlign w:val="center"/>
                </w:tcPr>
                <w:p>
                  <w:pPr>
                    <w:pStyle w:val="33"/>
                    <w:adjustRightInd w:val="0"/>
                    <w:snapToGrid w:val="0"/>
                    <w:rPr>
                      <w:color w:val="auto"/>
                      <w:kern w:val="0"/>
                      <w:sz w:val="20"/>
                      <w:szCs w:val="20"/>
                    </w:rPr>
                  </w:pPr>
                  <w:r>
                    <w:rPr>
                      <w:rFonts w:hint="eastAsia" w:ascii="Times New Roman" w:hAnsi="Times New Roman" w:cs="Times New Roman"/>
                      <w:b w:val="0"/>
                      <w:color w:val="auto"/>
                      <w:sz w:val="20"/>
                      <w:szCs w:val="20"/>
                    </w:rPr>
                    <w:t>900-009-S59</w:t>
                  </w:r>
                </w:p>
              </w:tc>
              <w:tc>
                <w:tcPr>
                  <w:tcW w:w="341"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color w:val="auto"/>
                      <w:sz w:val="20"/>
                      <w:szCs w:val="20"/>
                    </w:rPr>
                    <w:t>3</w:t>
                  </w:r>
                </w:p>
              </w:tc>
              <w:tc>
                <w:tcPr>
                  <w:tcW w:w="542" w:type="pct"/>
                  <w:vMerge w:val="continue"/>
                  <w:vAlign w:val="center"/>
                </w:tcPr>
                <w:p>
                  <w:pPr>
                    <w:pStyle w:val="33"/>
                    <w:adjustRightInd w:val="0"/>
                    <w:snapToGrid w:val="0"/>
                    <w:rPr>
                      <w:rFonts w:ascii="Times New Roman" w:hAnsi="Times New Roman" w:eastAsia="等线" w:cs="Times New Roman"/>
                      <w:b w:val="0"/>
                      <w:color w:val="auto"/>
                      <w:sz w:val="20"/>
                      <w:szCs w:val="20"/>
                    </w:rPr>
                  </w:pPr>
                </w:p>
              </w:tc>
              <w:tc>
                <w:tcPr>
                  <w:tcW w:w="561"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color w:val="auto"/>
                      <w:sz w:val="20"/>
                      <w:szCs w:val="20"/>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208" w:type="pct"/>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15</w:t>
                  </w:r>
                </w:p>
              </w:tc>
              <w:tc>
                <w:tcPr>
                  <w:tcW w:w="679"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生活垃圾</w:t>
                  </w:r>
                </w:p>
              </w:tc>
              <w:tc>
                <w:tcPr>
                  <w:tcW w:w="161" w:type="pct"/>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生活垃圾</w:t>
                  </w:r>
                </w:p>
              </w:tc>
              <w:tc>
                <w:tcPr>
                  <w:tcW w:w="695" w:type="pct"/>
                  <w:vAlign w:val="center"/>
                </w:tcPr>
                <w:p>
                  <w:pPr>
                    <w:pStyle w:val="167"/>
                    <w:spacing w:beforeLines="0" w:afterLines="0" w:line="240" w:lineRule="auto"/>
                    <w:rPr>
                      <w:rFonts w:ascii="Times New Roman"/>
                      <w:color w:val="auto"/>
                      <w:sz w:val="20"/>
                      <w:szCs w:val="20"/>
                      <w:lang w:val="en-US"/>
                    </w:rPr>
                  </w:pPr>
                  <w:r>
                    <w:rPr>
                      <w:rFonts w:hint="eastAsia" w:ascii="Times New Roman"/>
                      <w:color w:val="auto"/>
                      <w:sz w:val="20"/>
                      <w:szCs w:val="20"/>
                      <w:lang w:val="en-US"/>
                    </w:rPr>
                    <w:t>生活</w:t>
                  </w:r>
                </w:p>
              </w:tc>
              <w:tc>
                <w:tcPr>
                  <w:tcW w:w="300" w:type="pct"/>
                  <w:vAlign w:val="center"/>
                </w:tcPr>
                <w:p>
                  <w:pPr>
                    <w:pStyle w:val="167"/>
                    <w:spacing w:beforeLines="0" w:afterLines="0" w:line="240" w:lineRule="auto"/>
                    <w:rPr>
                      <w:rFonts w:ascii="Times New Roman"/>
                      <w:color w:val="auto"/>
                      <w:sz w:val="20"/>
                      <w:szCs w:val="20"/>
                      <w:lang w:val="en-US"/>
                    </w:rPr>
                  </w:pPr>
                  <w:r>
                    <w:rPr>
                      <w:rFonts w:hint="eastAsia" w:ascii="Times New Roman"/>
                      <w:color w:val="auto"/>
                      <w:sz w:val="20"/>
                      <w:szCs w:val="20"/>
                      <w:lang w:val="en-US"/>
                    </w:rPr>
                    <w:t>固</w:t>
                  </w:r>
                </w:p>
              </w:tc>
              <w:tc>
                <w:tcPr>
                  <w:tcW w:w="420" w:type="pct"/>
                  <w:vAlign w:val="center"/>
                </w:tcPr>
                <w:p>
                  <w:pPr>
                    <w:autoSpaceDE w:val="0"/>
                    <w:autoSpaceDN w:val="0"/>
                    <w:adjustRightInd w:val="0"/>
                    <w:snapToGrid w:val="0"/>
                    <w:jc w:val="center"/>
                    <w:rPr>
                      <w:color w:val="auto"/>
                      <w:kern w:val="0"/>
                      <w:sz w:val="20"/>
                      <w:szCs w:val="20"/>
                    </w:rPr>
                  </w:pPr>
                  <w:r>
                    <w:rPr>
                      <w:rFonts w:hint="eastAsia"/>
                      <w:color w:val="auto"/>
                      <w:kern w:val="0"/>
                      <w:sz w:val="20"/>
                      <w:szCs w:val="20"/>
                    </w:rPr>
                    <w:t>-</w:t>
                  </w:r>
                </w:p>
              </w:tc>
              <w:tc>
                <w:tcPr>
                  <w:tcW w:w="386" w:type="pct"/>
                  <w:vAlign w:val="center"/>
                </w:tcPr>
                <w:p>
                  <w:pPr>
                    <w:autoSpaceDE w:val="0"/>
                    <w:autoSpaceDN w:val="0"/>
                    <w:snapToGrid w:val="0"/>
                    <w:jc w:val="center"/>
                    <w:rPr>
                      <w:color w:val="auto"/>
                      <w:kern w:val="0"/>
                      <w:sz w:val="20"/>
                      <w:szCs w:val="20"/>
                    </w:rPr>
                  </w:pPr>
                  <w:r>
                    <w:rPr>
                      <w:rFonts w:hint="eastAsia"/>
                      <w:color w:val="auto"/>
                      <w:kern w:val="0"/>
                      <w:sz w:val="20"/>
                      <w:szCs w:val="20"/>
                    </w:rPr>
                    <w:t>SW64</w:t>
                  </w:r>
                </w:p>
              </w:tc>
              <w:tc>
                <w:tcPr>
                  <w:tcW w:w="701" w:type="pct"/>
                  <w:vAlign w:val="center"/>
                </w:tcPr>
                <w:p>
                  <w:pPr>
                    <w:widowControl/>
                    <w:jc w:val="center"/>
                    <w:rPr>
                      <w:color w:val="auto"/>
                      <w:kern w:val="0"/>
                      <w:sz w:val="20"/>
                      <w:szCs w:val="20"/>
                    </w:rPr>
                  </w:pPr>
                  <w:r>
                    <w:rPr>
                      <w:rFonts w:hint="eastAsia"/>
                      <w:color w:val="auto"/>
                      <w:kern w:val="0"/>
                      <w:sz w:val="20"/>
                      <w:szCs w:val="20"/>
                    </w:rPr>
                    <w:t>900-099-64</w:t>
                  </w:r>
                </w:p>
              </w:tc>
              <w:tc>
                <w:tcPr>
                  <w:tcW w:w="341" w:type="pct"/>
                  <w:vAlign w:val="center"/>
                </w:tcPr>
                <w:p>
                  <w:pPr>
                    <w:pStyle w:val="167"/>
                    <w:spacing w:beforeLines="0" w:afterLines="0" w:line="240" w:lineRule="auto"/>
                    <w:rPr>
                      <w:rFonts w:hint="default" w:ascii="Times New Roman" w:eastAsia="宋体"/>
                      <w:color w:val="auto"/>
                      <w:sz w:val="20"/>
                      <w:szCs w:val="20"/>
                      <w:lang w:val="en-US" w:eastAsia="zh-CN"/>
                    </w:rPr>
                  </w:pPr>
                  <w:r>
                    <w:rPr>
                      <w:rFonts w:hint="eastAsia" w:ascii="Times New Roman"/>
                      <w:color w:val="auto"/>
                      <w:sz w:val="20"/>
                      <w:szCs w:val="20"/>
                      <w:lang w:val="en-US" w:eastAsia="zh-CN"/>
                    </w:rPr>
                    <w:t>7.5</w:t>
                  </w:r>
                </w:p>
              </w:tc>
              <w:tc>
                <w:tcPr>
                  <w:tcW w:w="542" w:type="pct"/>
                  <w:vAlign w:val="center"/>
                </w:tcPr>
                <w:p>
                  <w:pPr>
                    <w:pStyle w:val="167"/>
                    <w:spacing w:beforeLines="0" w:afterLines="0" w:line="240" w:lineRule="auto"/>
                    <w:rPr>
                      <w:rFonts w:ascii="Times New Roman"/>
                      <w:color w:val="auto"/>
                      <w:sz w:val="20"/>
                      <w:szCs w:val="20"/>
                      <w:lang w:val="en-US"/>
                    </w:rPr>
                  </w:pPr>
                  <w:r>
                    <w:rPr>
                      <w:rFonts w:hint="eastAsia" w:ascii="Times New Roman"/>
                      <w:color w:val="auto"/>
                      <w:sz w:val="20"/>
                      <w:szCs w:val="20"/>
                      <w:lang w:val="en-US"/>
                    </w:rPr>
                    <w:t>环卫清运</w:t>
                  </w:r>
                </w:p>
              </w:tc>
              <w:tc>
                <w:tcPr>
                  <w:tcW w:w="561" w:type="pct"/>
                  <w:vAlign w:val="center"/>
                </w:tcPr>
                <w:p>
                  <w:pPr>
                    <w:pStyle w:val="33"/>
                    <w:adjustRightInd w:val="0"/>
                    <w:snapToGrid w:val="0"/>
                    <w:rPr>
                      <w:rFonts w:hint="default" w:ascii="Times New Roman" w:hAnsi="Times New Roman" w:eastAsia="等线" w:cs="Times New Roman"/>
                      <w:b w:val="0"/>
                      <w:color w:val="auto"/>
                      <w:sz w:val="20"/>
                      <w:szCs w:val="20"/>
                      <w:lang w:val="en-US" w:eastAsia="zh-CN"/>
                    </w:rPr>
                  </w:pPr>
                  <w:r>
                    <w:rPr>
                      <w:rFonts w:hint="eastAsia" w:ascii="Times New Roman" w:hAnsi="Times New Roman" w:eastAsia="等线" w:cs="Times New Roman"/>
                      <w:b w:val="0"/>
                      <w:color w:val="auto"/>
                      <w:sz w:val="20"/>
                      <w:szCs w:val="20"/>
                      <w:lang w:val="en-US" w:eastAsia="zh-CN"/>
                    </w:rPr>
                    <w:t>7.5</w:t>
                  </w:r>
                </w:p>
              </w:tc>
            </w:tr>
            <w:bookmarkEnd w:id="25"/>
          </w:tbl>
          <w:p>
            <w:pPr>
              <w:adjustRightInd w:val="0"/>
              <w:snapToGrid w:val="0"/>
              <w:spacing w:line="312" w:lineRule="auto"/>
              <w:ind w:firstLine="420" w:firstLineChars="200"/>
              <w:rPr>
                <w:color w:val="auto"/>
                <w:szCs w:val="21"/>
              </w:rPr>
            </w:pPr>
          </w:p>
          <w:p>
            <w:pPr>
              <w:adjustRightInd w:val="0"/>
              <w:snapToGrid w:val="0"/>
              <w:ind w:firstLine="482"/>
              <w:jc w:val="center"/>
              <w:rPr>
                <w:b/>
                <w:color w:val="auto"/>
                <w:szCs w:val="21"/>
              </w:rPr>
            </w:pPr>
            <w:r>
              <w:rPr>
                <w:rFonts w:hint="eastAsia"/>
                <w:b/>
                <w:color w:val="auto"/>
                <w:szCs w:val="21"/>
                <w:lang w:val="zh-CN"/>
              </w:rPr>
              <w:t>表</w:t>
            </w:r>
            <w:r>
              <w:rPr>
                <w:rFonts w:hint="eastAsia"/>
                <w:b/>
                <w:color w:val="auto"/>
                <w:szCs w:val="21"/>
              </w:rPr>
              <w:t>4-</w:t>
            </w:r>
            <w:r>
              <w:rPr>
                <w:rFonts w:hint="eastAsia"/>
                <w:b/>
                <w:color w:val="auto"/>
                <w:szCs w:val="21"/>
                <w:lang w:val="en-US" w:eastAsia="zh-CN"/>
              </w:rPr>
              <w:t>32</w:t>
            </w:r>
            <w:r>
              <w:rPr>
                <w:rFonts w:hint="eastAsia"/>
                <w:b/>
                <w:color w:val="auto"/>
                <w:szCs w:val="21"/>
              </w:rPr>
              <w:t xml:space="preserve">  </w:t>
            </w:r>
            <w:r>
              <w:rPr>
                <w:rFonts w:hint="eastAsia"/>
                <w:b/>
                <w:color w:val="auto"/>
                <w:szCs w:val="21"/>
                <w:lang w:val="zh-CN"/>
              </w:rPr>
              <w:t>危险废物汇总表</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67"/>
              <w:gridCol w:w="1304"/>
              <w:gridCol w:w="946"/>
              <w:gridCol w:w="947"/>
              <w:gridCol w:w="676"/>
              <w:gridCol w:w="1082"/>
              <w:gridCol w:w="1217"/>
              <w:gridCol w:w="815"/>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bookmarkStart w:id="26" w:name="_Hlk214373490"/>
                  <w:r>
                    <w:rPr>
                      <w:rFonts w:ascii="Times New Roman" w:hAnsi="Times New Roman" w:cs="Times New Roman"/>
                      <w:color w:val="auto"/>
                      <w:sz w:val="20"/>
                      <w:szCs w:val="20"/>
                    </w:rPr>
                    <w:t>序号</w:t>
                  </w:r>
                </w:p>
              </w:tc>
              <w:tc>
                <w:tcPr>
                  <w:tcW w:w="1304"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hint="eastAsia" w:ascii="Times New Roman" w:hAnsi="Times New Roman" w:cs="Times New Roman"/>
                      <w:color w:val="auto"/>
                      <w:sz w:val="20"/>
                      <w:szCs w:val="20"/>
                    </w:rPr>
                    <w:t>固</w:t>
                  </w:r>
                  <w:r>
                    <w:rPr>
                      <w:rFonts w:ascii="Times New Roman" w:hAnsi="Times New Roman" w:cs="Times New Roman"/>
                      <w:color w:val="auto"/>
                      <w:sz w:val="20"/>
                      <w:szCs w:val="20"/>
                    </w:rPr>
                    <w:t>废名称</w:t>
                  </w:r>
                </w:p>
              </w:tc>
              <w:tc>
                <w:tcPr>
                  <w:tcW w:w="946"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hint="eastAsia" w:ascii="Times New Roman" w:hAnsi="Times New Roman" w:cs="Times New Roman"/>
                      <w:color w:val="auto"/>
                      <w:sz w:val="20"/>
                      <w:szCs w:val="20"/>
                    </w:rPr>
                    <w:t>危废类别</w:t>
                  </w:r>
                </w:p>
              </w:tc>
              <w:tc>
                <w:tcPr>
                  <w:tcW w:w="947"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危险废物代码</w:t>
                  </w:r>
                </w:p>
              </w:tc>
              <w:tc>
                <w:tcPr>
                  <w:tcW w:w="676"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ascii="Times New Roman" w:hAnsi="Times New Roman" w:cs="Times New Roman"/>
                      <w:color w:val="auto"/>
                      <w:sz w:val="20"/>
                      <w:szCs w:val="20"/>
                    </w:rPr>
                    <w:t>产生量</w:t>
                  </w:r>
                  <w:r>
                    <w:rPr>
                      <w:rFonts w:hint="eastAsia" w:ascii="Times New Roman" w:hAnsi="Times New Roman" w:cs="Times New Roman"/>
                      <w:color w:val="auto"/>
                      <w:sz w:val="20"/>
                      <w:szCs w:val="20"/>
                    </w:rPr>
                    <w:t>（t</w:t>
                  </w:r>
                  <w:r>
                    <w:rPr>
                      <w:rFonts w:ascii="Times New Roman" w:hAnsi="Times New Roman" w:cs="Times New Roman"/>
                      <w:color w:val="auto"/>
                      <w:sz w:val="20"/>
                      <w:szCs w:val="20"/>
                    </w:rPr>
                    <w:t>/a）</w:t>
                  </w:r>
                </w:p>
              </w:tc>
              <w:tc>
                <w:tcPr>
                  <w:tcW w:w="1082"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hint="eastAsia" w:ascii="Times New Roman" w:hAnsi="Times New Roman" w:cs="Times New Roman"/>
                      <w:color w:val="auto"/>
                      <w:sz w:val="20"/>
                      <w:szCs w:val="20"/>
                    </w:rPr>
                    <w:t>污染防治措施</w:t>
                  </w:r>
                </w:p>
              </w:tc>
              <w:tc>
                <w:tcPr>
                  <w:tcW w:w="1217"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hint="eastAsia" w:ascii="Times New Roman" w:hAnsi="Times New Roman" w:cs="Times New Roman"/>
                      <w:color w:val="auto"/>
                      <w:sz w:val="20"/>
                      <w:szCs w:val="20"/>
                    </w:rPr>
                    <w:t>贮存方式</w:t>
                  </w:r>
                </w:p>
              </w:tc>
              <w:tc>
                <w:tcPr>
                  <w:tcW w:w="815"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hint="eastAsia" w:ascii="Times New Roman" w:hAnsi="Times New Roman" w:cs="Times New Roman"/>
                      <w:color w:val="auto"/>
                      <w:sz w:val="20"/>
                      <w:szCs w:val="20"/>
                    </w:rPr>
                    <w:t>贮存能力（t</w:t>
                  </w:r>
                  <w:r>
                    <w:rPr>
                      <w:rFonts w:ascii="Times New Roman" w:hAnsi="Times New Roman" w:cs="Times New Roman"/>
                      <w:color w:val="auto"/>
                      <w:sz w:val="20"/>
                      <w:szCs w:val="20"/>
                    </w:rPr>
                    <w:t>）</w:t>
                  </w:r>
                </w:p>
              </w:tc>
              <w:tc>
                <w:tcPr>
                  <w:tcW w:w="969" w:type="dxa"/>
                  <w:tcBorders>
                    <w:bottom w:val="single" w:color="auto" w:sz="12" w:space="0"/>
                  </w:tcBorders>
                  <w:vAlign w:val="center"/>
                </w:tcPr>
                <w:p>
                  <w:pPr>
                    <w:pStyle w:val="33"/>
                    <w:adjustRightInd w:val="0"/>
                    <w:snapToGrid w:val="0"/>
                    <w:rPr>
                      <w:rFonts w:ascii="Times New Roman" w:hAnsi="Times New Roman" w:cs="Times New Roman"/>
                      <w:color w:val="auto"/>
                      <w:sz w:val="20"/>
                      <w:szCs w:val="20"/>
                    </w:rPr>
                  </w:pPr>
                  <w:r>
                    <w:rPr>
                      <w:rFonts w:hint="eastAsia" w:ascii="Times New Roman" w:hAnsi="Times New Roman" w:cs="Times New Roman"/>
                      <w:color w:val="auto"/>
                      <w:sz w:val="20"/>
                      <w:szCs w:val="20"/>
                    </w:rPr>
                    <w:t>贮存周期</w:t>
                  </w:r>
                </w:p>
              </w:tc>
            </w:tr>
            <w:bookmarkEnd w:id="26"/>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99" w:hRule="atLeast"/>
                <w:jc w:val="center"/>
              </w:trPr>
              <w:tc>
                <w:tcPr>
                  <w:tcW w:w="467" w:type="dxa"/>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1</w:t>
                  </w:r>
                </w:p>
              </w:tc>
              <w:tc>
                <w:tcPr>
                  <w:tcW w:w="1304" w:type="dxa"/>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废导热油</w:t>
                  </w:r>
                </w:p>
              </w:tc>
              <w:tc>
                <w:tcPr>
                  <w:tcW w:w="946" w:type="dxa"/>
                  <w:tcBorders>
                    <w:top w:val="single" w:color="auto" w:sz="12" w:space="0"/>
                  </w:tcBorders>
                  <w:vAlign w:val="center"/>
                </w:tcPr>
                <w:p>
                  <w:pPr>
                    <w:jc w:val="center"/>
                    <w:rPr>
                      <w:rFonts w:ascii="Times New Roman" w:hAnsi="Times New Roman" w:cs="Times New Roman"/>
                      <w:color w:val="auto"/>
                      <w:sz w:val="20"/>
                      <w:szCs w:val="20"/>
                    </w:rPr>
                  </w:pPr>
                  <w:r>
                    <w:rPr>
                      <w:sz w:val="20"/>
                      <w:szCs w:val="20"/>
                    </w:rPr>
                    <w:t>HW</w:t>
                  </w:r>
                  <w:r>
                    <w:rPr>
                      <w:rFonts w:hint="eastAsia"/>
                      <w:sz w:val="20"/>
                      <w:szCs w:val="20"/>
                    </w:rPr>
                    <w:t>08</w:t>
                  </w:r>
                </w:p>
              </w:tc>
              <w:tc>
                <w:tcPr>
                  <w:tcW w:w="947" w:type="dxa"/>
                  <w:tcBorders>
                    <w:top w:val="single" w:color="auto" w:sz="12" w:space="0"/>
                  </w:tcBorders>
                  <w:vAlign w:val="center"/>
                </w:tcPr>
                <w:p>
                  <w:pPr>
                    <w:jc w:val="center"/>
                    <w:rPr>
                      <w:rFonts w:ascii="Times New Roman" w:hAnsi="Times New Roman" w:cs="Times New Roman"/>
                      <w:color w:val="auto"/>
                      <w:sz w:val="20"/>
                      <w:szCs w:val="20"/>
                    </w:rPr>
                  </w:pPr>
                  <w:r>
                    <w:rPr>
                      <w:kern w:val="0"/>
                      <w:sz w:val="20"/>
                      <w:szCs w:val="20"/>
                    </w:rPr>
                    <w:t>900-</w:t>
                  </w:r>
                  <w:r>
                    <w:rPr>
                      <w:rFonts w:hint="eastAsia"/>
                      <w:kern w:val="0"/>
                      <w:sz w:val="20"/>
                      <w:szCs w:val="20"/>
                    </w:rPr>
                    <w:t>249</w:t>
                  </w:r>
                  <w:r>
                    <w:rPr>
                      <w:kern w:val="0"/>
                      <w:sz w:val="20"/>
                      <w:szCs w:val="20"/>
                    </w:rPr>
                    <w:t>-</w:t>
                  </w:r>
                  <w:r>
                    <w:rPr>
                      <w:rFonts w:hint="eastAsia"/>
                      <w:kern w:val="0"/>
                      <w:sz w:val="20"/>
                      <w:szCs w:val="20"/>
                    </w:rPr>
                    <w:t>08</w:t>
                  </w:r>
                </w:p>
              </w:tc>
              <w:tc>
                <w:tcPr>
                  <w:tcW w:w="676" w:type="dxa"/>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eastAsia="等线" w:cs="Times New Roman"/>
                      <w:b w:val="0"/>
                      <w:bCs w:val="0"/>
                      <w:color w:val="auto"/>
                      <w:sz w:val="20"/>
                      <w:szCs w:val="20"/>
                      <w:lang w:val="en-US" w:eastAsia="zh-CN"/>
                    </w:rPr>
                    <w:t>2</w:t>
                  </w:r>
                </w:p>
              </w:tc>
              <w:tc>
                <w:tcPr>
                  <w:tcW w:w="1082" w:type="dxa"/>
                  <w:vMerge w:val="restart"/>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建专门的危废库，做到防腐防渗；分类收集， 分类贮存，建立健全管理台账；定期委托资质单位处置</w:t>
                  </w:r>
                </w:p>
              </w:tc>
              <w:tc>
                <w:tcPr>
                  <w:tcW w:w="1217" w:type="dxa"/>
                  <w:vMerge w:val="restart"/>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塑料桶密封保存</w:t>
                  </w:r>
                </w:p>
              </w:tc>
              <w:tc>
                <w:tcPr>
                  <w:tcW w:w="815" w:type="dxa"/>
                  <w:tcBorders>
                    <w:top w:val="single" w:color="auto" w:sz="12" w:space="0"/>
                  </w:tcBorders>
                  <w:vAlign w:val="center"/>
                </w:tcPr>
                <w:p>
                  <w:pPr>
                    <w:pStyle w:val="33"/>
                    <w:adjustRightInd w:val="0"/>
                    <w:snapToGrid w:val="0"/>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rPr>
                    <w:t>0.</w:t>
                  </w:r>
                  <w:r>
                    <w:rPr>
                      <w:rFonts w:hint="eastAsia" w:ascii="Times New Roman" w:hAnsi="Times New Roman" w:cs="Times New Roman"/>
                      <w:b w:val="0"/>
                      <w:bCs w:val="0"/>
                      <w:color w:val="auto"/>
                      <w:sz w:val="20"/>
                      <w:szCs w:val="20"/>
                      <w:lang w:val="en-US" w:eastAsia="zh-CN"/>
                    </w:rPr>
                    <w:t>5</w:t>
                  </w:r>
                </w:p>
              </w:tc>
              <w:tc>
                <w:tcPr>
                  <w:tcW w:w="969" w:type="dxa"/>
                  <w:tcBorders>
                    <w:top w:val="single" w:color="auto" w:sz="12" w:space="0"/>
                  </w:tcBorders>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3</w:t>
                  </w:r>
                  <w:r>
                    <w:rPr>
                      <w:rFonts w:hint="eastAsia" w:ascii="Times New Roman" w:hAnsi="Times New Roman" w:cs="Times New Roman"/>
                      <w:b w:val="0"/>
                      <w:bCs w:val="0"/>
                      <w:color w:val="auto"/>
                      <w:sz w:val="20"/>
                      <w:szCs w:val="20"/>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2</w:t>
                  </w:r>
                </w:p>
              </w:tc>
              <w:tc>
                <w:tcPr>
                  <w:tcW w:w="1304" w:type="dxa"/>
                  <w:vAlign w:val="center"/>
                </w:tcPr>
                <w:p>
                  <w:pPr>
                    <w:pStyle w:val="33"/>
                    <w:adjustRightInd w:val="0"/>
                    <w:snapToGrid w:val="0"/>
                    <w:rPr>
                      <w:rFonts w:ascii="Times New Roman" w:hAnsi="Times New Roman" w:cs="Times New Roman"/>
                      <w:b w:val="0"/>
                      <w:bCs w:val="0"/>
                      <w:color w:val="auto"/>
                      <w:sz w:val="20"/>
                      <w:szCs w:val="20"/>
                    </w:rPr>
                  </w:pPr>
                  <w:r>
                    <w:rPr>
                      <w:rFonts w:hint="eastAsia" w:hAnsi="宋体" w:cs="宋体"/>
                      <w:b w:val="0"/>
                      <w:bCs w:val="0"/>
                      <w:sz w:val="20"/>
                      <w:szCs w:val="20"/>
                    </w:rPr>
                    <w:t>含油抹布手套</w:t>
                  </w:r>
                </w:p>
              </w:tc>
              <w:tc>
                <w:tcPr>
                  <w:tcW w:w="946" w:type="dxa"/>
                  <w:vAlign w:val="center"/>
                </w:tcPr>
                <w:p>
                  <w:pPr>
                    <w:jc w:val="center"/>
                    <w:rPr>
                      <w:rFonts w:ascii="Times New Roman" w:hAnsi="Times New Roman" w:cs="Times New Roman"/>
                      <w:color w:val="auto"/>
                      <w:sz w:val="20"/>
                      <w:szCs w:val="20"/>
                    </w:rPr>
                  </w:pPr>
                  <w:r>
                    <w:rPr>
                      <w:sz w:val="20"/>
                      <w:szCs w:val="20"/>
                    </w:rPr>
                    <w:t>HW49</w:t>
                  </w:r>
                </w:p>
              </w:tc>
              <w:tc>
                <w:tcPr>
                  <w:tcW w:w="947" w:type="dxa"/>
                  <w:vAlign w:val="center"/>
                </w:tcPr>
                <w:p>
                  <w:pPr>
                    <w:jc w:val="center"/>
                    <w:rPr>
                      <w:rFonts w:ascii="Times New Roman" w:hAnsi="Times New Roman" w:cs="Times New Roman"/>
                      <w:color w:val="auto"/>
                      <w:sz w:val="20"/>
                      <w:szCs w:val="20"/>
                    </w:rPr>
                  </w:pPr>
                  <w:r>
                    <w:rPr>
                      <w:kern w:val="0"/>
                      <w:sz w:val="20"/>
                      <w:szCs w:val="20"/>
                    </w:rPr>
                    <w:t>900-041-49</w:t>
                  </w:r>
                </w:p>
              </w:tc>
              <w:tc>
                <w:tcPr>
                  <w:tcW w:w="676"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0.2</w:t>
                  </w:r>
                </w:p>
              </w:tc>
              <w:tc>
                <w:tcPr>
                  <w:tcW w:w="1082"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1217"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815" w:type="dxa"/>
                  <w:vAlign w:val="center"/>
                </w:tcPr>
                <w:p>
                  <w:pPr>
                    <w:pStyle w:val="33"/>
                    <w:adjustRightInd w:val="0"/>
                    <w:snapToGrid w:val="0"/>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rPr>
                    <w:t>0.</w:t>
                  </w:r>
                  <w:r>
                    <w:rPr>
                      <w:rFonts w:hint="eastAsia" w:ascii="Times New Roman" w:hAnsi="Times New Roman" w:cs="Times New Roman"/>
                      <w:b w:val="0"/>
                      <w:bCs w:val="0"/>
                      <w:color w:val="auto"/>
                      <w:sz w:val="20"/>
                      <w:szCs w:val="20"/>
                      <w:lang w:val="en-US" w:eastAsia="zh-CN"/>
                    </w:rPr>
                    <w:t>1</w:t>
                  </w:r>
                </w:p>
              </w:tc>
              <w:tc>
                <w:tcPr>
                  <w:tcW w:w="9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6</w:t>
                  </w:r>
                  <w:r>
                    <w:rPr>
                      <w:rFonts w:hint="eastAsia" w:ascii="Times New Roman" w:hAnsi="Times New Roman" w:cs="Times New Roman"/>
                      <w:b w:val="0"/>
                      <w:bCs w:val="0"/>
                      <w:color w:val="auto"/>
                      <w:sz w:val="20"/>
                      <w:szCs w:val="20"/>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3</w:t>
                  </w:r>
                </w:p>
              </w:tc>
              <w:tc>
                <w:tcPr>
                  <w:tcW w:w="130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废机油</w:t>
                  </w:r>
                </w:p>
              </w:tc>
              <w:tc>
                <w:tcPr>
                  <w:tcW w:w="946" w:type="dxa"/>
                  <w:vAlign w:val="center"/>
                </w:tcPr>
                <w:p>
                  <w:pPr>
                    <w:jc w:val="center"/>
                    <w:rPr>
                      <w:rFonts w:ascii="Times New Roman" w:hAnsi="Times New Roman" w:cs="Times New Roman"/>
                      <w:color w:val="auto"/>
                      <w:sz w:val="20"/>
                      <w:szCs w:val="20"/>
                    </w:rPr>
                  </w:pPr>
                  <w:r>
                    <w:rPr>
                      <w:sz w:val="20"/>
                      <w:szCs w:val="20"/>
                    </w:rPr>
                    <w:t>HW</w:t>
                  </w:r>
                  <w:r>
                    <w:rPr>
                      <w:rFonts w:hint="eastAsia"/>
                      <w:sz w:val="20"/>
                      <w:szCs w:val="20"/>
                    </w:rPr>
                    <w:t>08</w:t>
                  </w:r>
                </w:p>
              </w:tc>
              <w:tc>
                <w:tcPr>
                  <w:tcW w:w="947" w:type="dxa"/>
                  <w:vAlign w:val="center"/>
                </w:tcPr>
                <w:p>
                  <w:pPr>
                    <w:jc w:val="center"/>
                    <w:rPr>
                      <w:rFonts w:ascii="Times New Roman" w:hAnsi="Times New Roman" w:cs="Times New Roman"/>
                      <w:color w:val="auto"/>
                      <w:sz w:val="20"/>
                      <w:szCs w:val="20"/>
                    </w:rPr>
                  </w:pPr>
                  <w:r>
                    <w:rPr>
                      <w:kern w:val="0"/>
                      <w:sz w:val="20"/>
                      <w:szCs w:val="20"/>
                    </w:rPr>
                    <w:t>900-</w:t>
                  </w:r>
                  <w:r>
                    <w:rPr>
                      <w:rFonts w:hint="eastAsia"/>
                      <w:kern w:val="0"/>
                      <w:sz w:val="20"/>
                      <w:szCs w:val="20"/>
                    </w:rPr>
                    <w:t>218</w:t>
                  </w:r>
                  <w:r>
                    <w:rPr>
                      <w:kern w:val="0"/>
                      <w:sz w:val="20"/>
                      <w:szCs w:val="20"/>
                    </w:rPr>
                    <w:t>-</w:t>
                  </w:r>
                  <w:r>
                    <w:rPr>
                      <w:rFonts w:hint="eastAsia"/>
                      <w:kern w:val="0"/>
                      <w:sz w:val="20"/>
                      <w:szCs w:val="20"/>
                    </w:rPr>
                    <w:t>08</w:t>
                  </w:r>
                </w:p>
              </w:tc>
              <w:tc>
                <w:tcPr>
                  <w:tcW w:w="676" w:type="dxa"/>
                  <w:vAlign w:val="center"/>
                </w:tcPr>
                <w:p>
                  <w:pPr>
                    <w:jc w:val="center"/>
                    <w:rPr>
                      <w:rFonts w:ascii="Times New Roman" w:hAnsi="Times New Roman" w:cs="Times New Roman"/>
                      <w:b w:val="0"/>
                      <w:bCs w:val="0"/>
                      <w:color w:val="auto"/>
                      <w:sz w:val="20"/>
                      <w:szCs w:val="20"/>
                    </w:rPr>
                  </w:pPr>
                  <w:r>
                    <w:rPr>
                      <w:rFonts w:hint="eastAsia"/>
                      <w:bCs/>
                      <w:sz w:val="20"/>
                      <w:szCs w:val="20"/>
                    </w:rPr>
                    <w:t>0.8</w:t>
                  </w:r>
                </w:p>
              </w:tc>
              <w:tc>
                <w:tcPr>
                  <w:tcW w:w="1082"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1217"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815"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0.2</w:t>
                  </w:r>
                </w:p>
              </w:tc>
              <w:tc>
                <w:tcPr>
                  <w:tcW w:w="9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3</w:t>
                  </w:r>
                  <w:r>
                    <w:rPr>
                      <w:rFonts w:hint="eastAsia" w:ascii="Times New Roman" w:hAnsi="Times New Roman" w:cs="Times New Roman"/>
                      <w:b w:val="0"/>
                      <w:bCs w:val="0"/>
                      <w:color w:val="auto"/>
                      <w:sz w:val="20"/>
                      <w:szCs w:val="20"/>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4</w:t>
                  </w:r>
                </w:p>
              </w:tc>
              <w:tc>
                <w:tcPr>
                  <w:tcW w:w="1304" w:type="dxa"/>
                  <w:vAlign w:val="center"/>
                </w:tcPr>
                <w:p>
                  <w:pPr>
                    <w:autoSpaceDE w:val="0"/>
                    <w:autoSpaceDN w:val="0"/>
                    <w:snapToGrid w:val="0"/>
                    <w:jc w:val="center"/>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定型废气处理废油</w:t>
                  </w:r>
                </w:p>
              </w:tc>
              <w:tc>
                <w:tcPr>
                  <w:tcW w:w="946" w:type="dxa"/>
                  <w:vAlign w:val="center"/>
                </w:tcPr>
                <w:p>
                  <w:pPr>
                    <w:jc w:val="center"/>
                    <w:rPr>
                      <w:rFonts w:ascii="Times New Roman" w:hAnsi="Times New Roman" w:cs="Times New Roman"/>
                      <w:color w:val="auto"/>
                      <w:sz w:val="20"/>
                      <w:szCs w:val="20"/>
                    </w:rPr>
                  </w:pPr>
                  <w:r>
                    <w:rPr>
                      <w:rFonts w:hint="eastAsia"/>
                      <w:sz w:val="20"/>
                      <w:szCs w:val="20"/>
                    </w:rPr>
                    <w:t>HW08</w:t>
                  </w:r>
                </w:p>
              </w:tc>
              <w:tc>
                <w:tcPr>
                  <w:tcW w:w="947" w:type="dxa"/>
                  <w:vAlign w:val="center"/>
                </w:tcPr>
                <w:p>
                  <w:pPr>
                    <w:jc w:val="center"/>
                    <w:rPr>
                      <w:rFonts w:ascii="Times New Roman" w:hAnsi="Times New Roman" w:cs="Times New Roman"/>
                      <w:color w:val="auto"/>
                      <w:sz w:val="20"/>
                      <w:szCs w:val="20"/>
                    </w:rPr>
                  </w:pPr>
                  <w:r>
                    <w:rPr>
                      <w:rFonts w:hint="eastAsia"/>
                      <w:kern w:val="0"/>
                      <w:sz w:val="20"/>
                      <w:szCs w:val="20"/>
                    </w:rPr>
                    <w:t>900-249-08</w:t>
                  </w:r>
                </w:p>
              </w:tc>
              <w:tc>
                <w:tcPr>
                  <w:tcW w:w="676"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1.97</w:t>
                  </w:r>
                </w:p>
              </w:tc>
              <w:tc>
                <w:tcPr>
                  <w:tcW w:w="1082"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1217"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815"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rPr>
                    <w:t>0.5</w:t>
                  </w:r>
                </w:p>
              </w:tc>
              <w:tc>
                <w:tcPr>
                  <w:tcW w:w="9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3</w:t>
                  </w:r>
                  <w:r>
                    <w:rPr>
                      <w:rFonts w:hint="eastAsia" w:ascii="Times New Roman" w:hAnsi="Times New Roman" w:cs="Times New Roman"/>
                      <w:b w:val="0"/>
                      <w:bCs w:val="0"/>
                      <w:color w:val="auto"/>
                      <w:sz w:val="20"/>
                      <w:szCs w:val="20"/>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5</w:t>
                  </w:r>
                </w:p>
              </w:tc>
              <w:tc>
                <w:tcPr>
                  <w:tcW w:w="130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废包装桶</w:t>
                  </w:r>
                </w:p>
              </w:tc>
              <w:tc>
                <w:tcPr>
                  <w:tcW w:w="946" w:type="dxa"/>
                  <w:vAlign w:val="center"/>
                </w:tcPr>
                <w:p>
                  <w:pPr>
                    <w:jc w:val="center"/>
                    <w:rPr>
                      <w:rFonts w:ascii="Times New Roman" w:hAnsi="Times New Roman" w:cs="Times New Roman"/>
                      <w:b w:val="0"/>
                      <w:bCs w:val="0"/>
                      <w:color w:val="auto"/>
                      <w:sz w:val="20"/>
                      <w:szCs w:val="20"/>
                    </w:rPr>
                  </w:pPr>
                  <w:r>
                    <w:rPr>
                      <w:sz w:val="20"/>
                      <w:szCs w:val="20"/>
                    </w:rPr>
                    <w:t>HW49</w:t>
                  </w:r>
                </w:p>
              </w:tc>
              <w:tc>
                <w:tcPr>
                  <w:tcW w:w="947" w:type="dxa"/>
                  <w:vAlign w:val="center"/>
                </w:tcPr>
                <w:p>
                  <w:pPr>
                    <w:jc w:val="center"/>
                    <w:rPr>
                      <w:rFonts w:ascii="Times New Roman" w:hAnsi="Times New Roman" w:cs="Times New Roman"/>
                      <w:b w:val="0"/>
                      <w:bCs w:val="0"/>
                      <w:color w:val="auto"/>
                      <w:sz w:val="20"/>
                      <w:szCs w:val="20"/>
                    </w:rPr>
                  </w:pPr>
                  <w:r>
                    <w:rPr>
                      <w:kern w:val="0"/>
                      <w:sz w:val="20"/>
                      <w:szCs w:val="20"/>
                    </w:rPr>
                    <w:t>900-041-49</w:t>
                  </w:r>
                </w:p>
              </w:tc>
              <w:tc>
                <w:tcPr>
                  <w:tcW w:w="676" w:type="dxa"/>
                  <w:vAlign w:val="center"/>
                </w:tcPr>
                <w:p>
                  <w:pPr>
                    <w:jc w:val="center"/>
                    <w:rPr>
                      <w:rFonts w:ascii="Times New Roman" w:hAnsi="Times New Roman" w:cs="Times New Roman"/>
                      <w:b w:val="0"/>
                      <w:bCs w:val="0"/>
                      <w:color w:val="auto"/>
                      <w:sz w:val="20"/>
                      <w:szCs w:val="20"/>
                    </w:rPr>
                  </w:pPr>
                  <w:r>
                    <w:rPr>
                      <w:rFonts w:hint="eastAsia"/>
                      <w:sz w:val="20"/>
                      <w:szCs w:val="20"/>
                      <w:lang w:val="en-US" w:eastAsia="zh-CN"/>
                    </w:rPr>
                    <w:t>0.</w:t>
                  </w:r>
                  <w:r>
                    <w:rPr>
                      <w:rFonts w:hint="eastAsia"/>
                      <w:sz w:val="20"/>
                      <w:szCs w:val="20"/>
                    </w:rPr>
                    <w:t>15</w:t>
                  </w:r>
                </w:p>
              </w:tc>
              <w:tc>
                <w:tcPr>
                  <w:tcW w:w="1082"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1217"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815" w:type="dxa"/>
                  <w:vAlign w:val="center"/>
                </w:tcPr>
                <w:p>
                  <w:pPr>
                    <w:pStyle w:val="33"/>
                    <w:adjustRightInd w:val="0"/>
                    <w:snapToGrid w:val="0"/>
                    <w:rPr>
                      <w:rFonts w:hint="default" w:ascii="Times New Roman" w:hAnsi="Times New Roman" w:eastAsia="宋体"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0.1</w:t>
                  </w:r>
                </w:p>
              </w:tc>
              <w:tc>
                <w:tcPr>
                  <w:tcW w:w="9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3</w:t>
                  </w:r>
                  <w:r>
                    <w:rPr>
                      <w:rFonts w:hint="eastAsia" w:ascii="Times New Roman" w:hAnsi="Times New Roman" w:cs="Times New Roman"/>
                      <w:b w:val="0"/>
                      <w:bCs w:val="0"/>
                      <w:color w:val="auto"/>
                      <w:sz w:val="20"/>
                      <w:szCs w:val="20"/>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dxa"/>
                  <w:vAlign w:val="center"/>
                </w:tcPr>
                <w:p>
                  <w:pPr>
                    <w:pStyle w:val="33"/>
                    <w:adjustRightInd w:val="0"/>
                    <w:snapToGrid w:val="0"/>
                    <w:rPr>
                      <w:rFonts w:ascii="Times New Roman" w:hAnsi="Times New Roman" w:cs="Times New Roman"/>
                      <w:b w:val="0"/>
                      <w:bCs w:val="0"/>
                      <w:color w:val="auto"/>
                      <w:sz w:val="20"/>
                      <w:szCs w:val="20"/>
                    </w:rPr>
                  </w:pPr>
                  <w:r>
                    <w:rPr>
                      <w:rFonts w:ascii="Times New Roman" w:hAnsi="Times New Roman" w:eastAsia="等线" w:cs="Times New Roman"/>
                      <w:b w:val="0"/>
                      <w:color w:val="auto"/>
                      <w:sz w:val="20"/>
                      <w:szCs w:val="20"/>
                    </w:rPr>
                    <w:t>6</w:t>
                  </w:r>
                </w:p>
              </w:tc>
              <w:tc>
                <w:tcPr>
                  <w:tcW w:w="1304"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废油桶</w:t>
                  </w:r>
                </w:p>
              </w:tc>
              <w:tc>
                <w:tcPr>
                  <w:tcW w:w="946" w:type="dxa"/>
                  <w:vAlign w:val="center"/>
                </w:tcPr>
                <w:p>
                  <w:pPr>
                    <w:jc w:val="center"/>
                    <w:rPr>
                      <w:rFonts w:ascii="Times New Roman" w:hAnsi="Times New Roman" w:cs="Times New Roman"/>
                      <w:b w:val="0"/>
                      <w:bCs w:val="0"/>
                      <w:color w:val="auto"/>
                      <w:sz w:val="20"/>
                      <w:szCs w:val="20"/>
                    </w:rPr>
                  </w:pPr>
                  <w:r>
                    <w:rPr>
                      <w:sz w:val="20"/>
                      <w:szCs w:val="20"/>
                    </w:rPr>
                    <w:t>HW</w:t>
                  </w:r>
                  <w:r>
                    <w:rPr>
                      <w:rFonts w:hint="eastAsia"/>
                      <w:sz w:val="20"/>
                      <w:szCs w:val="20"/>
                    </w:rPr>
                    <w:t>08</w:t>
                  </w:r>
                </w:p>
              </w:tc>
              <w:tc>
                <w:tcPr>
                  <w:tcW w:w="947" w:type="dxa"/>
                  <w:vAlign w:val="center"/>
                </w:tcPr>
                <w:p>
                  <w:pPr>
                    <w:jc w:val="center"/>
                    <w:rPr>
                      <w:rFonts w:ascii="Times New Roman" w:hAnsi="Times New Roman" w:cs="Times New Roman"/>
                      <w:b w:val="0"/>
                      <w:bCs w:val="0"/>
                      <w:color w:val="auto"/>
                      <w:sz w:val="20"/>
                      <w:szCs w:val="20"/>
                    </w:rPr>
                  </w:pPr>
                  <w:r>
                    <w:rPr>
                      <w:kern w:val="0"/>
                      <w:sz w:val="20"/>
                      <w:szCs w:val="20"/>
                    </w:rPr>
                    <w:t>900-</w:t>
                  </w:r>
                  <w:r>
                    <w:rPr>
                      <w:rFonts w:hint="eastAsia"/>
                      <w:kern w:val="0"/>
                      <w:sz w:val="20"/>
                      <w:szCs w:val="20"/>
                    </w:rPr>
                    <w:t>249</w:t>
                  </w:r>
                  <w:r>
                    <w:rPr>
                      <w:kern w:val="0"/>
                      <w:sz w:val="20"/>
                      <w:szCs w:val="20"/>
                    </w:rPr>
                    <w:t>-</w:t>
                  </w:r>
                  <w:r>
                    <w:rPr>
                      <w:rFonts w:hint="eastAsia"/>
                      <w:kern w:val="0"/>
                      <w:sz w:val="20"/>
                      <w:szCs w:val="20"/>
                    </w:rPr>
                    <w:t>08</w:t>
                  </w:r>
                </w:p>
              </w:tc>
              <w:tc>
                <w:tcPr>
                  <w:tcW w:w="676" w:type="dxa"/>
                  <w:vAlign w:val="center"/>
                </w:tcPr>
                <w:p>
                  <w:pPr>
                    <w:jc w:val="center"/>
                    <w:rPr>
                      <w:rFonts w:ascii="Times New Roman" w:hAnsi="Times New Roman" w:cs="Times New Roman"/>
                      <w:b w:val="0"/>
                      <w:bCs w:val="0"/>
                      <w:color w:val="auto"/>
                      <w:sz w:val="20"/>
                      <w:szCs w:val="20"/>
                    </w:rPr>
                  </w:pPr>
                  <w:r>
                    <w:rPr>
                      <w:rFonts w:hint="eastAsia"/>
                      <w:sz w:val="20"/>
                      <w:szCs w:val="20"/>
                    </w:rPr>
                    <w:t>0.3</w:t>
                  </w:r>
                </w:p>
              </w:tc>
              <w:tc>
                <w:tcPr>
                  <w:tcW w:w="1082"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1217"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815" w:type="dxa"/>
                  <w:vAlign w:val="center"/>
                </w:tcPr>
                <w:p>
                  <w:pPr>
                    <w:pStyle w:val="33"/>
                    <w:adjustRightInd w:val="0"/>
                    <w:snapToGrid w:val="0"/>
                    <w:rPr>
                      <w:rFonts w:hint="eastAsia" w:ascii="Times New Roman" w:hAnsi="Times New Roman" w:eastAsia="宋体" w:cs="Times New Roman"/>
                      <w:b w:val="0"/>
                      <w:bCs w:val="0"/>
                      <w:color w:val="auto"/>
                      <w:sz w:val="20"/>
                      <w:szCs w:val="20"/>
                      <w:lang w:eastAsia="zh-CN"/>
                    </w:rPr>
                  </w:pPr>
                  <w:r>
                    <w:rPr>
                      <w:rFonts w:hint="eastAsia" w:ascii="Times New Roman" w:hAnsi="Times New Roman" w:cs="Times New Roman"/>
                      <w:b w:val="0"/>
                      <w:bCs w:val="0"/>
                      <w:color w:val="auto"/>
                      <w:sz w:val="20"/>
                      <w:szCs w:val="20"/>
                    </w:rPr>
                    <w:t>0.</w:t>
                  </w:r>
                  <w:r>
                    <w:rPr>
                      <w:rFonts w:hint="eastAsia" w:ascii="Times New Roman" w:hAnsi="Times New Roman" w:cs="Times New Roman"/>
                      <w:b w:val="0"/>
                      <w:bCs w:val="0"/>
                      <w:color w:val="auto"/>
                      <w:sz w:val="20"/>
                      <w:szCs w:val="20"/>
                      <w:lang w:val="en-US" w:eastAsia="zh-CN"/>
                    </w:rPr>
                    <w:t>1</w:t>
                  </w:r>
                </w:p>
              </w:tc>
              <w:tc>
                <w:tcPr>
                  <w:tcW w:w="969" w:type="dxa"/>
                  <w:vAlign w:val="center"/>
                </w:tcPr>
                <w:p>
                  <w:pPr>
                    <w:pStyle w:val="33"/>
                    <w:adjustRightInd w:val="0"/>
                    <w:snapToGrid w:val="0"/>
                    <w:rPr>
                      <w:rFonts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3</w:t>
                  </w:r>
                  <w:r>
                    <w:rPr>
                      <w:rFonts w:hint="eastAsia" w:ascii="Times New Roman" w:hAnsi="Times New Roman" w:cs="Times New Roman"/>
                      <w:b w:val="0"/>
                      <w:bCs w:val="0"/>
                      <w:color w:val="auto"/>
                      <w:sz w:val="20"/>
                      <w:szCs w:val="20"/>
                    </w:rPr>
                    <w:t>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4" w:hRule="atLeast"/>
                <w:jc w:val="center"/>
              </w:trPr>
              <w:tc>
                <w:tcPr>
                  <w:tcW w:w="467" w:type="dxa"/>
                  <w:vAlign w:val="center"/>
                </w:tcPr>
                <w:p>
                  <w:pPr>
                    <w:pStyle w:val="33"/>
                    <w:adjustRightInd w:val="0"/>
                    <w:snapToGrid w:val="0"/>
                    <w:rPr>
                      <w:rFonts w:hint="eastAsia" w:ascii="Times New Roman" w:hAnsi="Times New Roman" w:eastAsia="等线" w:cs="Times New Roman"/>
                      <w:b w:val="0"/>
                      <w:color w:val="auto"/>
                      <w:sz w:val="20"/>
                      <w:szCs w:val="20"/>
                      <w:lang w:val="en-US" w:eastAsia="zh-CN"/>
                    </w:rPr>
                  </w:pPr>
                  <w:r>
                    <w:rPr>
                      <w:rFonts w:hint="eastAsia" w:ascii="Times New Roman" w:hAnsi="Times New Roman" w:eastAsia="等线" w:cs="Times New Roman"/>
                      <w:b w:val="0"/>
                      <w:color w:val="auto"/>
                      <w:sz w:val="20"/>
                      <w:szCs w:val="20"/>
                      <w:lang w:val="en-US" w:eastAsia="zh-CN"/>
                    </w:rPr>
                    <w:t>7</w:t>
                  </w:r>
                </w:p>
              </w:tc>
              <w:tc>
                <w:tcPr>
                  <w:tcW w:w="1304"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废蓄电池</w:t>
                  </w:r>
                </w:p>
              </w:tc>
              <w:tc>
                <w:tcPr>
                  <w:tcW w:w="946" w:type="dxa"/>
                  <w:vAlign w:val="center"/>
                </w:tcPr>
                <w:p>
                  <w:pPr>
                    <w:jc w:val="center"/>
                    <w:rPr>
                      <w:rFonts w:hint="default" w:eastAsia="宋体"/>
                      <w:sz w:val="20"/>
                      <w:szCs w:val="20"/>
                      <w:lang w:val="en-US" w:eastAsia="zh-CN"/>
                    </w:rPr>
                  </w:pPr>
                  <w:r>
                    <w:rPr>
                      <w:rFonts w:hint="eastAsia"/>
                      <w:sz w:val="20"/>
                      <w:szCs w:val="20"/>
                      <w:lang w:val="en-US" w:eastAsia="zh-CN"/>
                    </w:rPr>
                    <w:t>HW31</w:t>
                  </w:r>
                </w:p>
              </w:tc>
              <w:tc>
                <w:tcPr>
                  <w:tcW w:w="947" w:type="dxa"/>
                  <w:shd w:val="clear" w:color="auto" w:fill="auto"/>
                  <w:vAlign w:val="center"/>
                </w:tcPr>
                <w:p>
                  <w:pPr>
                    <w:jc w:val="center"/>
                    <w:rPr>
                      <w:rFonts w:hint="default" w:ascii="Times New Roman" w:hAnsi="Times New Roman" w:eastAsia="宋体" w:cs="Times New Roman"/>
                      <w:kern w:val="0"/>
                      <w:sz w:val="20"/>
                      <w:szCs w:val="20"/>
                      <w:lang w:val="en-US" w:eastAsia="zh-CN" w:bidi="ar-SA"/>
                    </w:rPr>
                  </w:pPr>
                  <w:r>
                    <w:rPr>
                      <w:rFonts w:hint="eastAsia"/>
                      <w:kern w:val="0"/>
                      <w:sz w:val="20"/>
                      <w:szCs w:val="20"/>
                      <w:lang w:val="en-US" w:eastAsia="zh-CN"/>
                    </w:rPr>
                    <w:t>900-052-31</w:t>
                  </w:r>
                </w:p>
              </w:tc>
              <w:tc>
                <w:tcPr>
                  <w:tcW w:w="676" w:type="dxa"/>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0.012t/3a</w:t>
                  </w:r>
                </w:p>
              </w:tc>
              <w:tc>
                <w:tcPr>
                  <w:tcW w:w="1082"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1217" w:type="dxa"/>
                  <w:vMerge w:val="continue"/>
                  <w:vAlign w:val="center"/>
                </w:tcPr>
                <w:p>
                  <w:pPr>
                    <w:pStyle w:val="33"/>
                    <w:adjustRightInd w:val="0"/>
                    <w:snapToGrid w:val="0"/>
                    <w:rPr>
                      <w:rFonts w:ascii="Times New Roman" w:hAnsi="Times New Roman" w:cs="Times New Roman"/>
                      <w:b w:val="0"/>
                      <w:bCs w:val="0"/>
                      <w:color w:val="auto"/>
                      <w:sz w:val="20"/>
                      <w:szCs w:val="20"/>
                    </w:rPr>
                  </w:pPr>
                </w:p>
              </w:tc>
              <w:tc>
                <w:tcPr>
                  <w:tcW w:w="815" w:type="dxa"/>
                  <w:vAlign w:val="center"/>
                </w:tcPr>
                <w:p>
                  <w:pPr>
                    <w:pStyle w:val="33"/>
                    <w:adjustRightInd w:val="0"/>
                    <w:snapToGrid w:val="0"/>
                    <w:rPr>
                      <w:rFonts w:hint="eastAsia" w:ascii="Times New Roman" w:hAnsi="Times New Roman" w:cs="Times New Roman"/>
                      <w:b w:val="0"/>
                      <w:bCs w:val="0"/>
                      <w:color w:val="auto"/>
                      <w:sz w:val="20"/>
                      <w:szCs w:val="20"/>
                    </w:rPr>
                  </w:pPr>
                  <w:r>
                    <w:rPr>
                      <w:rFonts w:hint="eastAsia" w:ascii="Times New Roman" w:hAnsi="Times New Roman" w:cs="Times New Roman"/>
                      <w:b w:val="0"/>
                      <w:bCs w:val="0"/>
                      <w:color w:val="auto"/>
                      <w:sz w:val="20"/>
                      <w:szCs w:val="20"/>
                      <w:lang w:val="en-US" w:eastAsia="zh-CN"/>
                    </w:rPr>
                    <w:t>0.012</w:t>
                  </w:r>
                </w:p>
              </w:tc>
              <w:tc>
                <w:tcPr>
                  <w:tcW w:w="969" w:type="dxa"/>
                  <w:vAlign w:val="center"/>
                </w:tcPr>
                <w:p>
                  <w:pPr>
                    <w:pStyle w:val="33"/>
                    <w:adjustRightInd w:val="0"/>
                    <w:snapToGrid w:val="0"/>
                    <w:rPr>
                      <w:rFonts w:hint="default"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3年</w:t>
                  </w:r>
                </w:p>
              </w:tc>
            </w:tr>
          </w:tbl>
          <w:p>
            <w:pPr>
              <w:autoSpaceDE w:val="0"/>
              <w:autoSpaceDN w:val="0"/>
              <w:adjustRightInd w:val="0"/>
              <w:snapToGrid w:val="0"/>
              <w:spacing w:line="400" w:lineRule="exact"/>
              <w:ind w:firstLine="422" w:firstLineChars="200"/>
              <w:rPr>
                <w:b/>
                <w:bCs/>
                <w:color w:val="auto"/>
                <w:kern w:val="0"/>
                <w:szCs w:val="21"/>
              </w:rPr>
            </w:pPr>
            <w:r>
              <w:rPr>
                <w:rFonts w:hint="eastAsia"/>
                <w:b/>
                <w:bCs/>
                <w:color w:val="auto"/>
                <w:kern w:val="0"/>
                <w:szCs w:val="21"/>
              </w:rPr>
              <w:t>（2）一般固废暂存、危废库储存能力可行性分析</w:t>
            </w:r>
          </w:p>
          <w:p>
            <w:pPr>
              <w:pStyle w:val="47"/>
              <w:spacing w:line="400" w:lineRule="exact"/>
              <w:ind w:firstLine="420"/>
              <w:outlineLvl w:val="0"/>
              <w:rPr>
                <w:rFonts w:hint="eastAsia"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参照南京市生态环境局《排污许可证固废模块填报说明》：“固废仓库的面积应该和贮存能力匹配：一般情况下，1平方米的仓库贮存能力是1吨；有货架的，1平方米的仓库贮存能力是1.5吨”。</w:t>
            </w:r>
          </w:p>
          <w:p>
            <w:pPr>
              <w:pStyle w:val="47"/>
              <w:spacing w:line="400" w:lineRule="exact"/>
              <w:ind w:firstLine="420"/>
              <w:outlineLvl w:val="0"/>
              <w:rPr>
                <w:rFonts w:hint="eastAsia"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rPr>
              <w:t>本项目危废最大储存量为</w:t>
            </w:r>
            <w:r>
              <w:rPr>
                <w:rFonts w:hint="eastAsia" w:ascii="Times New Roman" w:hAnsi="Times New Roman" w:cs="Times New Roman"/>
                <w:color w:val="auto"/>
                <w:szCs w:val="21"/>
                <w:lang w:val="en-US" w:eastAsia="zh-CN"/>
              </w:rPr>
              <w:t>1.6</w:t>
            </w:r>
            <w:r>
              <w:rPr>
                <w:rFonts w:hint="eastAsia" w:ascii="Times New Roman" w:hAnsi="Times New Roman" w:eastAsia="宋体" w:cs="Times New Roman"/>
                <w:color w:val="auto"/>
                <w:szCs w:val="21"/>
                <w:lang w:val="en-US"/>
              </w:rPr>
              <w:t>吨，需</w:t>
            </w:r>
            <w:r>
              <w:rPr>
                <w:rFonts w:hint="eastAsia" w:ascii="Times New Roman" w:hAnsi="Times New Roman" w:eastAsia="宋体" w:cs="Times New Roman"/>
                <w:color w:val="auto"/>
                <w:szCs w:val="21"/>
                <w:lang w:val="en-US" w:eastAsia="zh-CN"/>
              </w:rPr>
              <w:t>1</w:t>
            </w:r>
            <w:r>
              <w:rPr>
                <w:rFonts w:hint="eastAsia" w:ascii="Times New Roman" w:hAnsi="Times New Roman" w:cs="Times New Roman"/>
                <w:color w:val="auto"/>
                <w:szCs w:val="21"/>
                <w:lang w:val="en-US" w:eastAsia="zh-CN"/>
              </w:rPr>
              <w:t>.6</w:t>
            </w:r>
            <w:r>
              <w:rPr>
                <w:rFonts w:hint="eastAsia" w:ascii="Times New Roman" w:hAnsi="Times New Roman" w:eastAsia="宋体" w:cs="Times New Roman"/>
                <w:color w:val="auto"/>
                <w:szCs w:val="21"/>
                <w:lang w:val="en-US"/>
              </w:rPr>
              <w:t>平方米的仓库，厂区</w:t>
            </w:r>
            <w:r>
              <w:rPr>
                <w:rFonts w:hint="eastAsia" w:ascii="Times New Roman" w:hAnsi="Times New Roman" w:eastAsia="宋体" w:cs="Times New Roman"/>
                <w:color w:val="auto"/>
                <w:szCs w:val="21"/>
                <w:lang w:val="en-US" w:eastAsia="zh-CN"/>
              </w:rPr>
              <w:t>已</w:t>
            </w:r>
            <w:r>
              <w:rPr>
                <w:rFonts w:hint="eastAsia" w:ascii="Times New Roman" w:hAnsi="Times New Roman" w:eastAsia="宋体" w:cs="Times New Roman"/>
                <w:color w:val="auto"/>
                <w:szCs w:val="21"/>
                <w:lang w:val="en-US"/>
              </w:rPr>
              <w:t>设置1间的危废库（占地</w:t>
            </w:r>
            <w:r>
              <w:rPr>
                <w:rFonts w:hint="eastAsia" w:ascii="Times New Roman" w:hAnsi="Times New Roman" w:cs="Times New Roman"/>
                <w:color w:val="auto"/>
                <w:szCs w:val="21"/>
                <w:lang w:val="en-US" w:eastAsia="zh-CN"/>
              </w:rPr>
              <w:t>50</w:t>
            </w:r>
            <w:r>
              <w:rPr>
                <w:rFonts w:hint="eastAsia" w:ascii="Times New Roman" w:hAnsi="Times New Roman" w:eastAsia="宋体" w:cs="Times New Roman"/>
                <w:color w:val="auto"/>
                <w:szCs w:val="21"/>
                <w:lang w:val="en-US"/>
              </w:rPr>
              <w:t>m</w:t>
            </w:r>
            <w:r>
              <w:rPr>
                <w:rFonts w:hint="eastAsia" w:ascii="Times New Roman" w:hAnsi="Times New Roman" w:eastAsia="宋体" w:cs="Times New Roman"/>
                <w:color w:val="auto"/>
                <w:szCs w:val="21"/>
                <w:vertAlign w:val="superscript"/>
                <w:lang w:val="en-US"/>
              </w:rPr>
              <w:t>2</w:t>
            </w:r>
            <w:r>
              <w:rPr>
                <w:rFonts w:hint="eastAsia" w:ascii="Times New Roman" w:hAnsi="Times New Roman" w:eastAsia="宋体" w:cs="Times New Roman"/>
                <w:color w:val="auto"/>
                <w:szCs w:val="21"/>
                <w:lang w:val="en-US"/>
              </w:rPr>
              <w:t>）用于危废暂存。</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eastAsia="宋体" w:cs="Times New Roman"/>
                <w:color w:val="auto"/>
                <w:szCs w:val="21"/>
                <w:lang w:val="en-US"/>
              </w:rPr>
              <w:t>本项目</w:t>
            </w:r>
            <w:r>
              <w:rPr>
                <w:rFonts w:hint="eastAsia" w:ascii="Times New Roman" w:hAnsi="Times New Roman" w:eastAsia="宋体" w:cs="Times New Roman"/>
                <w:color w:val="auto"/>
                <w:szCs w:val="21"/>
                <w:lang w:val="en-US" w:eastAsia="zh-CN"/>
              </w:rPr>
              <w:t>一般固废</w:t>
            </w:r>
            <w:r>
              <w:rPr>
                <w:rFonts w:hint="eastAsia" w:ascii="Times New Roman" w:hAnsi="Times New Roman" w:eastAsia="宋体" w:cs="Times New Roman"/>
                <w:color w:val="auto"/>
                <w:szCs w:val="21"/>
                <w:lang w:val="en-US"/>
              </w:rPr>
              <w:t>最大储存量为</w:t>
            </w:r>
            <w:r>
              <w:rPr>
                <w:rFonts w:hint="eastAsia" w:ascii="Times New Roman" w:hAnsi="Times New Roman" w:eastAsia="宋体" w:cs="Times New Roman"/>
                <w:color w:val="auto"/>
                <w:szCs w:val="21"/>
                <w:lang w:val="en-US" w:eastAsia="zh-CN"/>
              </w:rPr>
              <w:t>3</w:t>
            </w:r>
            <w:r>
              <w:rPr>
                <w:rFonts w:hint="eastAsia" w:ascii="Times New Roman" w:hAnsi="Times New Roman" w:cs="Times New Roman"/>
                <w:color w:val="auto"/>
                <w:szCs w:val="21"/>
                <w:lang w:val="en-US" w:eastAsia="zh-CN"/>
              </w:rPr>
              <w:t>5</w:t>
            </w:r>
            <w:r>
              <w:rPr>
                <w:rFonts w:hint="eastAsia" w:ascii="Times New Roman" w:hAnsi="Times New Roman" w:eastAsia="宋体" w:cs="Times New Roman"/>
                <w:color w:val="auto"/>
                <w:szCs w:val="21"/>
                <w:lang w:val="en-US"/>
              </w:rPr>
              <w:t>吨，需</w:t>
            </w:r>
            <w:r>
              <w:rPr>
                <w:rFonts w:hint="eastAsia" w:ascii="Times New Roman" w:hAnsi="Times New Roman" w:eastAsia="宋体" w:cs="Times New Roman"/>
                <w:color w:val="auto"/>
                <w:szCs w:val="21"/>
                <w:lang w:val="en-US" w:eastAsia="zh-CN"/>
              </w:rPr>
              <w:t>3</w:t>
            </w:r>
            <w:r>
              <w:rPr>
                <w:rFonts w:hint="eastAsia" w:ascii="Times New Roman" w:hAnsi="Times New Roman" w:cs="Times New Roman"/>
                <w:color w:val="auto"/>
                <w:szCs w:val="21"/>
                <w:lang w:val="en-US" w:eastAsia="zh-CN"/>
              </w:rPr>
              <w:t>5</w:t>
            </w:r>
            <w:r>
              <w:rPr>
                <w:rFonts w:hint="eastAsia" w:ascii="Times New Roman" w:hAnsi="Times New Roman" w:eastAsia="宋体" w:cs="Times New Roman"/>
                <w:color w:val="auto"/>
                <w:szCs w:val="21"/>
                <w:lang w:val="en-US"/>
              </w:rPr>
              <w:t>平方米的仓库，厂区</w:t>
            </w:r>
            <w:r>
              <w:rPr>
                <w:rFonts w:hint="eastAsia" w:ascii="Times New Roman" w:hAnsi="Times New Roman" w:eastAsia="宋体" w:cs="Times New Roman"/>
                <w:color w:val="auto"/>
                <w:szCs w:val="21"/>
                <w:lang w:val="en-US" w:eastAsia="zh-CN"/>
              </w:rPr>
              <w:t>已</w:t>
            </w:r>
            <w:r>
              <w:rPr>
                <w:rFonts w:hint="eastAsia" w:ascii="Times New Roman" w:hAnsi="Times New Roman" w:eastAsia="宋体" w:cs="Times New Roman"/>
                <w:color w:val="auto"/>
                <w:szCs w:val="21"/>
                <w:lang w:val="en-US"/>
              </w:rPr>
              <w:t>设置1间的</w:t>
            </w:r>
            <w:r>
              <w:rPr>
                <w:rFonts w:hint="eastAsia" w:ascii="Times New Roman" w:hAnsi="Times New Roman" w:eastAsia="宋体" w:cs="Times New Roman"/>
                <w:color w:val="auto"/>
                <w:szCs w:val="21"/>
                <w:lang w:val="en-US" w:eastAsia="zh-CN"/>
              </w:rPr>
              <w:t>一般固废仓</w:t>
            </w:r>
            <w:r>
              <w:rPr>
                <w:rFonts w:hint="eastAsia" w:ascii="Times New Roman" w:hAnsi="Times New Roman" w:eastAsia="宋体" w:cs="Times New Roman"/>
                <w:color w:val="auto"/>
                <w:szCs w:val="21"/>
                <w:lang w:val="en-US"/>
              </w:rPr>
              <w:t>库（占地</w:t>
            </w:r>
            <w:r>
              <w:rPr>
                <w:rFonts w:hint="eastAsia" w:ascii="Times New Roman" w:hAnsi="Times New Roman" w:cs="Times New Roman"/>
                <w:color w:val="auto"/>
                <w:szCs w:val="21"/>
                <w:lang w:val="en-US" w:eastAsia="zh-CN"/>
              </w:rPr>
              <w:t>50</w:t>
            </w:r>
            <w:r>
              <w:rPr>
                <w:rFonts w:hint="eastAsia" w:ascii="Times New Roman" w:hAnsi="Times New Roman" w:eastAsia="宋体" w:cs="Times New Roman"/>
                <w:color w:val="auto"/>
                <w:szCs w:val="21"/>
                <w:lang w:val="en-US"/>
              </w:rPr>
              <w:t>m</w:t>
            </w:r>
            <w:r>
              <w:rPr>
                <w:rFonts w:hint="eastAsia" w:ascii="Times New Roman" w:hAnsi="Times New Roman" w:eastAsia="宋体" w:cs="Times New Roman"/>
                <w:color w:val="auto"/>
                <w:szCs w:val="21"/>
                <w:vertAlign w:val="superscript"/>
                <w:lang w:val="en-US"/>
              </w:rPr>
              <w:t>2</w:t>
            </w:r>
            <w:r>
              <w:rPr>
                <w:rFonts w:hint="eastAsia" w:ascii="Times New Roman" w:hAnsi="Times New Roman" w:eastAsia="宋体" w:cs="Times New Roman"/>
                <w:color w:val="auto"/>
                <w:szCs w:val="21"/>
                <w:lang w:val="en-US"/>
              </w:rPr>
              <w:t>）用于</w:t>
            </w:r>
            <w:r>
              <w:rPr>
                <w:rFonts w:hint="eastAsia" w:ascii="Times New Roman" w:hAnsi="Times New Roman" w:eastAsia="宋体" w:cs="Times New Roman"/>
                <w:color w:val="auto"/>
                <w:szCs w:val="21"/>
                <w:lang w:val="en-US" w:eastAsia="zh-CN"/>
              </w:rPr>
              <w:t>一般固废</w:t>
            </w:r>
            <w:r>
              <w:rPr>
                <w:rFonts w:hint="eastAsia" w:ascii="Times New Roman" w:hAnsi="Times New Roman" w:eastAsia="宋体" w:cs="Times New Roman"/>
                <w:color w:val="auto"/>
                <w:szCs w:val="21"/>
                <w:lang w:val="en-US"/>
              </w:rPr>
              <w:t>暂存。</w:t>
            </w:r>
          </w:p>
          <w:p>
            <w:pPr>
              <w:autoSpaceDE w:val="0"/>
              <w:autoSpaceDN w:val="0"/>
              <w:adjustRightInd w:val="0"/>
              <w:snapToGrid w:val="0"/>
              <w:spacing w:line="400" w:lineRule="exact"/>
              <w:ind w:firstLine="422" w:firstLineChars="200"/>
              <w:rPr>
                <w:b/>
                <w:bCs/>
                <w:color w:val="auto"/>
                <w:kern w:val="0"/>
                <w:szCs w:val="21"/>
              </w:rPr>
            </w:pPr>
            <w:r>
              <w:rPr>
                <w:rFonts w:hint="eastAsia"/>
                <w:b/>
                <w:bCs/>
                <w:color w:val="auto"/>
                <w:kern w:val="0"/>
                <w:szCs w:val="21"/>
              </w:rPr>
              <w:t>（3）固废管理要求</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现有一般固废仓库已按照《一般工业固体废物贮存和填埋污染控制标准》（GB 18599-2020）</w:t>
            </w:r>
            <w:r>
              <w:rPr>
                <w:rFonts w:ascii="Times New Roman" w:hAnsi="Times New Roman"/>
                <w:color w:val="auto"/>
                <w:szCs w:val="21"/>
                <w:lang w:val="en-US"/>
              </w:rPr>
              <w:t>、《环境保护图形标志—固体废物贮存（处置场）》（GB15562.2-1995）</w:t>
            </w:r>
            <w:r>
              <w:rPr>
                <w:rFonts w:hint="eastAsia" w:ascii="Times New Roman" w:hAnsi="Times New Roman"/>
                <w:color w:val="auto"/>
                <w:szCs w:val="21"/>
                <w:lang w:val="en-US"/>
              </w:rPr>
              <w:t>等要求</w:t>
            </w:r>
            <w:r>
              <w:rPr>
                <w:rFonts w:ascii="Times New Roman" w:hAnsi="Times New Roman"/>
                <w:color w:val="auto"/>
                <w:szCs w:val="21"/>
                <w:lang w:val="en-US"/>
              </w:rPr>
              <w:t>设计和建设</w:t>
            </w:r>
            <w:r>
              <w:rPr>
                <w:rFonts w:hint="eastAsia" w:ascii="Times New Roman" w:hAnsi="Times New Roman"/>
                <w:color w:val="auto"/>
                <w:szCs w:val="21"/>
                <w:lang w:val="en-US"/>
              </w:rPr>
              <w:t>，建设单位需按照《一般工业固体废物管理台账制定指南（试行）》（生态环境部2021年第82号公告）</w:t>
            </w:r>
            <w:r>
              <w:rPr>
                <w:rFonts w:hint="eastAsia" w:ascii="Times New Roman" w:hAnsi="Times New Roman"/>
                <w:szCs w:val="21"/>
                <w:lang w:val="en-US"/>
              </w:rPr>
              <w:t>、《关于印发《一般工业固体废物环境管理工作指南》的通知》（环办固体函〔2026〕18 号）</w:t>
            </w:r>
            <w:r>
              <w:rPr>
                <w:rFonts w:hint="eastAsia" w:ascii="Times New Roman" w:hAnsi="Times New Roman"/>
                <w:color w:val="auto"/>
                <w:szCs w:val="21"/>
                <w:lang w:val="en-US"/>
              </w:rPr>
              <w:t>要求，建立一般工业固废台账或电子台账。</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现有危废库已按《危险废物贮存污染控制标准》（GB18597-2023）要求设置，具体如下：</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①采取防风、防晒、防雨、防漏、防渗、防腐以及其他环境污染防治措施，不露天堆放危险废物；</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②危废库内地面、墙面裙脚、堵截泄漏的围堰、接触危险废物的隔板和墙体等采用坚固的材料建造，表面无裂缝；</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③危废库、贮存容器和包装物按《危险废物识别标志设置技术规范》（HJ 1276-2022）要求设置危废库标志、危险废物贮存分区标志和危险废物标签等危险废物识别标志；</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④针对不同类别、形态、物理化学性质的危险废物，其容器和包装物满足相应的防渗、防漏、防腐和强度等要求。硬质容器和包装物及其支护结构堆叠码放时不无明显变形，无破损泄漏。柔性容器和包装物堆叠码放时封口严密，无破损泄漏；使用容器盛装液态、半固态危险废物时，容器内部留有适当的空间，以适应因温度变化等可能引发的收缩和膨胀，防止其导致容器渗漏或永久变形；容器和包装物外表面保持清洁；</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⑤固态危险废物装入包装袋或包装桶内贮存，液态危险废物装入包装桶内贮存。</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本项目固废纳入固废管理体系，危废妥善收集、暂存后委托资质单位处置，不会外环境产生影响。</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此外，本公司正常运行阶段产生固废的管理需按照《危险废物转移管理办法》、《关于开展工业固体废物排污许可管理工作的通知》（环办环评〔2021〕26号）、《危险废物贮存污染控制标准》（GB18597-2023）、《省生态环境厅关于印发江苏省固体废物全过程环境监管工作意见的通知》（苏环办[2024]16号）等要求进行：</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①履行申报登记制度；</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②建立台账管理制度，企业须做好危险废物情况的记录，记录上需注明危险废物的名称、来源、数量、特性和包装容器的类别；</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③委托处置应执行报批和转移联单等制度；危险废物委托处置单位应具备相应的资质，运输车辆须经主管单位检查，并持有有关单位签发的许可证，承载危险废物的车辆须有明显的标志；</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④应定期检查危险废物的贮存状况，及时清理贮存设施地面，更换破损泄漏的危险废物贮存容器和包装物，保证堆存危险废物的防雨、防风、防扬尘等设施功能完好；</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⑤危险废物存入贮存设施前应对危险废物类别和特性与危险废物标签等危险废物识别标志的一致性进行核验，不一致的或类别、特性不明的不应存入。</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⑥固废贮存（处置）场所规范化设置，固体废物贮存（处置）场所应在醒目处设置标志牌；</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⑦危险废物产生单位在关键位置设置在线视频监控，企业应指定专人专职维护视频监控设施运行，定期巡视并做好相应的监控运行、维修、使用记录，保持摄像头表面整洁干净、监控拍摄位置正确、监控设施完好无损，确保视频传输图像清晰、监控设备正常稳定运行；</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⑧贮存设施所有者或运营者应建立贮存设施环境管理制度、管理人员岗位职责制度、设施运行操作制度、人员岗位培训制度等；</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⑨企业应依据国家土壤和地下水污染防治的有关规定，结合贮存设施特点建立土壤和地下水污染隐患排查制度，并定期开展隐患排查；发现隐患应及时采取措施消除隐患，并建立档案；</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⑩企业应建立贮存设施全部档案，包括设计、施工、验收、运行、监测和环境应急等，应按国家有关档案管理的法律法规进行整理和归档；</w:t>
            </w:r>
          </w:p>
          <w:p>
            <w:pPr>
              <w:pStyle w:val="47"/>
              <w:spacing w:line="400" w:lineRule="exact"/>
              <w:ind w:firstLine="420"/>
              <w:outlineLvl w:val="0"/>
              <w:rPr>
                <w:rFonts w:ascii="Times New Roman" w:hAnsi="Times New Roman"/>
                <w:color w:val="auto"/>
                <w:szCs w:val="21"/>
                <w:lang w:val="en-US"/>
              </w:rPr>
            </w:pPr>
            <w:r>
              <w:rPr>
                <w:rFonts w:ascii="Cambria Math" w:hAnsi="Cambria Math" w:cs="Cambria Math"/>
                <w:color w:val="auto"/>
                <w:szCs w:val="21"/>
                <w:lang w:val="en-US"/>
              </w:rPr>
              <w:t>⑪</w:t>
            </w:r>
            <w:r>
              <w:rPr>
                <w:rFonts w:hint="eastAsia" w:hAnsi="宋体" w:cs="宋体"/>
                <w:color w:val="auto"/>
                <w:szCs w:val="21"/>
                <w:lang w:val="en-US"/>
              </w:rPr>
              <w:t>强化转移过程管理。全面落实危险废物转移电子联单制度，实行省内全域扫描“二维码”转移。加强与危险货物道路运输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w:t>
            </w:r>
          </w:p>
          <w:p>
            <w:pPr>
              <w:pStyle w:val="47"/>
              <w:spacing w:line="400" w:lineRule="exact"/>
              <w:ind w:firstLine="420"/>
              <w:outlineLvl w:val="0"/>
              <w:rPr>
                <w:rFonts w:ascii="Times New Roman" w:hAnsi="Times New Roman"/>
                <w:color w:val="auto"/>
                <w:szCs w:val="21"/>
                <w:lang w:val="en-US"/>
              </w:rPr>
            </w:pPr>
            <w:r>
              <w:rPr>
                <w:rFonts w:ascii="Cambria Math" w:hAnsi="Cambria Math" w:cs="Cambria Math"/>
                <w:color w:val="auto"/>
                <w:szCs w:val="21"/>
                <w:lang w:val="en-US"/>
              </w:rPr>
              <w:t>⑫</w:t>
            </w:r>
            <w:r>
              <w:rPr>
                <w:rFonts w:hint="eastAsia" w:hAnsi="宋体" w:cs="宋体"/>
                <w:color w:val="auto"/>
                <w:szCs w:val="21"/>
                <w:lang w:val="en-US"/>
              </w:rPr>
              <w:t>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同时，认真执行《省生态环境厅关于印发江苏省危险废物贮存规范化管理专项整治行动方案的通知》(苏环办[2019]149号)、《江苏省固体废物全过程环境监管工作意见》（苏环办[2024] 16号）要求，按照《环境保护图形标志固体废物贮存(处置)场》(GB15562.2-1995)修改单和危险废物识别标识设置规范设置标志，按照《省生态环境厅关于做好&lt;危险废物贮存污染控制标准&gt;等标准规范实施后危险废物环境管理衔接工作的通知》（苏环办[2023]154号），规范贮存、利用、处置设施标识。</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通过上述措施，可减少固废对周边环境的影响。</w:t>
            </w:r>
          </w:p>
          <w:p>
            <w:pPr>
              <w:pStyle w:val="47"/>
              <w:spacing w:line="400" w:lineRule="exact"/>
              <w:ind w:firstLine="422"/>
              <w:outlineLvl w:val="0"/>
              <w:rPr>
                <w:rFonts w:ascii="Times New Roman" w:hAnsi="Times New Roman"/>
                <w:b/>
                <w:bCs/>
                <w:color w:val="auto"/>
                <w:szCs w:val="21"/>
                <w:lang w:val="en-US"/>
              </w:rPr>
            </w:pPr>
            <w:r>
              <w:rPr>
                <w:rFonts w:hint="eastAsia" w:ascii="Times New Roman" w:hAnsi="Times New Roman"/>
                <w:b/>
                <w:bCs/>
                <w:color w:val="auto"/>
                <w:szCs w:val="21"/>
                <w:lang w:val="en-US"/>
              </w:rPr>
              <w:t>（4）委托处置的环境影响分析</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rPr>
              <w:t>根据《中华人民共和国固体废物污染环境防治法》及《国家危险废物名录》（2025年版），新建项目产生的危险废物均交由有资质的单位进行处理处置，不得自行处置。</w:t>
            </w:r>
          </w:p>
          <w:p>
            <w:pPr>
              <w:pStyle w:val="47"/>
              <w:spacing w:line="400" w:lineRule="exact"/>
              <w:ind w:firstLine="420"/>
              <w:outlineLvl w:val="0"/>
              <w:rPr>
                <w:rFonts w:hint="eastAsia" w:ascii="Times New Roman" w:hAnsi="Times New Roman"/>
                <w:color w:val="auto"/>
                <w:szCs w:val="21"/>
                <w:lang w:val="en-US"/>
              </w:rPr>
            </w:pPr>
            <w:r>
              <w:rPr>
                <w:rFonts w:hint="eastAsia" w:ascii="Times New Roman" w:hAnsi="Times New Roman"/>
                <w:color w:val="auto"/>
                <w:szCs w:val="21"/>
                <w:lang w:val="en-US"/>
              </w:rPr>
              <w:t>公司所在地周边泰州、南通区域危废处置能力较强且运输距离较近，可以保障本公司的危废处理稳定、有序进行，从而做到危险固废无害化处理，对环境的影响较小。</w:t>
            </w:r>
          </w:p>
          <w:p>
            <w:pPr>
              <w:pStyle w:val="47"/>
              <w:spacing w:line="400" w:lineRule="exact"/>
              <w:ind w:firstLine="420"/>
              <w:outlineLvl w:val="0"/>
              <w:rPr>
                <w:rFonts w:ascii="Times New Roman" w:hAnsi="Times New Roman"/>
                <w:color w:val="auto"/>
                <w:szCs w:val="21"/>
                <w:lang w:val="en-US"/>
              </w:rPr>
            </w:pPr>
            <w:r>
              <w:rPr>
                <w:rFonts w:hint="eastAsia" w:ascii="Times New Roman" w:hAnsi="Times New Roman"/>
                <w:color w:val="auto"/>
                <w:szCs w:val="21"/>
                <w:lang w:val="en-US" w:eastAsia="zh-CN"/>
              </w:rPr>
              <w:t>本项目新增危废</w:t>
            </w:r>
            <w:r>
              <w:rPr>
                <w:rFonts w:hint="eastAsia" w:ascii="Times New Roman" w:hAnsi="Times New Roman"/>
                <w:color w:val="auto"/>
                <w:szCs w:val="21"/>
                <w:lang w:val="en-US"/>
              </w:rPr>
              <w:t>建设单位暂未</w:t>
            </w:r>
            <w:r>
              <w:rPr>
                <w:rFonts w:hint="eastAsia" w:ascii="Times New Roman" w:hAnsi="Times New Roman"/>
                <w:color w:val="auto"/>
                <w:szCs w:val="21"/>
                <w:lang w:val="en-US" w:eastAsia="zh-CN"/>
              </w:rPr>
              <w:t>确定</w:t>
            </w:r>
            <w:r>
              <w:rPr>
                <w:rFonts w:hint="eastAsia" w:ascii="Times New Roman" w:hAnsi="Times New Roman"/>
                <w:color w:val="auto"/>
                <w:szCs w:val="21"/>
                <w:lang w:val="en-US"/>
              </w:rPr>
              <w:t>相关处置单位，企业承诺竣工验收前完成危废协议签订。</w:t>
            </w:r>
          </w:p>
          <w:p>
            <w:pPr>
              <w:pStyle w:val="47"/>
              <w:spacing w:line="400" w:lineRule="exact"/>
              <w:ind w:firstLine="420"/>
              <w:outlineLvl w:val="0"/>
              <w:rPr>
                <w:b/>
                <w:bCs/>
                <w:color w:val="auto"/>
                <w:kern w:val="0"/>
                <w:szCs w:val="21"/>
              </w:rPr>
            </w:pPr>
            <w:r>
              <w:rPr>
                <w:rFonts w:hint="eastAsia" w:ascii="Times New Roman" w:hAnsi="Times New Roman"/>
                <w:color w:val="auto"/>
                <w:szCs w:val="21"/>
                <w:lang w:val="en-US"/>
              </w:rPr>
              <w:t>综上分析可知，本公司产生的固体废物经有效处理和处置后对环境影响较小。</w:t>
            </w:r>
          </w:p>
          <w:p>
            <w:pPr>
              <w:autoSpaceDE w:val="0"/>
              <w:autoSpaceDN w:val="0"/>
              <w:adjustRightInd w:val="0"/>
              <w:snapToGrid w:val="0"/>
              <w:spacing w:line="400" w:lineRule="exact"/>
              <w:ind w:firstLine="422" w:firstLineChars="200"/>
              <w:rPr>
                <w:b/>
                <w:bCs/>
                <w:color w:val="auto"/>
                <w:kern w:val="0"/>
                <w:szCs w:val="21"/>
              </w:rPr>
            </w:pPr>
            <w:r>
              <w:rPr>
                <w:b/>
                <w:bCs/>
                <w:color w:val="auto"/>
                <w:kern w:val="0"/>
                <w:szCs w:val="21"/>
              </w:rPr>
              <w:t>（5）固废环境影响评价结论</w:t>
            </w:r>
          </w:p>
          <w:p>
            <w:pPr>
              <w:autoSpaceDE w:val="0"/>
              <w:autoSpaceDN w:val="0"/>
              <w:adjustRightInd w:val="0"/>
              <w:snapToGrid w:val="0"/>
              <w:spacing w:line="400" w:lineRule="exact"/>
              <w:ind w:firstLine="420" w:firstLineChars="200"/>
              <w:rPr>
                <w:color w:val="auto"/>
                <w:kern w:val="0"/>
                <w:szCs w:val="21"/>
              </w:rPr>
            </w:pPr>
            <w:r>
              <w:rPr>
                <w:color w:val="auto"/>
                <w:kern w:val="0"/>
                <w:szCs w:val="21"/>
              </w:rPr>
              <w:t>本项目</w:t>
            </w:r>
            <w:r>
              <w:rPr>
                <w:rFonts w:hint="eastAsia"/>
                <w:color w:val="auto"/>
                <w:kern w:val="0"/>
                <w:szCs w:val="21"/>
              </w:rPr>
              <w:t>危险废物贮存</w:t>
            </w:r>
            <w:r>
              <w:rPr>
                <w:color w:val="auto"/>
                <w:kern w:val="0"/>
                <w:szCs w:val="21"/>
              </w:rPr>
              <w:t>严格执行《危险废物贮存污染控制标准》（GB18597-2023）</w:t>
            </w:r>
            <w:r>
              <w:rPr>
                <w:rFonts w:hint="eastAsia"/>
                <w:color w:val="auto"/>
                <w:kern w:val="0"/>
                <w:szCs w:val="21"/>
              </w:rPr>
              <w:t>、</w:t>
            </w:r>
            <w:r>
              <w:rPr>
                <w:color w:val="auto"/>
                <w:kern w:val="0"/>
                <w:szCs w:val="21"/>
              </w:rPr>
              <w:t>《危险废物识别标志设置技术规范》（HJ1276-2022）</w:t>
            </w:r>
            <w:r>
              <w:rPr>
                <w:rFonts w:hint="eastAsia"/>
                <w:color w:val="auto"/>
                <w:kern w:val="0"/>
                <w:szCs w:val="21"/>
              </w:rPr>
              <w:t>、省生态环境厅关于印发《江苏省固体废物全过程环境监管工作意见》的通知（苏环办〔2024〕16号）</w:t>
            </w:r>
            <w:r>
              <w:rPr>
                <w:color w:val="auto"/>
                <w:kern w:val="0"/>
                <w:szCs w:val="21"/>
              </w:rPr>
              <w:t>等</w:t>
            </w:r>
            <w:r>
              <w:rPr>
                <w:rFonts w:hint="eastAsia"/>
                <w:color w:val="auto"/>
                <w:kern w:val="0"/>
                <w:szCs w:val="21"/>
              </w:rPr>
              <w:t>要求，一般固废暂存参照执行</w:t>
            </w:r>
            <w:r>
              <w:rPr>
                <w:color w:val="auto"/>
                <w:kern w:val="0"/>
                <w:szCs w:val="21"/>
              </w:rPr>
              <w:t>《一般工业固体废物贮存和填埋污染控制标准》（GB18599-2020）中的要求，规范化建设危废库和一般固废库，设置标志牌，并由专人管理和维护。危险废物和一般工业固废收集后分别收集至危废库和一般固废库分类、分区暂存，杜绝混合存放。</w:t>
            </w:r>
          </w:p>
          <w:p>
            <w:pPr>
              <w:autoSpaceDE w:val="0"/>
              <w:autoSpaceDN w:val="0"/>
              <w:adjustRightInd w:val="0"/>
              <w:snapToGrid w:val="0"/>
              <w:spacing w:line="400" w:lineRule="exact"/>
              <w:ind w:firstLine="420" w:firstLineChars="200"/>
              <w:rPr>
                <w:color w:val="auto"/>
                <w:kern w:val="0"/>
                <w:szCs w:val="21"/>
              </w:rPr>
            </w:pPr>
            <w:r>
              <w:rPr>
                <w:color w:val="auto"/>
                <w:kern w:val="0"/>
                <w:szCs w:val="21"/>
              </w:rPr>
              <w:t>综上所述，通过以上措施，本项目产生的固体废物均得到了妥善处置和利用，对周围环境及人体不会造成影响，亦不会造成二次污染。</w:t>
            </w:r>
          </w:p>
          <w:p>
            <w:pPr>
              <w:autoSpaceDE w:val="0"/>
              <w:autoSpaceDN w:val="0"/>
              <w:adjustRightInd w:val="0"/>
              <w:snapToGrid w:val="0"/>
              <w:spacing w:line="400" w:lineRule="exact"/>
              <w:ind w:firstLine="422" w:firstLineChars="200"/>
              <w:rPr>
                <w:b/>
                <w:bCs/>
                <w:color w:val="auto"/>
                <w:kern w:val="0"/>
                <w:szCs w:val="21"/>
              </w:rPr>
            </w:pPr>
            <w:r>
              <w:rPr>
                <w:b/>
                <w:bCs/>
                <w:color w:val="auto"/>
                <w:kern w:val="0"/>
                <w:szCs w:val="21"/>
              </w:rPr>
              <w:t>5、土壤、地下水</w:t>
            </w:r>
          </w:p>
          <w:p>
            <w:pPr>
              <w:autoSpaceDE w:val="0"/>
              <w:autoSpaceDN w:val="0"/>
              <w:adjustRightInd w:val="0"/>
              <w:snapToGrid w:val="0"/>
              <w:spacing w:line="400" w:lineRule="exact"/>
              <w:ind w:firstLine="420" w:firstLineChars="200"/>
              <w:rPr>
                <w:kern w:val="0"/>
                <w:szCs w:val="21"/>
              </w:rPr>
            </w:pPr>
            <w:r>
              <w:rPr>
                <w:rFonts w:hint="eastAsia"/>
                <w:kern w:val="0"/>
                <w:szCs w:val="21"/>
              </w:rPr>
              <w:t>本项目可能对地下水、土壤产生污染的污染源主要为生产车间、原料仓库、危废库、污水</w:t>
            </w:r>
            <w:r>
              <w:rPr>
                <w:rFonts w:hint="eastAsia"/>
                <w:kern w:val="0"/>
                <w:szCs w:val="21"/>
                <w:lang w:val="en-US" w:eastAsia="zh-CN"/>
              </w:rPr>
              <w:t>站、锅炉房、事故应急池和初期雨水池</w:t>
            </w:r>
            <w:r>
              <w:rPr>
                <w:rFonts w:hint="eastAsia"/>
                <w:kern w:val="0"/>
                <w:szCs w:val="21"/>
              </w:rPr>
              <w:t>，主要污染来源为喷淋废水、水幕除尘废水及各类危险废物，主要污染途径为原料或危险废物的泄漏导致污染物通过渗透作用进入土壤及地下水。</w:t>
            </w:r>
          </w:p>
          <w:p>
            <w:pPr>
              <w:autoSpaceDE w:val="0"/>
              <w:autoSpaceDN w:val="0"/>
              <w:adjustRightInd w:val="0"/>
              <w:snapToGrid w:val="0"/>
              <w:spacing w:line="400" w:lineRule="exact"/>
              <w:ind w:firstLine="422" w:firstLineChars="200"/>
              <w:rPr>
                <w:b/>
                <w:bCs/>
                <w:color w:val="FF0000"/>
                <w:kern w:val="0"/>
                <w:szCs w:val="21"/>
              </w:rPr>
            </w:pPr>
            <w:r>
              <w:rPr>
                <w:rFonts w:hint="eastAsia"/>
                <w:b/>
                <w:bCs/>
                <w:color w:val="FF0000"/>
                <w:kern w:val="0"/>
                <w:szCs w:val="21"/>
              </w:rPr>
              <w:t>（1）污染源、污染物类型及污染途径</w:t>
            </w:r>
          </w:p>
          <w:p>
            <w:pPr>
              <w:autoSpaceDE w:val="0"/>
              <w:autoSpaceDN w:val="0"/>
              <w:adjustRightInd w:val="0"/>
              <w:snapToGrid w:val="0"/>
              <w:spacing w:line="400" w:lineRule="exact"/>
              <w:ind w:firstLine="420" w:firstLineChars="200"/>
              <w:rPr>
                <w:rFonts w:hint="eastAsia"/>
                <w:color w:val="FF0000"/>
                <w:kern w:val="0"/>
                <w:szCs w:val="21"/>
              </w:rPr>
            </w:pPr>
            <w:r>
              <w:rPr>
                <w:rFonts w:hint="eastAsia"/>
                <w:color w:val="FF0000"/>
                <w:kern w:val="0"/>
                <w:szCs w:val="21"/>
              </w:rPr>
              <w:t>土壤是复杂的三相共存体系，污染物质主要通过被污染大气的沉降、工业废水的漫流和入渗以及固体废物通过大气迁移、扩散、沉降或降水淋溶、地表径流等途径进入土壤环境。本项目对土壤环境的影响主要为大气沉降、垂直入渗，全厂不涉及露天堆放，暂不考虑地表漫流。</w:t>
            </w:r>
          </w:p>
          <w:p>
            <w:pPr>
              <w:autoSpaceDE w:val="0"/>
              <w:autoSpaceDN w:val="0"/>
              <w:adjustRightInd w:val="0"/>
              <w:snapToGrid w:val="0"/>
              <w:spacing w:line="400" w:lineRule="exact"/>
              <w:ind w:firstLine="420" w:firstLineChars="200"/>
              <w:rPr>
                <w:rFonts w:hint="eastAsia"/>
                <w:color w:val="FF0000"/>
                <w:kern w:val="0"/>
                <w:szCs w:val="21"/>
              </w:rPr>
            </w:pPr>
            <w:r>
              <w:rPr>
                <w:rFonts w:hint="eastAsia"/>
                <w:color w:val="FF0000"/>
                <w:kern w:val="0"/>
                <w:szCs w:val="21"/>
              </w:rPr>
              <w:t>①大气沉降</w:t>
            </w:r>
          </w:p>
          <w:p>
            <w:pPr>
              <w:autoSpaceDE w:val="0"/>
              <w:autoSpaceDN w:val="0"/>
              <w:adjustRightInd w:val="0"/>
              <w:snapToGrid w:val="0"/>
              <w:spacing w:line="400" w:lineRule="exact"/>
              <w:ind w:firstLine="420" w:firstLineChars="200"/>
              <w:rPr>
                <w:rFonts w:hint="eastAsia"/>
                <w:color w:val="FF0000"/>
                <w:kern w:val="0"/>
                <w:szCs w:val="21"/>
              </w:rPr>
            </w:pPr>
            <w:r>
              <w:rPr>
                <w:rFonts w:hint="eastAsia"/>
                <w:color w:val="FF0000"/>
                <w:kern w:val="0"/>
                <w:szCs w:val="21"/>
              </w:rPr>
              <w:t>本项目产生的废气主要为SO</w:t>
            </w:r>
            <w:r>
              <w:rPr>
                <w:rFonts w:hint="eastAsia"/>
                <w:color w:val="FF0000"/>
                <w:kern w:val="0"/>
                <w:szCs w:val="21"/>
                <w:vertAlign w:val="subscript"/>
                <w:lang w:val="en-US" w:eastAsia="zh-CN"/>
              </w:rPr>
              <w:t>2</w:t>
            </w:r>
            <w:r>
              <w:rPr>
                <w:rFonts w:hint="eastAsia"/>
                <w:color w:val="FF0000"/>
                <w:kern w:val="0"/>
                <w:szCs w:val="21"/>
              </w:rPr>
              <w:t>、NO</w:t>
            </w:r>
            <w:r>
              <w:rPr>
                <w:rFonts w:hint="eastAsia"/>
                <w:color w:val="FF0000"/>
                <w:kern w:val="0"/>
                <w:szCs w:val="21"/>
                <w:vertAlign w:val="subscript"/>
              </w:rPr>
              <w:t>x</w:t>
            </w:r>
            <w:r>
              <w:rPr>
                <w:rFonts w:hint="eastAsia"/>
                <w:color w:val="FF0000"/>
                <w:kern w:val="0"/>
                <w:szCs w:val="21"/>
                <w:lang w:eastAsia="zh-CN"/>
              </w:rPr>
              <w:t>、</w:t>
            </w:r>
            <w:r>
              <w:rPr>
                <w:rFonts w:hint="eastAsia"/>
                <w:color w:val="FF0000"/>
                <w:kern w:val="0"/>
                <w:szCs w:val="21"/>
              </w:rPr>
              <w:t>颗粒物、</w:t>
            </w:r>
            <w:r>
              <w:rPr>
                <w:rFonts w:hint="eastAsia"/>
                <w:color w:val="FF0000"/>
                <w:kern w:val="0"/>
                <w:szCs w:val="21"/>
                <w:lang w:val="en-US" w:eastAsia="zh-CN"/>
              </w:rPr>
              <w:t>非甲烷总烃、</w:t>
            </w:r>
            <w:r>
              <w:rPr>
                <w:rFonts w:hint="eastAsia"/>
                <w:color w:val="FF0000"/>
                <w:kern w:val="0"/>
                <w:szCs w:val="21"/>
              </w:rPr>
              <w:t>逃逸氨、汞及其化合物等，经废气处理装置进行处理后均能实现达标排放，根据大气环境影响分析，项目污染源正常排放情况下各类大气污染物排放量很少，对大气环境影响较小，故因重力沉降或降水作用迁移至土壤包气带的量较小。</w:t>
            </w:r>
          </w:p>
          <w:p>
            <w:pPr>
              <w:autoSpaceDE w:val="0"/>
              <w:autoSpaceDN w:val="0"/>
              <w:adjustRightInd w:val="0"/>
              <w:snapToGrid w:val="0"/>
              <w:spacing w:line="400" w:lineRule="exact"/>
              <w:ind w:firstLine="420" w:firstLineChars="200"/>
              <w:rPr>
                <w:rFonts w:hint="eastAsia"/>
                <w:color w:val="FF0000"/>
                <w:kern w:val="0"/>
                <w:szCs w:val="21"/>
              </w:rPr>
            </w:pPr>
            <w:r>
              <w:rPr>
                <w:rFonts w:hint="eastAsia"/>
                <w:color w:val="FF0000"/>
                <w:kern w:val="0"/>
                <w:szCs w:val="21"/>
              </w:rPr>
              <w:t>②垂直入渗</w:t>
            </w:r>
          </w:p>
          <w:p>
            <w:pPr>
              <w:autoSpaceDE w:val="0"/>
              <w:autoSpaceDN w:val="0"/>
              <w:adjustRightInd w:val="0"/>
              <w:snapToGrid w:val="0"/>
              <w:spacing w:line="400" w:lineRule="exact"/>
              <w:ind w:firstLine="420" w:firstLineChars="200"/>
              <w:rPr>
                <w:rFonts w:hint="eastAsia"/>
                <w:color w:val="FF0000"/>
                <w:kern w:val="0"/>
                <w:szCs w:val="21"/>
              </w:rPr>
            </w:pPr>
            <w:r>
              <w:rPr>
                <w:rFonts w:hint="eastAsia"/>
                <w:color w:val="FF0000"/>
                <w:kern w:val="0"/>
                <w:szCs w:val="21"/>
              </w:rPr>
              <w:t>本项目危废仓库、</w:t>
            </w:r>
            <w:r>
              <w:rPr>
                <w:rFonts w:hint="eastAsia"/>
                <w:color w:val="FF0000"/>
                <w:kern w:val="0"/>
                <w:szCs w:val="21"/>
                <w:lang w:val="en-US" w:eastAsia="zh-CN"/>
              </w:rPr>
              <w:t>污水处理站、生产车间、锅炉房</w:t>
            </w:r>
            <w:r>
              <w:rPr>
                <w:rFonts w:hint="eastAsia"/>
                <w:color w:val="FF0000"/>
                <w:kern w:val="0"/>
                <w:szCs w:val="21"/>
              </w:rPr>
              <w:t>等均规范建设，地面均已硬化，不涉及污染物下渗影响。锅炉烟气采用石灰喷雾干燥法脱硫脱酸（半干法），不产生脱硫废水，故不涉及土壤污染重点污染物（镉、汞、砷、铅、六价铬、铜），</w:t>
            </w:r>
            <w:r>
              <w:rPr>
                <w:rFonts w:hint="eastAsia"/>
                <w:color w:val="FF0000"/>
                <w:kern w:val="0"/>
                <w:szCs w:val="21"/>
                <w:lang w:val="en-US" w:eastAsia="zh-CN"/>
              </w:rPr>
              <w:t>水喷淋和水幕除尘所在车间地面均已硬化，</w:t>
            </w:r>
            <w:r>
              <w:rPr>
                <w:rFonts w:hint="eastAsia"/>
                <w:color w:val="FF0000"/>
                <w:kern w:val="0"/>
                <w:szCs w:val="21"/>
              </w:rPr>
              <w:t>在采取预防保护措施后不会对土壤质量产生影响。</w:t>
            </w:r>
          </w:p>
          <w:p>
            <w:pPr>
              <w:autoSpaceDE w:val="0"/>
              <w:autoSpaceDN w:val="0"/>
              <w:adjustRightInd w:val="0"/>
              <w:snapToGrid w:val="0"/>
              <w:spacing w:line="400" w:lineRule="exact"/>
              <w:ind w:firstLine="422" w:firstLineChars="200"/>
              <w:rPr>
                <w:b/>
                <w:bCs/>
                <w:color w:val="auto"/>
                <w:kern w:val="0"/>
                <w:szCs w:val="21"/>
              </w:rPr>
            </w:pPr>
            <w:r>
              <w:rPr>
                <w:b/>
                <w:bCs/>
                <w:color w:val="auto"/>
                <w:kern w:val="0"/>
                <w:szCs w:val="21"/>
              </w:rPr>
              <w:t>（2）分区防控</w:t>
            </w:r>
          </w:p>
          <w:p>
            <w:pPr>
              <w:autoSpaceDE w:val="0"/>
              <w:autoSpaceDN w:val="0"/>
              <w:adjustRightInd w:val="0"/>
              <w:snapToGrid w:val="0"/>
              <w:spacing w:line="400" w:lineRule="exact"/>
              <w:ind w:firstLine="420" w:firstLineChars="200"/>
              <w:rPr>
                <w:color w:val="auto"/>
                <w:kern w:val="0"/>
                <w:szCs w:val="21"/>
              </w:rPr>
            </w:pPr>
            <w:r>
              <w:rPr>
                <w:color w:val="auto"/>
                <w:kern w:val="0"/>
                <w:szCs w:val="21"/>
              </w:rPr>
              <w:t>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天然包气带防污性能、污染控制难易程度和污染物特性对全厂进行分区防控。</w:t>
            </w:r>
          </w:p>
          <w:p>
            <w:pPr>
              <w:autoSpaceDE w:val="0"/>
              <w:autoSpaceDN w:val="0"/>
              <w:adjustRightInd w:val="0"/>
              <w:snapToGrid w:val="0"/>
              <w:spacing w:line="400" w:lineRule="exact"/>
              <w:ind w:firstLine="420" w:firstLineChars="200"/>
              <w:rPr>
                <w:color w:val="auto"/>
                <w:kern w:val="0"/>
                <w:szCs w:val="21"/>
              </w:rPr>
            </w:pPr>
            <w:bookmarkStart w:id="27" w:name="_Ref494200668"/>
            <w:r>
              <w:rPr>
                <w:rFonts w:hint="eastAsia"/>
                <w:color w:val="FF0000"/>
                <w:kern w:val="0"/>
                <w:szCs w:val="21"/>
              </w:rPr>
              <w:t>本项目</w:t>
            </w:r>
            <w:r>
              <w:rPr>
                <w:color w:val="FF0000"/>
                <w:kern w:val="0"/>
                <w:szCs w:val="21"/>
              </w:rPr>
              <w:t>地下水污染分区防渗</w:t>
            </w:r>
            <w:r>
              <w:rPr>
                <w:rFonts w:hint="eastAsia"/>
                <w:color w:val="FF0000"/>
                <w:kern w:val="0"/>
                <w:szCs w:val="21"/>
                <w:lang w:val="en-US" w:eastAsia="zh-CN"/>
              </w:rPr>
              <w:t>均依托现有，</w:t>
            </w:r>
            <w:r>
              <w:rPr>
                <w:rFonts w:hint="eastAsia"/>
                <w:color w:val="auto"/>
                <w:kern w:val="0"/>
                <w:szCs w:val="21"/>
              </w:rPr>
              <w:t>厂区防腐、防渗等预防措施见</w:t>
            </w:r>
            <w:r>
              <w:rPr>
                <w:color w:val="auto"/>
                <w:kern w:val="0"/>
                <w:szCs w:val="21"/>
              </w:rPr>
              <w:t>表4-</w:t>
            </w:r>
            <w:r>
              <w:rPr>
                <w:rFonts w:hint="eastAsia"/>
                <w:color w:val="auto"/>
                <w:kern w:val="0"/>
                <w:szCs w:val="21"/>
                <w:lang w:val="en-US" w:eastAsia="zh-CN"/>
              </w:rPr>
              <w:t>33</w:t>
            </w:r>
            <w:r>
              <w:rPr>
                <w:color w:val="auto"/>
                <w:kern w:val="0"/>
                <w:szCs w:val="21"/>
              </w:rPr>
              <w:t>。</w:t>
            </w:r>
          </w:p>
          <w:p>
            <w:pPr>
              <w:autoSpaceDE w:val="0"/>
              <w:autoSpaceDN w:val="0"/>
              <w:adjustRightInd w:val="0"/>
              <w:snapToGrid w:val="0"/>
              <w:spacing w:line="400" w:lineRule="exact"/>
              <w:jc w:val="center"/>
              <w:rPr>
                <w:b/>
                <w:color w:val="auto"/>
                <w:kern w:val="0"/>
                <w:szCs w:val="21"/>
              </w:rPr>
            </w:pPr>
            <w:r>
              <w:rPr>
                <w:b/>
                <w:color w:val="auto"/>
                <w:kern w:val="0"/>
                <w:szCs w:val="21"/>
              </w:rPr>
              <w:t>表</w:t>
            </w:r>
            <w:bookmarkEnd w:id="27"/>
            <w:r>
              <w:rPr>
                <w:b/>
                <w:color w:val="auto"/>
                <w:kern w:val="0"/>
                <w:szCs w:val="21"/>
              </w:rPr>
              <w:t>4</w:t>
            </w:r>
            <w:r>
              <w:rPr>
                <w:rFonts w:hint="eastAsia"/>
                <w:b/>
                <w:color w:val="auto"/>
                <w:kern w:val="0"/>
                <w:szCs w:val="21"/>
                <w:lang w:val="en-US" w:eastAsia="zh-CN"/>
              </w:rPr>
              <w:t>-33</w:t>
            </w:r>
            <w:r>
              <w:rPr>
                <w:b/>
                <w:color w:val="auto"/>
                <w:kern w:val="0"/>
                <w:szCs w:val="21"/>
              </w:rPr>
              <w:t xml:space="preserve">  厂区防腐、防渗等预防措施</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35"/>
              <w:gridCol w:w="1312"/>
              <w:gridCol w:w="38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920" w:type="pct"/>
                  <w:tcBorders>
                    <w:top w:val="single" w:color="auto" w:sz="12" w:space="0"/>
                    <w:bottom w:val="single" w:color="auto" w:sz="12" w:space="0"/>
                  </w:tcBorders>
                  <w:tcMar>
                    <w:left w:w="0" w:type="dxa"/>
                    <w:right w:w="28" w:type="dxa"/>
                  </w:tcMar>
                  <w:vAlign w:val="center"/>
                </w:tcPr>
                <w:p>
                  <w:pPr>
                    <w:jc w:val="center"/>
                    <w:rPr>
                      <w:b/>
                      <w:bCs/>
                      <w:color w:val="auto"/>
                      <w:kern w:val="0"/>
                      <w:sz w:val="20"/>
                      <w:szCs w:val="20"/>
                    </w:rPr>
                  </w:pPr>
                  <w:r>
                    <w:rPr>
                      <w:b/>
                      <w:bCs/>
                      <w:color w:val="auto"/>
                      <w:kern w:val="0"/>
                      <w:sz w:val="20"/>
                      <w:szCs w:val="20"/>
                    </w:rPr>
                    <w:t>厂区区域</w:t>
                  </w:r>
                </w:p>
              </w:tc>
              <w:tc>
                <w:tcPr>
                  <w:tcW w:w="779" w:type="pct"/>
                  <w:tcBorders>
                    <w:top w:val="single" w:color="auto" w:sz="12" w:space="0"/>
                    <w:bottom w:val="single" w:color="auto" w:sz="12" w:space="0"/>
                  </w:tcBorders>
                  <w:tcMar>
                    <w:left w:w="0" w:type="dxa"/>
                    <w:right w:w="28" w:type="dxa"/>
                  </w:tcMar>
                  <w:vAlign w:val="center"/>
                </w:tcPr>
                <w:p>
                  <w:pPr>
                    <w:jc w:val="center"/>
                    <w:rPr>
                      <w:b/>
                      <w:bCs/>
                      <w:color w:val="auto"/>
                      <w:kern w:val="0"/>
                      <w:sz w:val="20"/>
                      <w:szCs w:val="20"/>
                    </w:rPr>
                  </w:pPr>
                  <w:r>
                    <w:rPr>
                      <w:b/>
                      <w:bCs/>
                      <w:color w:val="auto"/>
                      <w:kern w:val="0"/>
                      <w:sz w:val="20"/>
                      <w:szCs w:val="20"/>
                    </w:rPr>
                    <w:t>防渗分区</w:t>
                  </w:r>
                </w:p>
              </w:tc>
              <w:tc>
                <w:tcPr>
                  <w:tcW w:w="2301" w:type="pct"/>
                  <w:tcBorders>
                    <w:top w:val="single" w:color="auto" w:sz="12" w:space="0"/>
                    <w:bottom w:val="single" w:color="auto" w:sz="12" w:space="0"/>
                  </w:tcBorders>
                  <w:tcMar>
                    <w:left w:w="0" w:type="dxa"/>
                    <w:right w:w="28" w:type="dxa"/>
                  </w:tcMar>
                  <w:vAlign w:val="center"/>
                </w:tcPr>
                <w:p>
                  <w:pPr>
                    <w:jc w:val="center"/>
                    <w:rPr>
                      <w:b/>
                      <w:bCs/>
                      <w:color w:val="auto"/>
                      <w:kern w:val="0"/>
                      <w:sz w:val="20"/>
                      <w:szCs w:val="20"/>
                    </w:rPr>
                  </w:pPr>
                  <w:r>
                    <w:rPr>
                      <w:b/>
                      <w:bCs/>
                      <w:color w:val="auto"/>
                      <w:kern w:val="0"/>
                      <w:sz w:val="20"/>
                      <w:szCs w:val="20"/>
                    </w:rPr>
                    <w:t>防渗技术要求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3" w:hRule="atLeast"/>
                <w:jc w:val="center"/>
              </w:trPr>
              <w:tc>
                <w:tcPr>
                  <w:tcW w:w="1920" w:type="pct"/>
                  <w:tcBorders>
                    <w:top w:val="single" w:color="auto" w:sz="12" w:space="0"/>
                  </w:tcBorders>
                  <w:tcMar>
                    <w:left w:w="0" w:type="dxa"/>
                    <w:right w:w="28" w:type="dxa"/>
                  </w:tcMar>
                  <w:vAlign w:val="center"/>
                </w:tcPr>
                <w:p>
                  <w:pPr>
                    <w:jc w:val="center"/>
                    <w:rPr>
                      <w:rFonts w:hint="default" w:eastAsia="宋体"/>
                      <w:color w:val="auto"/>
                      <w:kern w:val="0"/>
                      <w:sz w:val="20"/>
                      <w:szCs w:val="20"/>
                      <w:lang w:val="en-US" w:eastAsia="zh-CN"/>
                    </w:rPr>
                  </w:pPr>
                  <w:r>
                    <w:rPr>
                      <w:rFonts w:hint="eastAsia"/>
                      <w:color w:val="auto"/>
                      <w:kern w:val="0"/>
                      <w:sz w:val="20"/>
                      <w:szCs w:val="20"/>
                      <w:lang w:val="en-US" w:eastAsia="zh-CN"/>
                    </w:rPr>
                    <w:t>生产车间（包含原料仓库、成品仓库、危废库和一般固废仓库）、锅炉房</w:t>
                  </w:r>
                  <w:r>
                    <w:rPr>
                      <w:rFonts w:hint="eastAsia"/>
                      <w:lang w:eastAsia="zh-CN"/>
                    </w:rPr>
                    <w:t>、</w:t>
                  </w:r>
                  <w:r>
                    <w:rPr>
                      <w:rFonts w:hint="eastAsia"/>
                      <w:color w:val="FF0000"/>
                      <w:lang w:val="en-US" w:eastAsia="zh-CN"/>
                    </w:rPr>
                    <w:t>事故应急池、初期雨水池、污水处理站</w:t>
                  </w:r>
                </w:p>
              </w:tc>
              <w:tc>
                <w:tcPr>
                  <w:tcW w:w="779" w:type="pct"/>
                  <w:tcBorders>
                    <w:top w:val="single" w:color="auto" w:sz="12" w:space="0"/>
                  </w:tcBorders>
                  <w:vAlign w:val="center"/>
                </w:tcPr>
                <w:p>
                  <w:pPr>
                    <w:jc w:val="center"/>
                    <w:rPr>
                      <w:color w:val="auto"/>
                      <w:kern w:val="0"/>
                      <w:sz w:val="20"/>
                      <w:szCs w:val="20"/>
                    </w:rPr>
                  </w:pPr>
                  <w:r>
                    <w:rPr>
                      <w:color w:val="auto"/>
                      <w:kern w:val="0"/>
                      <w:sz w:val="20"/>
                      <w:szCs w:val="20"/>
                    </w:rPr>
                    <w:t>重点防渗区</w:t>
                  </w:r>
                </w:p>
              </w:tc>
              <w:tc>
                <w:tcPr>
                  <w:tcW w:w="2301" w:type="pct"/>
                  <w:tcBorders>
                    <w:top w:val="single" w:color="auto" w:sz="12" w:space="0"/>
                  </w:tcBorders>
                  <w:vAlign w:val="center"/>
                </w:tcPr>
                <w:p>
                  <w:pPr>
                    <w:jc w:val="center"/>
                    <w:rPr>
                      <w:color w:val="auto"/>
                      <w:kern w:val="0"/>
                      <w:sz w:val="20"/>
                      <w:szCs w:val="20"/>
                    </w:rPr>
                  </w:pPr>
                  <w:r>
                    <w:rPr>
                      <w:color w:val="auto"/>
                      <w:kern w:val="0"/>
                      <w:sz w:val="20"/>
                      <w:szCs w:val="20"/>
                    </w:rPr>
                    <w:t>等效黏土防渗层Mb≥6.0m，K≤1×10</w:t>
                  </w:r>
                  <w:r>
                    <w:rPr>
                      <w:color w:val="auto"/>
                      <w:kern w:val="0"/>
                      <w:sz w:val="20"/>
                      <w:szCs w:val="20"/>
                      <w:vertAlign w:val="superscript"/>
                    </w:rPr>
                    <w:t>-7</w:t>
                  </w:r>
                  <w:r>
                    <w:rPr>
                      <w:color w:val="auto"/>
                      <w:kern w:val="0"/>
                      <w:sz w:val="20"/>
                      <w:szCs w:val="20"/>
                    </w:rPr>
                    <w:t>cm/s；或参照GB18598执行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5" w:hRule="atLeast"/>
                <w:jc w:val="center"/>
              </w:trPr>
              <w:tc>
                <w:tcPr>
                  <w:tcW w:w="1920" w:type="pct"/>
                  <w:tcMar>
                    <w:left w:w="0" w:type="dxa"/>
                    <w:right w:w="28" w:type="dxa"/>
                  </w:tcMar>
                  <w:vAlign w:val="center"/>
                </w:tcPr>
                <w:p>
                  <w:pPr>
                    <w:jc w:val="center"/>
                    <w:rPr>
                      <w:rFonts w:hint="eastAsia" w:eastAsia="宋体"/>
                      <w:color w:val="auto"/>
                      <w:kern w:val="0"/>
                      <w:sz w:val="20"/>
                      <w:szCs w:val="20"/>
                      <w:lang w:eastAsia="zh-CN"/>
                    </w:rPr>
                  </w:pPr>
                  <w:r>
                    <w:rPr>
                      <w:rFonts w:hint="eastAsia"/>
                      <w:color w:val="auto"/>
                      <w:kern w:val="0"/>
                      <w:sz w:val="20"/>
                      <w:szCs w:val="20"/>
                      <w:lang w:val="en-US" w:eastAsia="zh-CN"/>
                    </w:rPr>
                    <w:t>其他区域</w:t>
                  </w:r>
                </w:p>
              </w:tc>
              <w:tc>
                <w:tcPr>
                  <w:tcW w:w="779" w:type="pct"/>
                  <w:vAlign w:val="center"/>
                </w:tcPr>
                <w:p>
                  <w:pPr>
                    <w:jc w:val="center"/>
                    <w:rPr>
                      <w:color w:val="auto"/>
                      <w:kern w:val="0"/>
                      <w:sz w:val="20"/>
                      <w:szCs w:val="20"/>
                    </w:rPr>
                  </w:pPr>
                  <w:r>
                    <w:rPr>
                      <w:color w:val="auto"/>
                      <w:kern w:val="0"/>
                      <w:sz w:val="20"/>
                      <w:szCs w:val="20"/>
                    </w:rPr>
                    <w:t>一般防渗区</w:t>
                  </w:r>
                </w:p>
              </w:tc>
              <w:tc>
                <w:tcPr>
                  <w:tcW w:w="2301" w:type="pct"/>
                  <w:vAlign w:val="center"/>
                </w:tcPr>
                <w:p>
                  <w:pPr>
                    <w:jc w:val="center"/>
                    <w:rPr>
                      <w:color w:val="auto"/>
                      <w:kern w:val="0"/>
                      <w:sz w:val="20"/>
                      <w:szCs w:val="20"/>
                    </w:rPr>
                  </w:pPr>
                  <w:r>
                    <w:rPr>
                      <w:color w:val="auto"/>
                      <w:kern w:val="0"/>
                      <w:sz w:val="20"/>
                      <w:szCs w:val="20"/>
                    </w:rPr>
                    <w:t>等效黏土防渗层Mb≥1.5m，K≤1×10</w:t>
                  </w:r>
                  <w:r>
                    <w:rPr>
                      <w:color w:val="auto"/>
                      <w:kern w:val="0"/>
                      <w:sz w:val="20"/>
                      <w:szCs w:val="20"/>
                      <w:vertAlign w:val="superscript"/>
                    </w:rPr>
                    <w:t>-7</w:t>
                  </w:r>
                  <w:r>
                    <w:rPr>
                      <w:color w:val="auto"/>
                      <w:sz w:val="20"/>
                      <w:szCs w:val="20"/>
                    </w:rPr>
                    <w:t>cm/s</w:t>
                  </w:r>
                  <w:r>
                    <w:rPr>
                      <w:color w:val="auto"/>
                      <w:kern w:val="0"/>
                      <w:sz w:val="20"/>
                      <w:szCs w:val="20"/>
                    </w:rPr>
                    <w:t>；或参照GB16889执行</w:t>
                  </w:r>
                </w:p>
              </w:tc>
            </w:tr>
          </w:tbl>
          <w:p>
            <w:pPr>
              <w:autoSpaceDE w:val="0"/>
              <w:autoSpaceDN w:val="0"/>
              <w:adjustRightInd w:val="0"/>
              <w:snapToGrid w:val="0"/>
              <w:spacing w:line="400" w:lineRule="exact"/>
              <w:ind w:firstLine="422" w:firstLineChars="200"/>
              <w:rPr>
                <w:b/>
                <w:bCs/>
                <w:color w:val="auto"/>
                <w:kern w:val="0"/>
                <w:szCs w:val="21"/>
              </w:rPr>
            </w:pPr>
            <w:r>
              <w:rPr>
                <w:b/>
                <w:bCs/>
                <w:color w:val="auto"/>
                <w:kern w:val="0"/>
                <w:szCs w:val="21"/>
              </w:rPr>
              <w:t>（3）</w:t>
            </w:r>
            <w:r>
              <w:rPr>
                <w:rFonts w:hint="eastAsia"/>
                <w:b/>
                <w:bCs/>
                <w:color w:val="auto"/>
                <w:kern w:val="0"/>
                <w:szCs w:val="21"/>
              </w:rPr>
              <w:t>跟踪监测</w:t>
            </w:r>
          </w:p>
          <w:p>
            <w:pPr>
              <w:autoSpaceDE w:val="0"/>
              <w:autoSpaceDN w:val="0"/>
              <w:adjustRightInd w:val="0"/>
              <w:snapToGrid w:val="0"/>
              <w:spacing w:line="400" w:lineRule="exact"/>
              <w:ind w:firstLine="420" w:firstLineChars="200"/>
              <w:rPr>
                <w:b/>
                <w:bCs/>
                <w:color w:val="auto"/>
                <w:kern w:val="0"/>
                <w:szCs w:val="21"/>
              </w:rPr>
            </w:pPr>
            <w:r>
              <w:rPr>
                <w:rFonts w:hint="eastAsia"/>
                <w:color w:val="auto"/>
                <w:kern w:val="0"/>
                <w:szCs w:val="21"/>
              </w:rPr>
              <w:t>建立土壤和地下水隐患排查制度，定期对有毒有害物质的生产区、原材料及固体废物的堆存区和转运区等重点区域，以及涉及有毒有害物质的地下储罐、地下管线、污染治理设施等重点设施开展隐患排查，保证持续有效防止有毒有害物质渗漏、流失、扬散。通过排查发现污染隐患的，应当制定整改方案，及时采取技术、管理措施消除隐患，报所在地区级生态环境部门备案，并定期报告整改措施进展情况。按照相关技术规范要求，委托有资质的机构实施土壤和地下水自行监测，同时按照相关要求做好新改扩建项目的土壤污染防治工作等。</w:t>
            </w:r>
          </w:p>
          <w:p>
            <w:pPr>
              <w:keepNext w:val="0"/>
              <w:keepLines w:val="0"/>
              <w:pageBreakBefore w:val="0"/>
              <w:widowControl w:val="0"/>
              <w:numPr>
                <w:ilvl w:val="0"/>
                <w:numId w:val="23"/>
              </w:numPr>
              <w:kinsoku/>
              <w:wordWrap/>
              <w:overflowPunct/>
              <w:topLinePunct w:val="0"/>
              <w:autoSpaceDE w:val="0"/>
              <w:autoSpaceDN w:val="0"/>
              <w:bidi w:val="0"/>
              <w:adjustRightInd w:val="0"/>
              <w:snapToGrid w:val="0"/>
              <w:spacing w:line="360" w:lineRule="auto"/>
              <w:ind w:left="0" w:leftChars="0" w:firstLine="422" w:firstLineChars="200"/>
              <w:textAlignment w:val="auto"/>
              <w:rPr>
                <w:rFonts w:hint="eastAsia"/>
                <w:b/>
                <w:bCs/>
                <w:color w:val="FF0000"/>
                <w:kern w:val="0"/>
                <w:szCs w:val="21"/>
                <w:lang w:val="en-US" w:eastAsia="zh-CN"/>
              </w:rPr>
            </w:pPr>
            <w:r>
              <w:rPr>
                <w:rFonts w:hint="eastAsia"/>
                <w:b/>
                <w:bCs/>
                <w:color w:val="FF0000"/>
                <w:kern w:val="0"/>
                <w:szCs w:val="21"/>
                <w:lang w:val="en-US" w:eastAsia="zh-CN"/>
              </w:rPr>
              <w:t>污染控制措施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①加强对安全生产的控制，及时检修废气处理装置运行情况，减少废气事故性排放。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color w:val="FF0000"/>
                <w:kern w:val="0"/>
                <w:szCs w:val="21"/>
                <w:lang w:val="en-US" w:eastAsia="zh-CN"/>
              </w:rPr>
            </w:pPr>
            <w:r>
              <w:rPr>
                <w:rFonts w:hint="default" w:ascii="Times New Roman" w:hAnsi="Times New Roman" w:eastAsia="宋体" w:cs="Times New Roman"/>
                <w:color w:val="FF0000"/>
                <w:kern w:val="0"/>
                <w:szCs w:val="21"/>
                <w:lang w:val="en-US" w:eastAsia="zh-CN"/>
              </w:rPr>
              <w:t>②此外，一旦发生土壤污染事故，立即启动企业环境风险应急预案，采取应急措施控制土壤污染，并使污染得到治理。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③</w:t>
            </w:r>
            <w:r>
              <w:rPr>
                <w:rFonts w:hint="default" w:ascii="Times New Roman" w:hAnsi="Times New Roman" w:eastAsia="宋体" w:cs="Times New Roman"/>
                <w:color w:val="FF0000"/>
                <w:kern w:val="0"/>
                <w:szCs w:val="21"/>
                <w:lang w:val="en-US" w:eastAsia="zh-CN"/>
              </w:rPr>
              <w:t>采取措施从源头上控制对地下水的污染。实施清洁生产和循环经济，减少污染物的排放量。从设计、管理各种工艺设备和物料运输管线上，防止和减少污染物的跑冒滴漏；合理布局，减少污染物泄漏途径。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④</w:t>
            </w:r>
            <w:r>
              <w:rPr>
                <w:rFonts w:hint="default" w:ascii="Times New Roman" w:hAnsi="Times New Roman" w:eastAsia="宋体" w:cs="Times New Roman"/>
                <w:color w:val="FF0000"/>
                <w:kern w:val="0"/>
                <w:szCs w:val="21"/>
                <w:lang w:val="en-US" w:eastAsia="zh-CN"/>
              </w:rPr>
              <w:t>在厂区内建立雨、污收集管网，实行雨污分流制。本项目所有污水管路等均采取防渗</w:t>
            </w:r>
            <w:r>
              <w:rPr>
                <w:rFonts w:hint="eastAsia" w:ascii="Times New Roman" w:hAnsi="Times New Roman" w:eastAsia="宋体" w:cs="Times New Roman"/>
                <w:color w:val="FF0000"/>
                <w:kern w:val="0"/>
                <w:szCs w:val="21"/>
                <w:lang w:val="en-US" w:eastAsia="zh-CN"/>
              </w:rPr>
              <w:t xml:space="preserve"> </w:t>
            </w:r>
            <w:r>
              <w:rPr>
                <w:rFonts w:hint="default" w:ascii="Times New Roman" w:hAnsi="Times New Roman" w:eastAsia="宋体" w:cs="Times New Roman"/>
                <w:color w:val="FF0000"/>
                <w:kern w:val="0"/>
                <w:szCs w:val="21"/>
                <w:lang w:val="en-US" w:eastAsia="zh-CN"/>
              </w:rPr>
              <w:t>措施，防范废水下渗。另外，应严格废水的管理，强调节约用水，防止污水“跑、冒、滴、漏”，确保设备正常运行。定期检查污水管线、泵阀等关键部位，避免跑冒滴漏，做到污染物泄漏“早发现、早处理”。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b/>
                <w:bCs/>
                <w:color w:val="auto"/>
                <w:kern w:val="0"/>
                <w:szCs w:val="21"/>
              </w:rPr>
            </w:pPr>
            <w:r>
              <w:rPr>
                <w:b/>
                <w:bCs/>
                <w:color w:val="auto"/>
                <w:kern w:val="0"/>
                <w:szCs w:val="21"/>
              </w:rPr>
              <w:t>（</w:t>
            </w:r>
            <w:r>
              <w:rPr>
                <w:rFonts w:hint="eastAsia"/>
                <w:b/>
                <w:bCs/>
                <w:color w:val="auto"/>
                <w:kern w:val="0"/>
                <w:szCs w:val="21"/>
                <w:lang w:val="en-US" w:eastAsia="zh-CN"/>
              </w:rPr>
              <w:t>5</w:t>
            </w:r>
            <w:r>
              <w:rPr>
                <w:b/>
                <w:bCs/>
                <w:color w:val="auto"/>
                <w:kern w:val="0"/>
                <w:szCs w:val="21"/>
              </w:rPr>
              <w:t>）应急响应</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Cs w:val="21"/>
              </w:rPr>
            </w:pPr>
            <w:r>
              <w:rPr>
                <w:rFonts w:hint="eastAsia" w:ascii="宋体" w:hAnsi="宋体" w:cs="宋体"/>
                <w:color w:val="auto"/>
                <w:kern w:val="0"/>
                <w:szCs w:val="21"/>
              </w:rPr>
              <w:t>①</w:t>
            </w:r>
            <w:r>
              <w:rPr>
                <w:color w:val="auto"/>
                <w:kern w:val="0"/>
                <w:szCs w:val="21"/>
              </w:rPr>
              <w:t>应组织编制土壤和地下水突发环境事件应急预案；</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Cs w:val="21"/>
              </w:rPr>
            </w:pPr>
            <w:r>
              <w:rPr>
                <w:rFonts w:hint="eastAsia" w:ascii="宋体" w:hAnsi="宋体" w:cs="宋体"/>
                <w:color w:val="auto"/>
                <w:kern w:val="0"/>
                <w:szCs w:val="21"/>
              </w:rPr>
              <w:t>②</w:t>
            </w:r>
            <w:r>
              <w:rPr>
                <w:color w:val="auto"/>
                <w:kern w:val="0"/>
                <w:szCs w:val="21"/>
              </w:rPr>
              <w:t>当发生异常情况时，立即启动应急预案。组织专业队伍负责查找环境事故发生地点，分析事故原因，尽量将紧急事件局部化，如可能予以消除。尽量缩小环境事故对人和财产的影响。减低事故后果的手段，包括切断生产装置或设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Cs w:val="21"/>
              </w:rPr>
            </w:pPr>
            <w:r>
              <w:rPr>
                <w:rFonts w:hint="eastAsia" w:ascii="宋体" w:hAnsi="宋体" w:cs="宋体"/>
                <w:color w:val="auto"/>
                <w:kern w:val="0"/>
                <w:szCs w:val="21"/>
              </w:rPr>
              <w:t>③</w:t>
            </w:r>
            <w:r>
              <w:rPr>
                <w:color w:val="auto"/>
                <w:kern w:val="0"/>
                <w:szCs w:val="21"/>
              </w:rPr>
              <w:t>对事故现场进行调查、监测、处置。对事故后果进行评估，采取紧急措施制止事故的扩散，扩大，并制定防止类似事件发生的措施。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Cs w:val="21"/>
              </w:rPr>
            </w:pPr>
            <w:r>
              <w:rPr>
                <w:rFonts w:hint="eastAsia" w:ascii="宋体" w:hAnsi="宋体" w:cs="宋体"/>
                <w:color w:val="auto"/>
                <w:kern w:val="0"/>
                <w:szCs w:val="21"/>
              </w:rPr>
              <w:t>④</w:t>
            </w:r>
            <w:r>
              <w:rPr>
                <w:color w:val="auto"/>
                <w:kern w:val="0"/>
                <w:szCs w:val="21"/>
              </w:rPr>
              <w:t>如果本公司力量不足，可请求社会应急力量协助。</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color w:val="auto"/>
                <w:kern w:val="0"/>
                <w:szCs w:val="21"/>
              </w:rPr>
            </w:pPr>
            <w:r>
              <w:rPr>
                <w:color w:val="auto"/>
                <w:kern w:val="0"/>
                <w:szCs w:val="21"/>
              </w:rPr>
              <w:t>采取以上措施后，本项目对所在场地的地下水和土壤环境影响极小。</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b/>
                <w:bCs/>
                <w:color w:val="auto"/>
                <w:kern w:val="0"/>
                <w:szCs w:val="21"/>
              </w:rPr>
            </w:pPr>
            <w:r>
              <w:rPr>
                <w:b/>
                <w:bCs/>
                <w:color w:val="auto"/>
                <w:kern w:val="0"/>
                <w:szCs w:val="21"/>
              </w:rPr>
              <w:t>6、生态</w:t>
            </w:r>
          </w:p>
          <w:p>
            <w:pPr>
              <w:autoSpaceDE w:val="0"/>
              <w:autoSpaceDN w:val="0"/>
              <w:adjustRightInd w:val="0"/>
              <w:snapToGrid w:val="0"/>
              <w:spacing w:line="360" w:lineRule="auto"/>
              <w:ind w:firstLine="420" w:firstLineChars="200"/>
              <w:rPr>
                <w:kern w:val="0"/>
                <w:szCs w:val="21"/>
              </w:rPr>
            </w:pPr>
            <w:r>
              <w:rPr>
                <w:kern w:val="0"/>
                <w:szCs w:val="21"/>
              </w:rPr>
              <w:t>本项目</w:t>
            </w:r>
            <w:r>
              <w:rPr>
                <w:rFonts w:hint="eastAsia"/>
                <w:kern w:val="0"/>
                <w:szCs w:val="21"/>
                <w:lang w:val="en-US" w:eastAsia="zh-CN"/>
              </w:rPr>
              <w:t>租赁华胜现有闲置厂房作生产车间和锅炉房</w:t>
            </w:r>
            <w:r>
              <w:rPr>
                <w:kern w:val="0"/>
                <w:szCs w:val="21"/>
              </w:rPr>
              <w:t>，</w:t>
            </w:r>
            <w:r>
              <w:rPr>
                <w:rFonts w:hint="eastAsia"/>
                <w:kern w:val="0"/>
                <w:szCs w:val="21"/>
                <w:lang w:val="en-US" w:eastAsia="zh-CN"/>
              </w:rPr>
              <w:t>不新增用地，</w:t>
            </w:r>
            <w:r>
              <w:rPr>
                <w:kern w:val="0"/>
                <w:szCs w:val="21"/>
              </w:rPr>
              <w:t>对周围生态环境不会造成影响。</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2" w:firstLineChars="200"/>
              <w:textAlignment w:val="auto"/>
              <w:rPr>
                <w:b/>
                <w:bCs/>
                <w:color w:val="auto"/>
                <w:kern w:val="0"/>
                <w:szCs w:val="21"/>
              </w:rPr>
            </w:pPr>
            <w:r>
              <w:rPr>
                <w:b/>
                <w:bCs/>
                <w:color w:val="auto"/>
                <w:kern w:val="0"/>
                <w:szCs w:val="21"/>
              </w:rPr>
              <w:t>7、环境风险</w:t>
            </w:r>
          </w:p>
          <w:p>
            <w:pPr>
              <w:autoSpaceDE w:val="0"/>
              <w:autoSpaceDN w:val="0"/>
              <w:spacing w:line="360" w:lineRule="auto"/>
              <w:ind w:firstLine="422" w:firstLineChars="200"/>
              <w:rPr>
                <w:b/>
                <w:bCs/>
                <w:kern w:val="0"/>
                <w:lang w:bidi="en-US"/>
              </w:rPr>
            </w:pPr>
            <w:r>
              <w:rPr>
                <w:rFonts w:hint="eastAsia"/>
                <w:b/>
                <w:bCs/>
              </w:rPr>
              <w:t>（1）</w:t>
            </w:r>
            <w:r>
              <w:rPr>
                <w:b/>
                <w:bCs/>
                <w:kern w:val="0"/>
                <w:lang w:bidi="en-US"/>
              </w:rPr>
              <w:t>风险物质识别</w:t>
            </w:r>
          </w:p>
          <w:p>
            <w:pPr>
              <w:spacing w:line="360" w:lineRule="auto"/>
              <w:ind w:firstLine="420" w:firstLineChars="200"/>
              <w:rPr>
                <w:szCs w:val="24"/>
              </w:rPr>
            </w:pPr>
            <w:r>
              <w:rPr>
                <w:szCs w:val="24"/>
              </w:rPr>
              <w:t>对照《建设项目环境风险评价技术导则》（HJ169-2018）附录B（重点关注的危险物质及临界量）来判定本项目生产、贮存、运输、“三废”处理过程中所涉及的各种化学品。</w:t>
            </w:r>
          </w:p>
          <w:p>
            <w:pPr>
              <w:spacing w:line="360" w:lineRule="auto"/>
              <w:ind w:firstLine="420" w:firstLineChars="200"/>
              <w:rPr>
                <w:szCs w:val="24"/>
              </w:rPr>
            </w:pPr>
            <w:r>
              <w:rPr>
                <w:szCs w:val="24"/>
              </w:rPr>
              <w:t>当企业只涉及一种环境风险物质时，计算该物质的总数量与其临界量比值，即为Q；当企业存在多种环境风险物质时，则按下式计算物质数量与其临界量比值（Q）：</w:t>
            </w:r>
          </w:p>
          <w:p>
            <w:pPr>
              <w:spacing w:line="360" w:lineRule="auto"/>
              <w:ind w:firstLine="420" w:firstLineChars="200"/>
              <w:jc w:val="center"/>
              <w:rPr>
                <w:szCs w:val="24"/>
              </w:rPr>
            </w:pPr>
            <w:r>
              <w:rPr>
                <w:szCs w:val="24"/>
              </w:rPr>
              <w:drawing>
                <wp:inline distT="0" distB="0" distL="114300" distR="114300">
                  <wp:extent cx="2064385" cy="487680"/>
                  <wp:effectExtent l="0" t="0" r="2540" b="762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6"/>
                          <a:stretch>
                            <a:fillRect/>
                          </a:stretch>
                        </pic:blipFill>
                        <pic:spPr>
                          <a:xfrm>
                            <a:off x="0" y="0"/>
                            <a:ext cx="2064385" cy="487680"/>
                          </a:xfrm>
                          <a:prstGeom prst="rect">
                            <a:avLst/>
                          </a:prstGeom>
                          <a:noFill/>
                          <a:ln>
                            <a:noFill/>
                          </a:ln>
                        </pic:spPr>
                      </pic:pic>
                    </a:graphicData>
                  </a:graphic>
                </wp:inline>
              </w:drawing>
            </w:r>
          </w:p>
          <w:p>
            <w:pPr>
              <w:spacing w:line="360" w:lineRule="auto"/>
              <w:ind w:firstLine="420" w:firstLineChars="200"/>
              <w:rPr>
                <w:szCs w:val="24"/>
              </w:rPr>
            </w:pPr>
            <w:r>
              <w:rPr>
                <w:szCs w:val="24"/>
              </w:rPr>
              <w:t>式中：q1，q2,…，qn——每种环境风险物质的最大存在总量，t；</w:t>
            </w:r>
          </w:p>
          <w:p>
            <w:pPr>
              <w:spacing w:line="360" w:lineRule="auto"/>
              <w:ind w:firstLine="1050" w:firstLineChars="500"/>
              <w:rPr>
                <w:szCs w:val="24"/>
              </w:rPr>
            </w:pPr>
            <w:r>
              <w:rPr>
                <w:szCs w:val="24"/>
              </w:rPr>
              <w:t>Q1，Q2,…，Qn——每种环境风险物质的临界量，t。</w:t>
            </w:r>
          </w:p>
          <w:p>
            <w:pPr>
              <w:spacing w:line="360" w:lineRule="auto"/>
              <w:ind w:firstLine="1050" w:firstLineChars="500"/>
              <w:rPr>
                <w:szCs w:val="24"/>
              </w:rPr>
            </w:pPr>
            <w:r>
              <w:rPr>
                <w:szCs w:val="24"/>
              </w:rPr>
              <w:t>当Q&lt;1时，该项目环境风险潜势为Ⅰ。</w:t>
            </w:r>
          </w:p>
          <w:p>
            <w:pPr>
              <w:spacing w:line="360" w:lineRule="auto"/>
              <w:ind w:firstLine="1050" w:firstLineChars="500"/>
              <w:rPr>
                <w:szCs w:val="24"/>
              </w:rPr>
            </w:pPr>
            <w:r>
              <w:rPr>
                <w:szCs w:val="24"/>
              </w:rPr>
              <w:t>当Q≥1时，将Q 值划分为：（1）1≤Q&lt;10；（2）10≤Q&lt;100；（3）Q≥100。</w:t>
            </w:r>
          </w:p>
          <w:p>
            <w:pPr>
              <w:spacing w:line="360" w:lineRule="auto"/>
              <w:ind w:firstLine="420" w:firstLineChars="200"/>
              <w:rPr>
                <w:b/>
                <w:bCs/>
              </w:rPr>
            </w:pPr>
            <w:bookmarkStart w:id="28" w:name="_Hlk201908113"/>
            <w:r>
              <w:rPr>
                <w:szCs w:val="24"/>
              </w:rPr>
              <w:t>建设项目涉及的危险物料Q值判别见下表。</w:t>
            </w:r>
          </w:p>
          <w:p>
            <w:pPr>
              <w:keepNext/>
              <w:jc w:val="center"/>
              <w:rPr>
                <w:b/>
                <w:bCs/>
              </w:rPr>
            </w:pPr>
            <w:r>
              <w:rPr>
                <w:b/>
                <w:bCs/>
              </w:rPr>
              <w:t>表4-</w:t>
            </w:r>
            <w:r>
              <w:rPr>
                <w:rFonts w:hint="eastAsia"/>
                <w:b/>
                <w:bCs/>
                <w:lang w:val="en-US" w:eastAsia="zh-CN"/>
              </w:rPr>
              <w:t>34</w:t>
            </w:r>
            <w:r>
              <w:rPr>
                <w:rFonts w:hint="eastAsia"/>
                <w:b/>
                <w:bCs/>
              </w:rPr>
              <w:t xml:space="preserve"> </w:t>
            </w:r>
            <w:r>
              <w:rPr>
                <w:b/>
                <w:bCs/>
              </w:rPr>
              <w:t xml:space="preserve"> 建设项目涉及的危险物料Q值判别</w:t>
            </w:r>
          </w:p>
          <w:tbl>
            <w:tblPr>
              <w:tblStyle w:val="90"/>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790"/>
              <w:gridCol w:w="2665"/>
              <w:gridCol w:w="1700"/>
              <w:gridCol w:w="126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90" w:type="dxa"/>
                  <w:noWrap w:val="0"/>
                  <w:vAlign w:val="center"/>
                </w:tcPr>
                <w:p>
                  <w:pPr>
                    <w:adjustRightInd w:val="0"/>
                    <w:snapToGrid w:val="0"/>
                    <w:jc w:val="center"/>
                    <w:rPr>
                      <w:b/>
                      <w:sz w:val="20"/>
                      <w:szCs w:val="20"/>
                    </w:rPr>
                  </w:pPr>
                  <w:r>
                    <w:rPr>
                      <w:b/>
                      <w:sz w:val="20"/>
                      <w:szCs w:val="20"/>
                    </w:rPr>
                    <w:t>物质名称</w:t>
                  </w:r>
                </w:p>
              </w:tc>
              <w:tc>
                <w:tcPr>
                  <w:tcW w:w="2665" w:type="dxa"/>
                  <w:noWrap w:val="0"/>
                  <w:vAlign w:val="center"/>
                </w:tcPr>
                <w:p>
                  <w:pPr>
                    <w:adjustRightInd w:val="0"/>
                    <w:snapToGrid w:val="0"/>
                    <w:jc w:val="center"/>
                    <w:rPr>
                      <w:b/>
                      <w:sz w:val="20"/>
                      <w:szCs w:val="20"/>
                    </w:rPr>
                  </w:pPr>
                  <w:r>
                    <w:rPr>
                      <w:b/>
                      <w:sz w:val="20"/>
                      <w:szCs w:val="20"/>
                    </w:rPr>
                    <w:t>最大</w:t>
                  </w:r>
                  <w:r>
                    <w:rPr>
                      <w:rFonts w:hint="eastAsia"/>
                      <w:b/>
                      <w:sz w:val="20"/>
                      <w:szCs w:val="20"/>
                    </w:rPr>
                    <w:t>存在量</w:t>
                  </w:r>
                  <w:r>
                    <w:rPr>
                      <w:b/>
                      <w:sz w:val="20"/>
                      <w:szCs w:val="20"/>
                    </w:rPr>
                    <w:t>（</w:t>
                  </w:r>
                  <w:r>
                    <w:rPr>
                      <w:rFonts w:hint="eastAsia"/>
                      <w:b/>
                      <w:sz w:val="20"/>
                      <w:szCs w:val="20"/>
                    </w:rPr>
                    <w:t>t</w:t>
                  </w:r>
                  <w:r>
                    <w:rPr>
                      <w:b/>
                      <w:sz w:val="20"/>
                      <w:szCs w:val="20"/>
                    </w:rPr>
                    <w:t>）</w:t>
                  </w:r>
                </w:p>
              </w:tc>
              <w:tc>
                <w:tcPr>
                  <w:tcW w:w="1700" w:type="dxa"/>
                  <w:noWrap w:val="0"/>
                  <w:vAlign w:val="center"/>
                </w:tcPr>
                <w:p>
                  <w:pPr>
                    <w:adjustRightInd w:val="0"/>
                    <w:snapToGrid w:val="0"/>
                    <w:jc w:val="center"/>
                    <w:rPr>
                      <w:b/>
                      <w:sz w:val="20"/>
                      <w:szCs w:val="20"/>
                    </w:rPr>
                  </w:pPr>
                  <w:r>
                    <w:rPr>
                      <w:b/>
                      <w:sz w:val="20"/>
                      <w:szCs w:val="20"/>
                    </w:rPr>
                    <w:t>临界量Q（t）</w:t>
                  </w:r>
                </w:p>
              </w:tc>
              <w:tc>
                <w:tcPr>
                  <w:tcW w:w="1268" w:type="dxa"/>
                  <w:noWrap w:val="0"/>
                  <w:vAlign w:val="center"/>
                </w:tcPr>
                <w:p>
                  <w:pPr>
                    <w:adjustRightInd w:val="0"/>
                    <w:snapToGrid w:val="0"/>
                    <w:jc w:val="center"/>
                    <w:rPr>
                      <w:b/>
                      <w:sz w:val="20"/>
                      <w:szCs w:val="20"/>
                    </w:rPr>
                  </w:pPr>
                  <w:r>
                    <w:rPr>
                      <w:b/>
                      <w:sz w:val="20"/>
                      <w:szCs w:val="20"/>
                    </w:rPr>
                    <w:t>q/Q</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90" w:type="dxa"/>
                  <w:noWrap w:val="0"/>
                  <w:vAlign w:val="center"/>
                </w:tcPr>
                <w:p>
                  <w:pPr>
                    <w:jc w:val="center"/>
                    <w:rPr>
                      <w:sz w:val="20"/>
                      <w:szCs w:val="20"/>
                    </w:rPr>
                  </w:pPr>
                  <w:r>
                    <w:rPr>
                      <w:rFonts w:hint="eastAsia"/>
                      <w:sz w:val="20"/>
                      <w:szCs w:val="20"/>
                    </w:rPr>
                    <w:t>柔软剂</w:t>
                  </w:r>
                </w:p>
              </w:tc>
              <w:tc>
                <w:tcPr>
                  <w:tcW w:w="2665" w:type="dxa"/>
                  <w:noWrap w:val="0"/>
                  <w:vAlign w:val="center"/>
                </w:tcPr>
                <w:p>
                  <w:pPr>
                    <w:widowControl/>
                    <w:adjustRightInd w:val="0"/>
                    <w:jc w:val="center"/>
                    <w:rPr>
                      <w:sz w:val="20"/>
                      <w:szCs w:val="20"/>
                    </w:rPr>
                  </w:pPr>
                  <w:r>
                    <w:rPr>
                      <w:rFonts w:hint="eastAsia"/>
                      <w:sz w:val="20"/>
                      <w:szCs w:val="20"/>
                    </w:rPr>
                    <w:t>4</w:t>
                  </w:r>
                </w:p>
              </w:tc>
              <w:tc>
                <w:tcPr>
                  <w:tcW w:w="1700" w:type="dxa"/>
                  <w:noWrap w:val="0"/>
                  <w:vAlign w:val="center"/>
                </w:tcPr>
                <w:p>
                  <w:pPr>
                    <w:widowControl/>
                    <w:adjustRightInd w:val="0"/>
                    <w:jc w:val="center"/>
                    <w:rPr>
                      <w:rFonts w:hint="eastAsia"/>
                      <w:sz w:val="20"/>
                      <w:szCs w:val="20"/>
                    </w:rPr>
                  </w:pPr>
                  <w:r>
                    <w:rPr>
                      <w:rFonts w:hint="eastAsia"/>
                      <w:sz w:val="20"/>
                      <w:szCs w:val="20"/>
                    </w:rPr>
                    <w:t>50</w:t>
                  </w:r>
                </w:p>
              </w:tc>
              <w:tc>
                <w:tcPr>
                  <w:tcW w:w="1268" w:type="dxa"/>
                  <w:noWrap w:val="0"/>
                  <w:vAlign w:val="center"/>
                </w:tcPr>
                <w:p>
                  <w:pPr>
                    <w:widowControl/>
                    <w:adjustRightInd w:val="0"/>
                    <w:jc w:val="center"/>
                    <w:rPr>
                      <w:sz w:val="20"/>
                      <w:szCs w:val="20"/>
                    </w:rPr>
                  </w:pPr>
                  <w:r>
                    <w:rPr>
                      <w:rFonts w:hint="eastAsia"/>
                      <w:sz w:val="20"/>
                      <w:szCs w:val="20"/>
                    </w:rPr>
                    <w:t>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90" w:type="dxa"/>
                  <w:noWrap w:val="0"/>
                  <w:vAlign w:val="center"/>
                </w:tcPr>
                <w:p>
                  <w:pPr>
                    <w:jc w:val="center"/>
                    <w:rPr>
                      <w:sz w:val="20"/>
                      <w:szCs w:val="20"/>
                    </w:rPr>
                  </w:pPr>
                  <w:r>
                    <w:rPr>
                      <w:rFonts w:hint="eastAsia"/>
                      <w:sz w:val="20"/>
                      <w:szCs w:val="20"/>
                    </w:rPr>
                    <w:t>润滑油</w:t>
                  </w:r>
                </w:p>
              </w:tc>
              <w:tc>
                <w:tcPr>
                  <w:tcW w:w="2665" w:type="dxa"/>
                  <w:noWrap w:val="0"/>
                  <w:vAlign w:val="center"/>
                </w:tcPr>
                <w:p>
                  <w:pPr>
                    <w:widowControl/>
                    <w:adjustRightInd w:val="0"/>
                    <w:jc w:val="center"/>
                    <w:rPr>
                      <w:rFonts w:hint="eastAsia"/>
                      <w:sz w:val="20"/>
                      <w:szCs w:val="20"/>
                    </w:rPr>
                  </w:pPr>
                  <w:r>
                    <w:rPr>
                      <w:rFonts w:hint="eastAsia"/>
                      <w:sz w:val="20"/>
                      <w:szCs w:val="20"/>
                    </w:rPr>
                    <w:t>0.2</w:t>
                  </w:r>
                </w:p>
              </w:tc>
              <w:tc>
                <w:tcPr>
                  <w:tcW w:w="1700" w:type="dxa"/>
                  <w:noWrap w:val="0"/>
                  <w:vAlign w:val="center"/>
                </w:tcPr>
                <w:p>
                  <w:pPr>
                    <w:widowControl/>
                    <w:adjustRightInd w:val="0"/>
                    <w:jc w:val="center"/>
                    <w:rPr>
                      <w:rFonts w:hint="eastAsia"/>
                      <w:sz w:val="20"/>
                      <w:szCs w:val="20"/>
                    </w:rPr>
                  </w:pPr>
                  <w:r>
                    <w:rPr>
                      <w:rFonts w:hint="eastAsia"/>
                      <w:sz w:val="20"/>
                      <w:szCs w:val="20"/>
                    </w:rPr>
                    <w:t>2500</w:t>
                  </w:r>
                </w:p>
              </w:tc>
              <w:tc>
                <w:tcPr>
                  <w:tcW w:w="1268" w:type="dxa"/>
                  <w:noWrap w:val="0"/>
                  <w:vAlign w:val="center"/>
                </w:tcPr>
                <w:p>
                  <w:pPr>
                    <w:widowControl/>
                    <w:adjustRightInd w:val="0"/>
                    <w:jc w:val="center"/>
                    <w:rPr>
                      <w:rFonts w:hint="eastAsia"/>
                      <w:sz w:val="20"/>
                      <w:szCs w:val="20"/>
                    </w:rPr>
                  </w:pPr>
                  <w:r>
                    <w:rPr>
                      <w:rFonts w:hint="eastAsia"/>
                      <w:sz w:val="20"/>
                      <w:szCs w:val="20"/>
                    </w:rPr>
                    <w:t>0.00008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90" w:type="dxa"/>
                  <w:noWrap w:val="0"/>
                  <w:vAlign w:val="center"/>
                </w:tcPr>
                <w:p>
                  <w:pPr>
                    <w:jc w:val="center"/>
                    <w:rPr>
                      <w:sz w:val="20"/>
                      <w:szCs w:val="20"/>
                    </w:rPr>
                  </w:pPr>
                  <w:r>
                    <w:rPr>
                      <w:rFonts w:hint="eastAsia"/>
                      <w:sz w:val="20"/>
                      <w:szCs w:val="20"/>
                    </w:rPr>
                    <w:t>导热油</w:t>
                  </w:r>
                </w:p>
              </w:tc>
              <w:tc>
                <w:tcPr>
                  <w:tcW w:w="2665" w:type="dxa"/>
                  <w:noWrap w:val="0"/>
                  <w:vAlign w:val="center"/>
                </w:tcPr>
                <w:p>
                  <w:pPr>
                    <w:widowControl/>
                    <w:adjustRightInd w:val="0"/>
                    <w:jc w:val="center"/>
                    <w:rPr>
                      <w:rFonts w:hint="eastAsia"/>
                      <w:sz w:val="20"/>
                      <w:szCs w:val="20"/>
                    </w:rPr>
                  </w:pPr>
                  <w:r>
                    <w:rPr>
                      <w:rFonts w:hint="eastAsia"/>
                      <w:sz w:val="20"/>
                      <w:szCs w:val="20"/>
                      <w:lang w:val="en-US" w:eastAsia="zh-CN"/>
                    </w:rPr>
                    <w:t>1</w:t>
                  </w:r>
                </w:p>
              </w:tc>
              <w:tc>
                <w:tcPr>
                  <w:tcW w:w="1700" w:type="dxa"/>
                  <w:noWrap w:val="0"/>
                  <w:vAlign w:val="center"/>
                </w:tcPr>
                <w:p>
                  <w:pPr>
                    <w:widowControl/>
                    <w:adjustRightInd w:val="0"/>
                    <w:jc w:val="center"/>
                    <w:rPr>
                      <w:rFonts w:hint="eastAsia"/>
                      <w:sz w:val="20"/>
                      <w:szCs w:val="20"/>
                    </w:rPr>
                  </w:pPr>
                  <w:r>
                    <w:rPr>
                      <w:rFonts w:hint="eastAsia"/>
                      <w:sz w:val="20"/>
                      <w:szCs w:val="20"/>
                    </w:rPr>
                    <w:t>2500</w:t>
                  </w:r>
                </w:p>
              </w:tc>
              <w:tc>
                <w:tcPr>
                  <w:tcW w:w="1268" w:type="dxa"/>
                  <w:noWrap w:val="0"/>
                  <w:vAlign w:val="center"/>
                </w:tcPr>
                <w:p>
                  <w:pPr>
                    <w:widowControl/>
                    <w:adjustRightInd w:val="0"/>
                    <w:jc w:val="center"/>
                    <w:rPr>
                      <w:rFonts w:hint="default" w:eastAsia="宋体"/>
                      <w:sz w:val="20"/>
                      <w:szCs w:val="20"/>
                      <w:lang w:val="en-US" w:eastAsia="zh-CN"/>
                    </w:rPr>
                  </w:pPr>
                  <w:r>
                    <w:rPr>
                      <w:rFonts w:hint="eastAsia"/>
                      <w:sz w:val="20"/>
                      <w:szCs w:val="20"/>
                    </w:rPr>
                    <w:t>0.00</w:t>
                  </w:r>
                  <w:r>
                    <w:rPr>
                      <w:rFonts w:hint="eastAsia"/>
                      <w:sz w:val="20"/>
                      <w:szCs w:val="20"/>
                      <w:lang w:val="en-US" w:eastAsia="zh-CN"/>
                    </w:rPr>
                    <w:t>04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90" w:type="dxa"/>
                  <w:noWrap w:val="0"/>
                  <w:vAlign w:val="center"/>
                </w:tcPr>
                <w:p>
                  <w:pPr>
                    <w:jc w:val="center"/>
                    <w:rPr>
                      <w:sz w:val="20"/>
                      <w:szCs w:val="20"/>
                    </w:rPr>
                  </w:pPr>
                  <w:r>
                    <w:rPr>
                      <w:rFonts w:hint="eastAsia"/>
                      <w:sz w:val="20"/>
                      <w:szCs w:val="20"/>
                    </w:rPr>
                    <w:t>危废</w:t>
                  </w:r>
                </w:p>
              </w:tc>
              <w:tc>
                <w:tcPr>
                  <w:tcW w:w="2665" w:type="dxa"/>
                  <w:noWrap w:val="0"/>
                  <w:vAlign w:val="center"/>
                </w:tcPr>
                <w:p>
                  <w:pPr>
                    <w:widowControl/>
                    <w:adjustRightInd w:val="0"/>
                    <w:jc w:val="center"/>
                    <w:rPr>
                      <w:rFonts w:hint="default" w:eastAsia="宋体"/>
                      <w:sz w:val="20"/>
                      <w:szCs w:val="20"/>
                      <w:lang w:val="en-US" w:eastAsia="zh-CN"/>
                    </w:rPr>
                  </w:pPr>
                  <w:r>
                    <w:rPr>
                      <w:rFonts w:hint="eastAsia"/>
                      <w:sz w:val="20"/>
                      <w:szCs w:val="20"/>
                      <w:lang w:val="en-US" w:eastAsia="zh-CN"/>
                    </w:rPr>
                    <w:t>1.6</w:t>
                  </w:r>
                </w:p>
              </w:tc>
              <w:tc>
                <w:tcPr>
                  <w:tcW w:w="1700" w:type="dxa"/>
                  <w:noWrap w:val="0"/>
                  <w:vAlign w:val="center"/>
                </w:tcPr>
                <w:p>
                  <w:pPr>
                    <w:widowControl/>
                    <w:adjustRightInd w:val="0"/>
                    <w:jc w:val="center"/>
                    <w:rPr>
                      <w:sz w:val="20"/>
                      <w:szCs w:val="20"/>
                    </w:rPr>
                  </w:pPr>
                  <w:r>
                    <w:rPr>
                      <w:rFonts w:hint="eastAsia"/>
                      <w:sz w:val="20"/>
                      <w:szCs w:val="20"/>
                    </w:rPr>
                    <w:t>50</w:t>
                  </w:r>
                </w:p>
              </w:tc>
              <w:tc>
                <w:tcPr>
                  <w:tcW w:w="1268" w:type="dxa"/>
                  <w:noWrap w:val="0"/>
                  <w:vAlign w:val="center"/>
                </w:tcPr>
                <w:p>
                  <w:pPr>
                    <w:widowControl/>
                    <w:adjustRightInd w:val="0"/>
                    <w:jc w:val="center"/>
                    <w:rPr>
                      <w:rFonts w:hint="default" w:eastAsia="宋体"/>
                      <w:sz w:val="20"/>
                      <w:szCs w:val="20"/>
                      <w:lang w:val="en-US" w:eastAsia="zh-CN"/>
                    </w:rPr>
                  </w:pPr>
                  <w:r>
                    <w:rPr>
                      <w:rFonts w:hint="eastAsia"/>
                      <w:sz w:val="20"/>
                      <w:szCs w:val="20"/>
                      <w:lang w:val="en-US" w:eastAsia="zh-CN"/>
                    </w:rPr>
                    <w:t>0.032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2790" w:type="dxa"/>
                  <w:noWrap w:val="0"/>
                  <w:vAlign w:val="center"/>
                </w:tcPr>
                <w:p>
                  <w:pPr>
                    <w:jc w:val="center"/>
                    <w:rPr>
                      <w:rFonts w:hint="eastAsia" w:eastAsia="宋体"/>
                      <w:sz w:val="20"/>
                      <w:szCs w:val="20"/>
                      <w:lang w:val="en-US" w:eastAsia="zh-CN"/>
                    </w:rPr>
                  </w:pPr>
                  <w:r>
                    <w:rPr>
                      <w:rFonts w:hint="eastAsia"/>
                      <w:sz w:val="20"/>
                      <w:szCs w:val="20"/>
                      <w:lang w:val="en-US" w:eastAsia="zh-CN"/>
                    </w:rPr>
                    <w:t>汞</w:t>
                  </w:r>
                </w:p>
              </w:tc>
              <w:tc>
                <w:tcPr>
                  <w:tcW w:w="2665" w:type="dxa"/>
                  <w:noWrap w:val="0"/>
                  <w:vAlign w:val="center"/>
                </w:tcPr>
                <w:p>
                  <w:pPr>
                    <w:widowControl/>
                    <w:adjustRightInd w:val="0"/>
                    <w:jc w:val="center"/>
                    <w:rPr>
                      <w:rFonts w:hint="default" w:eastAsia="宋体"/>
                      <w:sz w:val="20"/>
                      <w:szCs w:val="20"/>
                      <w:lang w:val="en-US" w:eastAsia="zh-CN"/>
                    </w:rPr>
                  </w:pPr>
                  <w:r>
                    <w:rPr>
                      <w:rFonts w:hint="eastAsia"/>
                      <w:sz w:val="20"/>
                      <w:szCs w:val="20"/>
                      <w:lang w:val="en-US" w:eastAsia="zh-CN"/>
                    </w:rPr>
                    <w:t>5.374kg</w:t>
                  </w:r>
                  <w:r>
                    <w:rPr>
                      <w:rFonts w:hint="eastAsia"/>
                      <w:vertAlign w:val="superscript"/>
                      <w:lang w:val="en-US" w:eastAsia="zh-CN"/>
                    </w:rPr>
                    <w:t>[1]</w:t>
                  </w:r>
                </w:p>
              </w:tc>
              <w:tc>
                <w:tcPr>
                  <w:tcW w:w="1700" w:type="dxa"/>
                  <w:noWrap w:val="0"/>
                  <w:vAlign w:val="center"/>
                </w:tcPr>
                <w:p>
                  <w:pPr>
                    <w:widowControl/>
                    <w:adjustRightInd w:val="0"/>
                    <w:jc w:val="center"/>
                    <w:rPr>
                      <w:rFonts w:hint="default" w:eastAsia="宋体"/>
                      <w:sz w:val="20"/>
                      <w:szCs w:val="20"/>
                      <w:lang w:val="en-US" w:eastAsia="zh-CN"/>
                    </w:rPr>
                  </w:pPr>
                  <w:r>
                    <w:rPr>
                      <w:rFonts w:hint="eastAsia"/>
                      <w:sz w:val="20"/>
                      <w:szCs w:val="20"/>
                      <w:lang w:val="en-US" w:eastAsia="zh-CN"/>
                    </w:rPr>
                    <w:t>0.25</w:t>
                  </w:r>
                </w:p>
              </w:tc>
              <w:tc>
                <w:tcPr>
                  <w:tcW w:w="1268" w:type="dxa"/>
                  <w:noWrap w:val="0"/>
                  <w:vAlign w:val="center"/>
                </w:tcPr>
                <w:p>
                  <w:pPr>
                    <w:widowControl/>
                    <w:adjustRightInd w:val="0"/>
                    <w:jc w:val="center"/>
                    <w:rPr>
                      <w:rFonts w:hint="default"/>
                      <w:sz w:val="20"/>
                      <w:szCs w:val="20"/>
                      <w:lang w:val="en-US" w:eastAsia="zh-CN"/>
                    </w:rPr>
                  </w:pPr>
                  <w:r>
                    <w:rPr>
                      <w:rFonts w:hint="eastAsia"/>
                      <w:sz w:val="20"/>
                      <w:szCs w:val="20"/>
                      <w:lang w:val="en-US" w:eastAsia="zh-CN"/>
                    </w:rPr>
                    <w:t>0.0215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jc w:val="center"/>
              </w:trPr>
              <w:tc>
                <w:tcPr>
                  <w:tcW w:w="7155" w:type="dxa"/>
                  <w:gridSpan w:val="3"/>
                  <w:noWrap w:val="0"/>
                  <w:vAlign w:val="center"/>
                </w:tcPr>
                <w:p>
                  <w:pPr>
                    <w:adjustRightInd w:val="0"/>
                    <w:snapToGrid w:val="0"/>
                    <w:jc w:val="center"/>
                    <w:rPr>
                      <w:sz w:val="20"/>
                      <w:szCs w:val="20"/>
                    </w:rPr>
                  </w:pPr>
                  <w:r>
                    <w:rPr>
                      <w:sz w:val="20"/>
                      <w:szCs w:val="20"/>
                    </w:rPr>
                    <w:t>合计</w:t>
                  </w:r>
                </w:p>
              </w:tc>
              <w:tc>
                <w:tcPr>
                  <w:tcW w:w="1268" w:type="dxa"/>
                  <w:noWrap w:val="0"/>
                  <w:vAlign w:val="center"/>
                </w:tcPr>
                <w:p>
                  <w:pPr>
                    <w:widowControl/>
                    <w:adjustRightInd w:val="0"/>
                    <w:jc w:val="center"/>
                    <w:rPr>
                      <w:rFonts w:hint="default" w:eastAsia="宋体"/>
                      <w:sz w:val="20"/>
                      <w:szCs w:val="20"/>
                      <w:lang w:val="en-US" w:eastAsia="zh-CN"/>
                    </w:rPr>
                  </w:pPr>
                  <w:r>
                    <w:rPr>
                      <w:rFonts w:hint="eastAsia"/>
                      <w:sz w:val="20"/>
                      <w:szCs w:val="20"/>
                    </w:rPr>
                    <w:t>0.</w:t>
                  </w:r>
                  <w:r>
                    <w:rPr>
                      <w:rFonts w:hint="eastAsia"/>
                      <w:sz w:val="20"/>
                      <w:szCs w:val="20"/>
                      <w:lang w:val="en-US" w:eastAsia="zh-CN"/>
                    </w:rPr>
                    <w:t>13398</w:t>
                  </w:r>
                </w:p>
              </w:tc>
            </w:tr>
          </w:tbl>
          <w:p>
            <w:pPr>
              <w:keepNext w:val="0"/>
              <w:keepLines w:val="0"/>
              <w:pageBreakBefore w:val="0"/>
              <w:widowControl w:val="0"/>
              <w:kinsoku/>
              <w:wordWrap/>
              <w:overflowPunct/>
              <w:topLinePunct w:val="0"/>
              <w:autoSpaceDE w:val="0"/>
              <w:autoSpaceDN w:val="0"/>
              <w:bidi w:val="0"/>
              <w:adjustRightInd w:val="0"/>
              <w:snapToGrid w:val="0"/>
              <w:spacing w:line="240" w:lineRule="auto"/>
              <w:ind w:firstLine="360" w:firstLineChars="200"/>
              <w:textAlignment w:val="auto"/>
              <w:rPr>
                <w:rFonts w:hint="default" w:eastAsia="宋体"/>
                <w:szCs w:val="24"/>
                <w:lang w:val="en-US" w:eastAsia="zh-CN"/>
              </w:rPr>
            </w:pPr>
            <w:r>
              <w:rPr>
                <w:rFonts w:hint="eastAsia"/>
                <w:color w:val="FF0000"/>
                <w:sz w:val="18"/>
                <w:szCs w:val="21"/>
                <w:lang w:val="en-US" w:eastAsia="zh-CN"/>
              </w:rPr>
              <w:t>注：[1]根据源强核算汞产生量估算生物质燃料中汞含量，</w:t>
            </w:r>
            <w:r>
              <w:rPr>
                <w:rFonts w:hint="eastAsia" w:ascii="Times New Roman" w:hAnsi="Times New Roman" w:eastAsia="宋体" w:cs="Times New Roman"/>
                <w:color w:val="FF0000"/>
                <w:kern w:val="2"/>
                <w:sz w:val="18"/>
                <w:szCs w:val="18"/>
                <w:lang w:val="en-US" w:eastAsia="zh-CN"/>
              </w:rPr>
              <w:t>本项目参考编制说明，保守估计汞及其化合物排放浓度</w:t>
            </w:r>
            <w:r>
              <w:rPr>
                <w:rFonts w:hint="eastAsia" w:cs="Times New Roman"/>
                <w:color w:val="FF0000"/>
                <w:kern w:val="2"/>
                <w:sz w:val="18"/>
                <w:szCs w:val="18"/>
                <w:lang w:val="en-US" w:eastAsia="zh-CN"/>
              </w:rPr>
              <w:t>取</w:t>
            </w:r>
            <w:r>
              <w:rPr>
                <w:rFonts w:hint="eastAsia" w:ascii="Times New Roman" w:hAnsi="Times New Roman" w:eastAsia="宋体" w:cs="Times New Roman"/>
                <w:color w:val="FF0000"/>
                <w:kern w:val="2"/>
                <w:sz w:val="18"/>
                <w:szCs w:val="18"/>
                <w:lang w:val="en-US" w:eastAsia="zh-CN"/>
              </w:rPr>
              <w:t>16ug/m</w:t>
            </w:r>
            <w:r>
              <w:rPr>
                <w:rFonts w:hint="eastAsia" w:ascii="Times New Roman" w:hAnsi="Times New Roman" w:eastAsia="宋体" w:cs="Times New Roman"/>
                <w:color w:val="FF0000"/>
                <w:kern w:val="2"/>
                <w:sz w:val="18"/>
                <w:szCs w:val="18"/>
                <w:vertAlign w:val="superscript"/>
                <w:lang w:val="en-US" w:eastAsia="zh-CN"/>
              </w:rPr>
              <w:t>3</w:t>
            </w:r>
            <w:r>
              <w:rPr>
                <w:rFonts w:hint="eastAsia" w:ascii="Times New Roman" w:hAnsi="Times New Roman" w:eastAsia="宋体" w:cs="Times New Roman"/>
                <w:color w:val="FF0000"/>
                <w:kern w:val="2"/>
                <w:sz w:val="18"/>
                <w:szCs w:val="18"/>
                <w:lang w:val="en-US" w:eastAsia="zh-CN"/>
              </w:rPr>
              <w:t>，</w:t>
            </w:r>
            <w:r>
              <w:rPr>
                <w:rFonts w:hint="eastAsia" w:cs="Times New Roman"/>
                <w:color w:val="FF0000"/>
                <w:kern w:val="2"/>
                <w:sz w:val="18"/>
                <w:szCs w:val="18"/>
                <w:lang w:val="en-US" w:eastAsia="zh-CN"/>
              </w:rPr>
              <w:t>生物质锅炉风量为7000m</w:t>
            </w:r>
            <w:r>
              <w:rPr>
                <w:rFonts w:hint="eastAsia" w:cs="Times New Roman"/>
                <w:color w:val="FF0000"/>
                <w:kern w:val="2"/>
                <w:sz w:val="18"/>
                <w:szCs w:val="18"/>
                <w:vertAlign w:val="superscript"/>
                <w:lang w:val="en-US" w:eastAsia="zh-CN"/>
              </w:rPr>
              <w:t>3</w:t>
            </w:r>
            <w:r>
              <w:rPr>
                <w:rFonts w:hint="eastAsia" w:cs="Times New Roman"/>
                <w:color w:val="FF0000"/>
                <w:kern w:val="2"/>
                <w:sz w:val="18"/>
                <w:szCs w:val="18"/>
                <w:lang w:val="en-US" w:eastAsia="zh-CN"/>
              </w:rPr>
              <w:t>/h，</w:t>
            </w:r>
            <w:r>
              <w:rPr>
                <w:rFonts w:hint="eastAsia" w:ascii="Times New Roman" w:hAnsi="Times New Roman" w:eastAsia="宋体" w:cs="Times New Roman"/>
                <w:color w:val="FF0000"/>
                <w:kern w:val="2"/>
                <w:sz w:val="18"/>
                <w:szCs w:val="18"/>
                <w:lang w:val="en-US" w:eastAsia="zh-CN"/>
              </w:rPr>
              <w:t>经计算，汞及其化合物</w:t>
            </w:r>
            <w:r>
              <w:rPr>
                <w:rFonts w:hint="eastAsia" w:cs="Times New Roman"/>
                <w:color w:val="FF0000"/>
                <w:kern w:val="2"/>
                <w:sz w:val="18"/>
                <w:szCs w:val="18"/>
                <w:lang w:val="en-US" w:eastAsia="zh-CN"/>
              </w:rPr>
              <w:t>排放速率为1.12</w:t>
            </w:r>
            <w:r>
              <w:rPr>
                <w:rFonts w:hint="default" w:ascii="Times New Roman" w:hAnsi="Times New Roman" w:eastAsia="宋体" w:cs="Times New Roman"/>
                <w:color w:val="FF0000"/>
                <w:kern w:val="2"/>
                <w:sz w:val="18"/>
                <w:szCs w:val="18"/>
                <w:lang w:val="en-US" w:eastAsia="zh-CN"/>
              </w:rPr>
              <w:t>×10</w:t>
            </w:r>
            <w:r>
              <w:rPr>
                <w:rFonts w:hint="default" w:ascii="Times New Roman" w:hAnsi="Times New Roman" w:eastAsia="宋体" w:cs="Times New Roman"/>
                <w:color w:val="FF0000"/>
                <w:kern w:val="2"/>
                <w:sz w:val="18"/>
                <w:szCs w:val="18"/>
                <w:vertAlign w:val="superscript"/>
                <w:lang w:val="en-US" w:eastAsia="zh-CN"/>
              </w:rPr>
              <w:t>-</w:t>
            </w:r>
            <w:r>
              <w:rPr>
                <w:rFonts w:hint="eastAsia" w:ascii="Times New Roman" w:hAnsi="Times New Roman" w:eastAsia="宋体" w:cs="Times New Roman"/>
                <w:color w:val="FF0000"/>
                <w:kern w:val="2"/>
                <w:sz w:val="18"/>
                <w:szCs w:val="18"/>
                <w:vertAlign w:val="superscript"/>
                <w:lang w:val="en-US" w:eastAsia="zh-CN"/>
              </w:rPr>
              <w:t>4</w:t>
            </w:r>
            <w:r>
              <w:rPr>
                <w:rFonts w:hint="eastAsia" w:cs="Times New Roman"/>
                <w:color w:val="FF0000"/>
                <w:kern w:val="2"/>
                <w:sz w:val="18"/>
                <w:szCs w:val="18"/>
                <w:lang w:val="en-US" w:eastAsia="zh-CN"/>
              </w:rPr>
              <w:t>kg/h，年工作时间为7200h，排放</w:t>
            </w:r>
            <w:r>
              <w:rPr>
                <w:rFonts w:hint="eastAsia" w:ascii="Times New Roman" w:hAnsi="Times New Roman" w:eastAsia="宋体" w:cs="Times New Roman"/>
                <w:color w:val="FF0000"/>
                <w:kern w:val="2"/>
                <w:sz w:val="18"/>
                <w:szCs w:val="18"/>
                <w:lang w:val="en-US" w:eastAsia="zh-CN"/>
              </w:rPr>
              <w:t>量为</w:t>
            </w:r>
            <w:r>
              <w:rPr>
                <w:rFonts w:hint="eastAsia" w:cs="Times New Roman"/>
                <w:color w:val="FF0000"/>
                <w:kern w:val="2"/>
                <w:sz w:val="18"/>
                <w:szCs w:val="18"/>
                <w:lang w:val="en-US" w:eastAsia="zh-CN"/>
              </w:rPr>
              <w:t>0.806</w:t>
            </w:r>
            <w:r>
              <w:rPr>
                <w:rFonts w:hint="eastAsia" w:ascii="Times New Roman" w:hAnsi="Times New Roman" w:eastAsia="宋体" w:cs="Times New Roman"/>
                <w:color w:val="FF0000"/>
                <w:kern w:val="2"/>
                <w:sz w:val="18"/>
                <w:szCs w:val="18"/>
                <w:lang w:val="en-US" w:eastAsia="zh-CN"/>
              </w:rPr>
              <w:t>kg/a，</w:t>
            </w:r>
            <w:r>
              <w:rPr>
                <w:rFonts w:hint="eastAsia"/>
                <w:color w:val="FF0000"/>
                <w:kern w:val="2"/>
                <w:sz w:val="18"/>
                <w:szCs w:val="18"/>
                <w:lang w:val="en-US" w:eastAsia="zh-CN"/>
              </w:rPr>
              <w:t>Hg平均脱除效率一般可达70%，则DA002和DA003</w:t>
            </w:r>
            <w:r>
              <w:rPr>
                <w:rFonts w:hint="eastAsia"/>
                <w:color w:val="FF0000"/>
                <w:kern w:val="2"/>
                <w:sz w:val="18"/>
                <w:szCs w:val="18"/>
              </w:rPr>
              <w:t>有组织</w:t>
            </w:r>
            <w:r>
              <w:rPr>
                <w:rFonts w:hint="eastAsia" w:ascii="Times New Roman" w:hAnsi="Times New Roman" w:eastAsia="宋体" w:cs="Times New Roman"/>
                <w:color w:val="FF0000"/>
                <w:kern w:val="2"/>
                <w:sz w:val="18"/>
                <w:szCs w:val="18"/>
                <w:lang w:val="en-US" w:eastAsia="zh-CN"/>
              </w:rPr>
              <w:t>汞及其化合物</w:t>
            </w:r>
            <w:r>
              <w:rPr>
                <w:rFonts w:hint="eastAsia"/>
                <w:color w:val="FF0000"/>
                <w:kern w:val="2"/>
                <w:sz w:val="18"/>
                <w:szCs w:val="18"/>
                <w:lang w:val="en-US" w:eastAsia="zh-CN"/>
              </w:rPr>
              <w:t>产生</w:t>
            </w:r>
            <w:r>
              <w:rPr>
                <w:rFonts w:hint="eastAsia"/>
                <w:color w:val="FF0000"/>
                <w:kern w:val="2"/>
                <w:sz w:val="18"/>
                <w:szCs w:val="18"/>
              </w:rPr>
              <w:t>量</w:t>
            </w:r>
            <w:r>
              <w:rPr>
                <w:rFonts w:hint="eastAsia"/>
                <w:color w:val="FF0000"/>
                <w:kern w:val="2"/>
                <w:sz w:val="18"/>
                <w:szCs w:val="18"/>
                <w:lang w:val="en-US" w:eastAsia="zh-CN"/>
              </w:rPr>
              <w:t>分别均</w:t>
            </w:r>
            <w:r>
              <w:rPr>
                <w:rFonts w:hint="eastAsia"/>
                <w:color w:val="FF0000"/>
                <w:kern w:val="2"/>
                <w:sz w:val="18"/>
                <w:szCs w:val="18"/>
              </w:rPr>
              <w:t>为</w:t>
            </w:r>
            <w:r>
              <w:rPr>
                <w:rFonts w:hint="eastAsia"/>
                <w:color w:val="FF0000"/>
                <w:kern w:val="2"/>
                <w:sz w:val="18"/>
                <w:szCs w:val="18"/>
                <w:lang w:val="en-US" w:eastAsia="zh-CN"/>
              </w:rPr>
              <w:t>2.687kg</w:t>
            </w:r>
            <w:r>
              <w:rPr>
                <w:rFonts w:hint="eastAsia"/>
                <w:color w:val="FF0000"/>
                <w:kern w:val="2"/>
                <w:sz w:val="18"/>
                <w:szCs w:val="18"/>
              </w:rPr>
              <w:t>/a</w:t>
            </w:r>
            <w:r>
              <w:rPr>
                <w:rFonts w:hint="eastAsia"/>
                <w:color w:val="FF0000"/>
                <w:kern w:val="2"/>
                <w:sz w:val="18"/>
                <w:szCs w:val="18"/>
                <w:lang w:eastAsia="zh-CN"/>
              </w:rPr>
              <w:t>。</w:t>
            </w:r>
            <w:r>
              <w:rPr>
                <w:rFonts w:hint="eastAsia"/>
                <w:color w:val="FF0000"/>
                <w:kern w:val="2"/>
                <w:sz w:val="18"/>
                <w:szCs w:val="18"/>
                <w:lang w:val="en-US" w:eastAsia="zh-CN"/>
              </w:rPr>
              <w:t>因此估算生物质燃料中汞最大存在量</w:t>
            </w:r>
            <w:r>
              <w:rPr>
                <w:rFonts w:hint="eastAsia"/>
                <w:color w:val="FF0000"/>
                <w:sz w:val="18"/>
                <w:szCs w:val="21"/>
                <w:lang w:val="en-US" w:eastAsia="zh-CN"/>
              </w:rPr>
              <w:t>约为5.374kg</w:t>
            </w:r>
          </w:p>
          <w:p>
            <w:pPr>
              <w:spacing w:line="360" w:lineRule="auto"/>
              <w:ind w:firstLine="420" w:firstLineChars="200"/>
              <w:rPr>
                <w:szCs w:val="24"/>
              </w:rPr>
            </w:pPr>
            <w:r>
              <w:rPr>
                <w:szCs w:val="24"/>
              </w:rPr>
              <w:t>由上表可知，本项目Q&lt;1，因此，</w:t>
            </w:r>
            <w:r>
              <w:rPr>
                <w:rFonts w:hint="eastAsia"/>
                <w:szCs w:val="24"/>
              </w:rPr>
              <w:t>本项目环境风险</w:t>
            </w:r>
            <w:r>
              <w:rPr>
                <w:rFonts w:hint="default" w:ascii="Times New Roman" w:hAnsi="Times New Roman" w:cs="Times New Roman"/>
                <w:szCs w:val="24"/>
              </w:rPr>
              <w:t>潜势为Ⅰ，因此可</w:t>
            </w:r>
            <w:r>
              <w:rPr>
                <w:rFonts w:hint="eastAsia"/>
                <w:szCs w:val="24"/>
              </w:rPr>
              <w:t>开展简单分析</w:t>
            </w:r>
            <w:r>
              <w:rPr>
                <w:szCs w:val="24"/>
              </w:rPr>
              <w:t>。</w:t>
            </w:r>
          </w:p>
          <w:bookmarkEnd w:id="28"/>
          <w:p>
            <w:pPr>
              <w:autoSpaceDE w:val="0"/>
              <w:autoSpaceDN w:val="0"/>
              <w:spacing w:line="360" w:lineRule="auto"/>
              <w:ind w:firstLine="422" w:firstLineChars="200"/>
              <w:rPr>
                <w:rFonts w:hint="eastAsia"/>
                <w:b/>
                <w:bCs/>
                <w:kern w:val="0"/>
                <w:lang w:bidi="en-US"/>
              </w:rPr>
            </w:pPr>
            <w:r>
              <w:rPr>
                <w:rFonts w:hint="eastAsia"/>
                <w:b/>
                <w:bCs/>
                <w:kern w:val="0"/>
                <w:lang w:bidi="en-US"/>
              </w:rPr>
              <w:t>（3）环境风险识别</w:t>
            </w:r>
          </w:p>
          <w:p>
            <w:pPr>
              <w:adjustRightInd w:val="0"/>
              <w:snapToGrid w:val="0"/>
              <w:spacing w:line="360" w:lineRule="auto"/>
              <w:ind w:firstLine="420" w:firstLineChars="200"/>
            </w:pPr>
            <w:r>
              <w:t>风险识别范围包括物质危险性识别，生产系统危险性识别和危险物质向环境转移的途径识别。物质危险性识别包括：主要原辅材料、燃料、中间产品、副产品、最终产品、污染物、火灾和爆炸伴生/次生物等。生产系统危险性识别包括：主要生产装置、储运设施、公用工程和辅助生产设施，以及环境保护设施等。危险物质向环境转移的途径识别包括：分析危险物质特性及可能的环境风险类型，识别危险物质影响环境的途径，分析可能影响的环境敏感目标。</w:t>
            </w:r>
          </w:p>
          <w:p>
            <w:pPr>
              <w:adjustRightInd w:val="0"/>
              <w:snapToGrid w:val="0"/>
              <w:spacing w:line="360" w:lineRule="auto"/>
              <w:ind w:firstLine="420" w:firstLineChars="200"/>
            </w:pPr>
            <w:r>
              <w:t>根据《建设项目环境风险评价技术导则》（HJ169-2018）中的内容，本项目主要环境风险物质为</w:t>
            </w:r>
            <w:r>
              <w:rPr>
                <w:rFonts w:hint="eastAsia"/>
              </w:rPr>
              <w:t>各类油</w:t>
            </w:r>
            <w:r>
              <w:rPr>
                <w:rFonts w:hint="eastAsia"/>
                <w:lang w:val="en-US" w:eastAsia="zh-CN"/>
              </w:rPr>
              <w:t>和</w:t>
            </w:r>
            <w:r>
              <w:t>各种危废等。主要环境风险源分布在</w:t>
            </w:r>
            <w:r>
              <w:rPr>
                <w:rFonts w:hint="eastAsia"/>
                <w:lang w:val="en-US" w:eastAsia="zh-CN"/>
              </w:rPr>
              <w:t>生产车间、</w:t>
            </w:r>
            <w:r>
              <w:rPr>
                <w:rFonts w:hint="eastAsia"/>
              </w:rPr>
              <w:t>锅炉房、废气处理设施</w:t>
            </w:r>
            <w:r>
              <w:t>和</w:t>
            </w:r>
            <w:r>
              <w:rPr>
                <w:rFonts w:hint="eastAsia"/>
              </w:rPr>
              <w:t>危废仓库</w:t>
            </w:r>
            <w:r>
              <w:t>。</w:t>
            </w:r>
          </w:p>
          <w:p>
            <w:pPr>
              <w:spacing w:line="360" w:lineRule="auto"/>
              <w:ind w:firstLine="420" w:firstLineChars="200"/>
              <w:rPr>
                <w:szCs w:val="24"/>
              </w:rPr>
            </w:pPr>
            <w:bookmarkStart w:id="29" w:name="_Hlk201908126"/>
            <w:r>
              <w:t>本项目主要危险物质环境风险识别见下表。</w:t>
            </w:r>
          </w:p>
          <w:p>
            <w:pPr>
              <w:keepNext/>
              <w:jc w:val="center"/>
              <w:rPr>
                <w:b/>
                <w:bCs/>
              </w:rPr>
            </w:pPr>
            <w:r>
              <w:rPr>
                <w:b/>
                <w:bCs/>
              </w:rPr>
              <w:t>表4-</w:t>
            </w:r>
            <w:r>
              <w:rPr>
                <w:rFonts w:hint="eastAsia"/>
                <w:b/>
                <w:bCs/>
                <w:lang w:val="en-US" w:eastAsia="zh-CN"/>
              </w:rPr>
              <w:t>35</w:t>
            </w:r>
            <w:r>
              <w:rPr>
                <w:rFonts w:hint="eastAsia"/>
                <w:b/>
                <w:bCs/>
              </w:rPr>
              <w:t xml:space="preserve"> </w:t>
            </w:r>
            <w:r>
              <w:rPr>
                <w:b/>
                <w:bCs/>
              </w:rPr>
              <w:t xml:space="preserve"> 建设项目主要危险物质环境风险识别</w:t>
            </w:r>
          </w:p>
          <w:tbl>
            <w:tblPr>
              <w:tblStyle w:val="90"/>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431"/>
              <w:gridCol w:w="2220"/>
              <w:gridCol w:w="4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pPr>
                    <w:adjustRightInd w:val="0"/>
                    <w:snapToGrid w:val="0"/>
                    <w:jc w:val="center"/>
                    <w:rPr>
                      <w:b/>
                      <w:bCs/>
                      <w:sz w:val="20"/>
                      <w:szCs w:val="20"/>
                    </w:rPr>
                  </w:pPr>
                  <w:r>
                    <w:rPr>
                      <w:b/>
                      <w:bCs/>
                      <w:sz w:val="20"/>
                      <w:szCs w:val="20"/>
                    </w:rPr>
                    <w:t>序号</w:t>
                  </w:r>
                </w:p>
              </w:tc>
              <w:tc>
                <w:tcPr>
                  <w:tcW w:w="1438" w:type="dxa"/>
                  <w:noWrap w:val="0"/>
                  <w:vAlign w:val="center"/>
                </w:tcPr>
                <w:p>
                  <w:pPr>
                    <w:adjustRightInd w:val="0"/>
                    <w:snapToGrid w:val="0"/>
                    <w:jc w:val="center"/>
                    <w:rPr>
                      <w:b/>
                      <w:bCs/>
                      <w:sz w:val="20"/>
                      <w:szCs w:val="20"/>
                    </w:rPr>
                  </w:pPr>
                  <w:r>
                    <w:rPr>
                      <w:b/>
                      <w:bCs/>
                      <w:sz w:val="20"/>
                      <w:szCs w:val="20"/>
                    </w:rPr>
                    <w:t>风险单元</w:t>
                  </w:r>
                </w:p>
              </w:tc>
              <w:tc>
                <w:tcPr>
                  <w:tcW w:w="2234" w:type="dxa"/>
                  <w:noWrap w:val="0"/>
                  <w:vAlign w:val="center"/>
                </w:tcPr>
                <w:p>
                  <w:pPr>
                    <w:adjustRightInd w:val="0"/>
                    <w:snapToGrid w:val="0"/>
                    <w:jc w:val="center"/>
                    <w:rPr>
                      <w:b/>
                      <w:bCs/>
                      <w:sz w:val="20"/>
                      <w:szCs w:val="20"/>
                    </w:rPr>
                  </w:pPr>
                  <w:r>
                    <w:rPr>
                      <w:b/>
                      <w:bCs/>
                      <w:sz w:val="20"/>
                      <w:szCs w:val="20"/>
                    </w:rPr>
                    <w:t>涉及风险物质</w:t>
                  </w:r>
                </w:p>
              </w:tc>
              <w:tc>
                <w:tcPr>
                  <w:tcW w:w="4227" w:type="dxa"/>
                  <w:noWrap w:val="0"/>
                  <w:vAlign w:val="center"/>
                </w:tcPr>
                <w:p>
                  <w:pPr>
                    <w:adjustRightInd w:val="0"/>
                    <w:snapToGrid w:val="0"/>
                    <w:jc w:val="center"/>
                    <w:rPr>
                      <w:b/>
                      <w:bCs/>
                      <w:sz w:val="20"/>
                      <w:szCs w:val="20"/>
                    </w:rPr>
                  </w:pPr>
                  <w:r>
                    <w:rPr>
                      <w:b/>
                      <w:bCs/>
                      <w:sz w:val="20"/>
                      <w:szCs w:val="20"/>
                    </w:rPr>
                    <w:t>可能影响环境的途径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pPr>
                    <w:adjustRightInd w:val="0"/>
                    <w:snapToGrid w:val="0"/>
                    <w:jc w:val="center"/>
                    <w:rPr>
                      <w:sz w:val="20"/>
                      <w:szCs w:val="20"/>
                    </w:rPr>
                  </w:pPr>
                  <w:r>
                    <w:rPr>
                      <w:rFonts w:hint="eastAsia"/>
                      <w:sz w:val="20"/>
                      <w:szCs w:val="20"/>
                    </w:rPr>
                    <w:t>1</w:t>
                  </w:r>
                </w:p>
              </w:tc>
              <w:tc>
                <w:tcPr>
                  <w:tcW w:w="1438" w:type="dxa"/>
                  <w:noWrap w:val="0"/>
                  <w:vAlign w:val="center"/>
                </w:tcPr>
                <w:p>
                  <w:pPr>
                    <w:adjustRightInd w:val="0"/>
                    <w:snapToGrid w:val="0"/>
                    <w:jc w:val="center"/>
                    <w:rPr>
                      <w:rFonts w:hint="default" w:eastAsia="宋体"/>
                      <w:sz w:val="20"/>
                      <w:szCs w:val="20"/>
                      <w:lang w:val="en-US" w:eastAsia="zh-CN"/>
                    </w:rPr>
                  </w:pPr>
                  <w:r>
                    <w:rPr>
                      <w:rFonts w:hint="eastAsia"/>
                      <w:sz w:val="20"/>
                      <w:szCs w:val="20"/>
                      <w:lang w:val="en-US" w:eastAsia="zh-CN"/>
                    </w:rPr>
                    <w:t>生产车间</w:t>
                  </w:r>
                </w:p>
              </w:tc>
              <w:tc>
                <w:tcPr>
                  <w:tcW w:w="2234" w:type="dxa"/>
                  <w:noWrap w:val="0"/>
                  <w:vAlign w:val="center"/>
                </w:tcPr>
                <w:p>
                  <w:pPr>
                    <w:adjustRightInd w:val="0"/>
                    <w:snapToGrid w:val="0"/>
                    <w:jc w:val="center"/>
                    <w:rPr>
                      <w:sz w:val="20"/>
                      <w:szCs w:val="20"/>
                    </w:rPr>
                  </w:pPr>
                  <w:r>
                    <w:rPr>
                      <w:rFonts w:hint="eastAsia"/>
                      <w:sz w:val="20"/>
                      <w:szCs w:val="20"/>
                    </w:rPr>
                    <w:t>油类、布匹等</w:t>
                  </w:r>
                </w:p>
              </w:tc>
              <w:tc>
                <w:tcPr>
                  <w:tcW w:w="4227" w:type="dxa"/>
                  <w:noWrap w:val="0"/>
                  <w:vAlign w:val="center"/>
                </w:tcPr>
                <w:p>
                  <w:pPr>
                    <w:adjustRightInd w:val="0"/>
                    <w:snapToGrid w:val="0"/>
                    <w:jc w:val="center"/>
                    <w:rPr>
                      <w:sz w:val="20"/>
                      <w:szCs w:val="20"/>
                    </w:rPr>
                  </w:pPr>
                  <w:r>
                    <w:rPr>
                      <w:rFonts w:hint="eastAsia"/>
                      <w:sz w:val="20"/>
                      <w:szCs w:val="20"/>
                    </w:rPr>
                    <w:t>泄漏以及火灾、爆炸等引起的伴生/次生污染物排放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pPr>
                    <w:adjustRightInd w:val="0"/>
                    <w:snapToGrid w:val="0"/>
                    <w:jc w:val="center"/>
                    <w:rPr>
                      <w:rFonts w:hint="eastAsia"/>
                      <w:sz w:val="20"/>
                      <w:szCs w:val="20"/>
                    </w:rPr>
                  </w:pPr>
                  <w:r>
                    <w:rPr>
                      <w:rFonts w:hint="eastAsia"/>
                      <w:sz w:val="20"/>
                      <w:szCs w:val="20"/>
                    </w:rPr>
                    <w:t>2</w:t>
                  </w:r>
                </w:p>
              </w:tc>
              <w:tc>
                <w:tcPr>
                  <w:tcW w:w="1438" w:type="dxa"/>
                  <w:noWrap w:val="0"/>
                  <w:vAlign w:val="center"/>
                </w:tcPr>
                <w:p>
                  <w:pPr>
                    <w:adjustRightInd w:val="0"/>
                    <w:snapToGrid w:val="0"/>
                    <w:jc w:val="center"/>
                    <w:rPr>
                      <w:rFonts w:hint="eastAsia"/>
                      <w:sz w:val="20"/>
                      <w:szCs w:val="20"/>
                    </w:rPr>
                  </w:pPr>
                  <w:r>
                    <w:rPr>
                      <w:rFonts w:hint="eastAsia"/>
                      <w:sz w:val="20"/>
                      <w:szCs w:val="20"/>
                    </w:rPr>
                    <w:t>污水处理站</w:t>
                  </w:r>
                </w:p>
              </w:tc>
              <w:tc>
                <w:tcPr>
                  <w:tcW w:w="2234" w:type="dxa"/>
                  <w:noWrap w:val="0"/>
                  <w:vAlign w:val="center"/>
                </w:tcPr>
                <w:p>
                  <w:pPr>
                    <w:adjustRightInd w:val="0"/>
                    <w:snapToGrid w:val="0"/>
                    <w:jc w:val="center"/>
                    <w:rPr>
                      <w:rFonts w:hint="eastAsia"/>
                      <w:sz w:val="20"/>
                      <w:szCs w:val="20"/>
                    </w:rPr>
                  </w:pPr>
                  <w:r>
                    <w:rPr>
                      <w:rFonts w:hint="eastAsia"/>
                      <w:sz w:val="20"/>
                      <w:szCs w:val="20"/>
                    </w:rPr>
                    <w:t>污水</w:t>
                  </w:r>
                </w:p>
              </w:tc>
              <w:tc>
                <w:tcPr>
                  <w:tcW w:w="4227" w:type="dxa"/>
                  <w:noWrap w:val="0"/>
                  <w:vAlign w:val="center"/>
                </w:tcPr>
                <w:p>
                  <w:pPr>
                    <w:adjustRightInd w:val="0"/>
                    <w:snapToGrid w:val="0"/>
                    <w:jc w:val="center"/>
                    <w:rPr>
                      <w:rFonts w:hint="eastAsia"/>
                      <w:sz w:val="20"/>
                      <w:szCs w:val="20"/>
                    </w:rPr>
                  </w:pPr>
                  <w:r>
                    <w:rPr>
                      <w:rFonts w:hint="eastAsia"/>
                      <w:sz w:val="20"/>
                      <w:szCs w:val="20"/>
                    </w:rPr>
                    <w:t>泄漏引起的伴生/次生污染物排放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pPr>
                    <w:adjustRightInd w:val="0"/>
                    <w:snapToGrid w:val="0"/>
                    <w:jc w:val="center"/>
                    <w:rPr>
                      <w:rFonts w:hint="eastAsia"/>
                      <w:sz w:val="20"/>
                      <w:szCs w:val="20"/>
                    </w:rPr>
                  </w:pPr>
                  <w:r>
                    <w:rPr>
                      <w:rFonts w:hint="eastAsia"/>
                      <w:sz w:val="20"/>
                      <w:szCs w:val="20"/>
                    </w:rPr>
                    <w:t>3</w:t>
                  </w:r>
                </w:p>
              </w:tc>
              <w:tc>
                <w:tcPr>
                  <w:tcW w:w="1438" w:type="dxa"/>
                  <w:noWrap w:val="0"/>
                  <w:vAlign w:val="center"/>
                </w:tcPr>
                <w:p>
                  <w:pPr>
                    <w:adjustRightInd w:val="0"/>
                    <w:snapToGrid w:val="0"/>
                    <w:jc w:val="center"/>
                    <w:rPr>
                      <w:rFonts w:hint="eastAsia"/>
                      <w:sz w:val="20"/>
                      <w:szCs w:val="20"/>
                    </w:rPr>
                  </w:pPr>
                  <w:r>
                    <w:rPr>
                      <w:rFonts w:hint="eastAsia"/>
                      <w:sz w:val="20"/>
                      <w:szCs w:val="20"/>
                    </w:rPr>
                    <w:t>锅炉房</w:t>
                  </w:r>
                </w:p>
              </w:tc>
              <w:tc>
                <w:tcPr>
                  <w:tcW w:w="2234" w:type="dxa"/>
                  <w:noWrap w:val="0"/>
                  <w:vAlign w:val="center"/>
                </w:tcPr>
                <w:p>
                  <w:pPr>
                    <w:adjustRightInd w:val="0"/>
                    <w:snapToGrid w:val="0"/>
                    <w:jc w:val="center"/>
                    <w:rPr>
                      <w:rFonts w:hint="eastAsia"/>
                      <w:sz w:val="20"/>
                      <w:szCs w:val="20"/>
                    </w:rPr>
                  </w:pPr>
                  <w:r>
                    <w:rPr>
                      <w:rFonts w:hint="eastAsia"/>
                      <w:sz w:val="20"/>
                      <w:szCs w:val="20"/>
                    </w:rPr>
                    <w:t>导热油等</w:t>
                  </w:r>
                </w:p>
              </w:tc>
              <w:tc>
                <w:tcPr>
                  <w:tcW w:w="4227" w:type="dxa"/>
                  <w:noWrap w:val="0"/>
                  <w:vAlign w:val="center"/>
                </w:tcPr>
                <w:p>
                  <w:pPr>
                    <w:adjustRightInd w:val="0"/>
                    <w:snapToGrid w:val="0"/>
                    <w:jc w:val="center"/>
                    <w:rPr>
                      <w:rFonts w:hint="eastAsia"/>
                      <w:sz w:val="20"/>
                      <w:szCs w:val="20"/>
                    </w:rPr>
                  </w:pPr>
                  <w:r>
                    <w:rPr>
                      <w:rFonts w:hint="eastAsia"/>
                      <w:sz w:val="20"/>
                      <w:szCs w:val="20"/>
                    </w:rPr>
                    <w:t>泄漏以及火灾、爆炸等引起的伴生/次生污染物排放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pPr>
                    <w:adjustRightInd w:val="0"/>
                    <w:snapToGrid w:val="0"/>
                    <w:jc w:val="center"/>
                    <w:rPr>
                      <w:rFonts w:hint="eastAsia"/>
                      <w:sz w:val="20"/>
                      <w:szCs w:val="20"/>
                    </w:rPr>
                  </w:pPr>
                  <w:r>
                    <w:rPr>
                      <w:rFonts w:hint="eastAsia"/>
                      <w:sz w:val="20"/>
                      <w:szCs w:val="20"/>
                    </w:rPr>
                    <w:t>4</w:t>
                  </w:r>
                </w:p>
              </w:tc>
              <w:tc>
                <w:tcPr>
                  <w:tcW w:w="1438" w:type="dxa"/>
                  <w:noWrap w:val="0"/>
                  <w:vAlign w:val="center"/>
                </w:tcPr>
                <w:p>
                  <w:pPr>
                    <w:adjustRightInd w:val="0"/>
                    <w:snapToGrid w:val="0"/>
                    <w:jc w:val="center"/>
                    <w:rPr>
                      <w:rFonts w:hint="eastAsia"/>
                      <w:sz w:val="20"/>
                      <w:szCs w:val="20"/>
                    </w:rPr>
                  </w:pPr>
                  <w:r>
                    <w:rPr>
                      <w:rFonts w:hint="eastAsia"/>
                      <w:sz w:val="20"/>
                      <w:szCs w:val="20"/>
                    </w:rPr>
                    <w:t>废气处理设施</w:t>
                  </w:r>
                </w:p>
              </w:tc>
              <w:tc>
                <w:tcPr>
                  <w:tcW w:w="2234" w:type="dxa"/>
                  <w:noWrap w:val="0"/>
                  <w:vAlign w:val="center"/>
                </w:tcPr>
                <w:p>
                  <w:pPr>
                    <w:adjustRightInd w:val="0"/>
                    <w:snapToGrid w:val="0"/>
                    <w:jc w:val="center"/>
                    <w:rPr>
                      <w:rFonts w:hint="eastAsia"/>
                      <w:sz w:val="20"/>
                      <w:szCs w:val="20"/>
                    </w:rPr>
                  </w:pPr>
                  <w:r>
                    <w:rPr>
                      <w:rFonts w:hint="eastAsia"/>
                      <w:sz w:val="20"/>
                      <w:szCs w:val="20"/>
                    </w:rPr>
                    <w:t>非甲烷总烃、</w:t>
                  </w:r>
                  <w:r>
                    <w:rPr>
                      <w:rFonts w:hint="eastAsia"/>
                      <w:sz w:val="20"/>
                      <w:szCs w:val="20"/>
                      <w:lang w:val="en-US" w:eastAsia="zh-CN"/>
                    </w:rPr>
                    <w:t>颗粒物</w:t>
                  </w:r>
                  <w:r>
                    <w:rPr>
                      <w:rFonts w:hint="eastAsia"/>
                      <w:sz w:val="20"/>
                      <w:szCs w:val="20"/>
                    </w:rPr>
                    <w:t>等</w:t>
                  </w:r>
                </w:p>
              </w:tc>
              <w:tc>
                <w:tcPr>
                  <w:tcW w:w="4227" w:type="dxa"/>
                  <w:noWrap w:val="0"/>
                  <w:vAlign w:val="center"/>
                </w:tcPr>
                <w:p>
                  <w:pPr>
                    <w:adjustRightInd w:val="0"/>
                    <w:snapToGrid w:val="0"/>
                    <w:jc w:val="center"/>
                    <w:rPr>
                      <w:rFonts w:hint="eastAsia"/>
                      <w:sz w:val="20"/>
                      <w:szCs w:val="20"/>
                    </w:rPr>
                  </w:pPr>
                  <w:r>
                    <w:rPr>
                      <w:rFonts w:hint="eastAsia"/>
                      <w:sz w:val="20"/>
                      <w:szCs w:val="20"/>
                    </w:rPr>
                    <w:t>泄漏引起的伴生/次生污染物排放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8" w:type="dxa"/>
                  <w:noWrap w:val="0"/>
                  <w:vAlign w:val="center"/>
                </w:tcPr>
                <w:p>
                  <w:pPr>
                    <w:adjustRightInd w:val="0"/>
                    <w:snapToGrid w:val="0"/>
                    <w:jc w:val="center"/>
                    <w:rPr>
                      <w:rFonts w:hint="eastAsia"/>
                      <w:sz w:val="20"/>
                      <w:szCs w:val="20"/>
                    </w:rPr>
                  </w:pPr>
                  <w:r>
                    <w:rPr>
                      <w:rFonts w:hint="eastAsia"/>
                      <w:sz w:val="20"/>
                      <w:szCs w:val="20"/>
                    </w:rPr>
                    <w:t>5</w:t>
                  </w:r>
                </w:p>
              </w:tc>
              <w:tc>
                <w:tcPr>
                  <w:tcW w:w="1438" w:type="dxa"/>
                  <w:noWrap w:val="0"/>
                  <w:vAlign w:val="center"/>
                </w:tcPr>
                <w:p>
                  <w:pPr>
                    <w:adjustRightInd w:val="0"/>
                    <w:snapToGrid w:val="0"/>
                    <w:jc w:val="center"/>
                    <w:rPr>
                      <w:rFonts w:hint="eastAsia"/>
                      <w:sz w:val="20"/>
                      <w:szCs w:val="20"/>
                    </w:rPr>
                  </w:pPr>
                  <w:r>
                    <w:rPr>
                      <w:sz w:val="20"/>
                      <w:szCs w:val="20"/>
                    </w:rPr>
                    <w:t>危废仓库</w:t>
                  </w:r>
                </w:p>
              </w:tc>
              <w:tc>
                <w:tcPr>
                  <w:tcW w:w="2234" w:type="dxa"/>
                  <w:noWrap w:val="0"/>
                  <w:vAlign w:val="center"/>
                </w:tcPr>
                <w:p>
                  <w:pPr>
                    <w:adjustRightInd w:val="0"/>
                    <w:snapToGrid w:val="0"/>
                    <w:jc w:val="center"/>
                    <w:rPr>
                      <w:sz w:val="20"/>
                      <w:szCs w:val="20"/>
                    </w:rPr>
                  </w:pPr>
                  <w:r>
                    <w:rPr>
                      <w:sz w:val="20"/>
                      <w:szCs w:val="20"/>
                    </w:rPr>
                    <w:t>各类废油等</w:t>
                  </w:r>
                </w:p>
              </w:tc>
              <w:tc>
                <w:tcPr>
                  <w:tcW w:w="4227" w:type="dxa"/>
                  <w:noWrap w:val="0"/>
                  <w:vAlign w:val="center"/>
                </w:tcPr>
                <w:p>
                  <w:pPr>
                    <w:adjustRightInd w:val="0"/>
                    <w:snapToGrid w:val="0"/>
                    <w:jc w:val="center"/>
                    <w:rPr>
                      <w:sz w:val="20"/>
                      <w:szCs w:val="20"/>
                    </w:rPr>
                  </w:pPr>
                  <w:r>
                    <w:rPr>
                      <w:sz w:val="20"/>
                      <w:szCs w:val="20"/>
                    </w:rPr>
                    <w:t>泄漏以及火灾、爆炸等引起的伴生/次生污染物排放</w:t>
                  </w:r>
                </w:p>
              </w:tc>
            </w:tr>
            <w:bookmarkEnd w:id="29"/>
          </w:tbl>
          <w:p>
            <w:pPr>
              <w:spacing w:line="360" w:lineRule="auto"/>
              <w:ind w:firstLine="422" w:firstLineChars="200"/>
              <w:rPr>
                <w:b/>
                <w:bCs/>
              </w:rPr>
            </w:pPr>
            <w:r>
              <w:rPr>
                <w:rFonts w:hint="eastAsia"/>
                <w:b/>
                <w:bCs/>
              </w:rPr>
              <w:t>（4）风险事故</w:t>
            </w:r>
            <w:r>
              <w:rPr>
                <w:b/>
                <w:bCs/>
              </w:rPr>
              <w:t>分析</w:t>
            </w:r>
          </w:p>
          <w:p>
            <w:pPr>
              <w:spacing w:line="360" w:lineRule="auto"/>
              <w:ind w:firstLine="420" w:firstLineChars="200"/>
              <w:contextualSpacing/>
              <w:rPr>
                <w:rFonts w:hint="eastAsia"/>
              </w:rPr>
            </w:pPr>
            <w:r>
              <w:rPr>
                <w:rFonts w:hint="eastAsia"/>
              </w:rPr>
              <w:t>①大气环境风险分析</w:t>
            </w:r>
          </w:p>
          <w:p>
            <w:pPr>
              <w:spacing w:line="360" w:lineRule="auto"/>
              <w:ind w:firstLine="420" w:firstLineChars="200"/>
              <w:contextualSpacing/>
              <w:rPr>
                <w:rFonts w:hint="eastAsia"/>
              </w:rPr>
            </w:pPr>
            <w:r>
              <w:rPr>
                <w:rFonts w:hint="eastAsia"/>
              </w:rPr>
              <w:t>A、物料泄漏</w:t>
            </w:r>
          </w:p>
          <w:p>
            <w:pPr>
              <w:spacing w:line="360" w:lineRule="auto"/>
              <w:ind w:firstLine="420" w:firstLineChars="200"/>
              <w:contextualSpacing/>
              <w:rPr>
                <w:rFonts w:hint="eastAsia"/>
              </w:rPr>
            </w:pPr>
            <w:r>
              <w:rPr>
                <w:rFonts w:hint="eastAsia"/>
              </w:rPr>
              <w:t>项目在生产中应注意柔软剂等物质的存储，一旦发生泄漏，疏散泄漏污染区人员至安全区，禁止无关人员进入污染区，切断火源。建议应急处理人员戴正压自给式呼吸器，穿化学防护服。不要直接接触泄漏物，在确保安全情况下堵漏。少量泄漏使用黄砂吸附。如大量泄漏，利用围堤收容，然后收集、转移、回收或无害处理后废弃。若不慎发生火灾燃烧，应注意可能产生的次生危害产物如一氧化碳、黑色烟雾等，做好防护措施。</w:t>
            </w:r>
          </w:p>
          <w:p>
            <w:pPr>
              <w:spacing w:line="360" w:lineRule="auto"/>
              <w:ind w:firstLine="420" w:firstLineChars="200"/>
              <w:contextualSpacing/>
              <w:rPr>
                <w:rFonts w:hint="eastAsia"/>
              </w:rPr>
            </w:pPr>
            <w:r>
              <w:rPr>
                <w:rFonts w:hint="eastAsia"/>
              </w:rPr>
              <w:t>B、火灾、爆炸</w:t>
            </w:r>
          </w:p>
          <w:p>
            <w:pPr>
              <w:spacing w:line="360" w:lineRule="auto"/>
              <w:ind w:firstLine="420" w:firstLineChars="200"/>
              <w:contextualSpacing/>
              <w:rPr>
                <w:rFonts w:hint="eastAsia"/>
              </w:rPr>
            </w:pPr>
            <w:r>
              <w:rPr>
                <w:rFonts w:hint="eastAsia"/>
                <w:color w:val="FF0000"/>
              </w:rPr>
              <w:t>易燃物料的元素组成主要为C、H、O</w:t>
            </w:r>
            <w:r>
              <w:rPr>
                <w:rFonts w:hint="eastAsia"/>
                <w:color w:val="FF0000"/>
                <w:lang w:eastAsia="zh-CN"/>
              </w:rPr>
              <w:t>、</w:t>
            </w:r>
            <w:r>
              <w:rPr>
                <w:rFonts w:hint="eastAsia"/>
                <w:color w:val="FF0000"/>
                <w:lang w:val="en-US" w:eastAsia="zh-CN"/>
              </w:rPr>
              <w:t>N</w:t>
            </w:r>
            <w:r>
              <w:rPr>
                <w:rFonts w:hint="eastAsia"/>
                <w:color w:val="FF0000"/>
              </w:rPr>
              <w:t>等，因此火灾次生的污染物主要为挥发性有机物、CO</w:t>
            </w:r>
            <w:r>
              <w:rPr>
                <w:rFonts w:hint="eastAsia"/>
                <w:color w:val="FF0000"/>
                <w:lang w:eastAsia="zh-CN"/>
              </w:rPr>
              <w:t>、</w:t>
            </w:r>
            <w:r>
              <w:rPr>
                <w:rFonts w:hint="eastAsia"/>
                <w:color w:val="FF0000"/>
                <w:lang w:val="en-US" w:eastAsia="zh-CN"/>
              </w:rPr>
              <w:t>NO</w:t>
            </w:r>
            <w:r>
              <w:rPr>
                <w:rFonts w:hint="eastAsia"/>
                <w:color w:val="FF0000"/>
                <w:vertAlign w:val="subscript"/>
                <w:lang w:val="en-US" w:eastAsia="zh-CN"/>
              </w:rPr>
              <w:t>x</w:t>
            </w:r>
            <w:r>
              <w:rPr>
                <w:rFonts w:hint="eastAsia"/>
                <w:color w:val="FF0000"/>
              </w:rPr>
              <w:t>等</w:t>
            </w:r>
            <w:r>
              <w:rPr>
                <w:rFonts w:hint="eastAsia"/>
              </w:rPr>
              <w:t>，本项目主要的环境事故考虑火灾爆炸次生/伴生的CO</w:t>
            </w:r>
            <w:r>
              <w:rPr>
                <w:rFonts w:hint="eastAsia"/>
                <w:lang w:eastAsia="zh-CN"/>
              </w:rPr>
              <w:t>、</w:t>
            </w:r>
            <w:r>
              <w:rPr>
                <w:rFonts w:hint="eastAsia"/>
                <w:lang w:val="en-US" w:eastAsia="zh-CN"/>
              </w:rPr>
              <w:t>NO</w:t>
            </w:r>
            <w:r>
              <w:rPr>
                <w:rFonts w:hint="eastAsia"/>
                <w:vertAlign w:val="subscript"/>
                <w:lang w:val="en-US" w:eastAsia="zh-CN"/>
              </w:rPr>
              <w:t>x</w:t>
            </w:r>
            <w:r>
              <w:rPr>
                <w:rFonts w:hint="eastAsia"/>
              </w:rPr>
              <w:t>对环境的影响。一氧化碳是含碳物质不完全燃烧的产物，是一种无色、无臭、无刺激性的有毒气体，几乎不溶于水，在空气中不易与其他物质产生化学反应，发生火灾事故后物质燃烧造成CO局部污染严重，因此在事故中心地区会对人群健康有一定危害。事故发生后需及时启动突发环境事件应急预案，对下风向职工进行疏散，同时迅速进行消防、堵漏作业，将环境风险降至最低。</w:t>
            </w:r>
          </w:p>
          <w:p>
            <w:pPr>
              <w:spacing w:line="360" w:lineRule="auto"/>
              <w:ind w:firstLine="420" w:firstLineChars="200"/>
              <w:contextualSpacing/>
            </w:pPr>
            <w:r>
              <w:rPr>
                <w:rFonts w:hint="eastAsia" w:ascii="Times New Roman" w:hAnsi="Times New Roman" w:eastAsia="宋体" w:cs="Times New Roman"/>
                <w:color w:val="FF0000"/>
              </w:rPr>
              <w:t>由于定型机废气高温、高湿、高含尘、高含油的特性，静电净化设备存在着高压绝缘电柱易水气结露，从而造成短路。气体放电可能使废气中的有机物(油脂、纤维) 燃烧，会引燃沉积在极板或管道上的油垢和纤维尘，导致定型机发生火灾事故的隐患。因此维护保养频繁，使用单位稍有不当，极易导致事故的发生。</w:t>
            </w:r>
          </w:p>
          <w:p>
            <w:pPr>
              <w:spacing w:line="360" w:lineRule="auto"/>
              <w:ind w:firstLine="420" w:firstLineChars="200"/>
              <w:contextualSpacing/>
              <w:rPr>
                <w:rFonts w:hint="eastAsia"/>
              </w:rPr>
            </w:pPr>
            <w:r>
              <w:rPr>
                <w:rFonts w:hint="eastAsia"/>
              </w:rPr>
              <w:t>②地下水及土壤环境风险分析</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本项目主要污染来源为喷淋废水、水幕除尘废水及各类危险废物，主要污染途径为原料或危险废物的泄漏导致污染物通过渗透作用进入土壤及地下水。企业应采取以下控制措施：</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A.</w:t>
            </w:r>
            <w:r>
              <w:rPr>
                <w:rFonts w:hint="default" w:ascii="Times New Roman" w:hAnsi="Times New Roman" w:eastAsia="宋体" w:cs="Times New Roman"/>
                <w:color w:val="FF0000"/>
                <w:kern w:val="0"/>
                <w:szCs w:val="21"/>
                <w:lang w:val="en-US" w:eastAsia="zh-CN"/>
              </w:rPr>
              <w:t>加强对安全生产的控制，及时检修废气处理装置运行情况，减少废气事故性排放。</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eastAsia"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B.</w:t>
            </w:r>
            <w:r>
              <w:rPr>
                <w:rFonts w:hint="default" w:ascii="Times New Roman" w:hAnsi="Times New Roman" w:eastAsia="宋体" w:cs="Times New Roman"/>
                <w:color w:val="FF0000"/>
                <w:kern w:val="0"/>
                <w:szCs w:val="21"/>
                <w:lang w:val="en-US" w:eastAsia="zh-CN"/>
              </w:rPr>
              <w:t>此外，一旦发生土壤污染事故，立即启动企业环境风险应急预案，采取应急措施控制土壤污染，并使污染得到治理。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C.</w:t>
            </w:r>
            <w:r>
              <w:rPr>
                <w:rFonts w:hint="default" w:ascii="Times New Roman" w:hAnsi="Times New Roman" w:eastAsia="宋体" w:cs="Times New Roman"/>
                <w:color w:val="FF0000"/>
                <w:kern w:val="0"/>
                <w:szCs w:val="21"/>
                <w:lang w:val="en-US" w:eastAsia="zh-CN"/>
              </w:rPr>
              <w:t>采取措施从源头上控制对地下水的污染。实施清洁生产和循环经济，减少污染物的排放量。从设计、管理各种工艺设备和物料运输管线上，防止和减少污染物的跑冒滴漏；合理布局，减少污染物泄漏途径。</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D.</w:t>
            </w:r>
            <w:r>
              <w:rPr>
                <w:rFonts w:hint="default" w:ascii="Times New Roman" w:hAnsi="Times New Roman" w:eastAsia="宋体" w:cs="Times New Roman"/>
                <w:color w:val="FF0000"/>
                <w:kern w:val="0"/>
                <w:szCs w:val="21"/>
                <w:lang w:val="en-US" w:eastAsia="zh-CN"/>
              </w:rPr>
              <w:t>在厂区内建立雨、污收集管网，实行雨污分流制。本项目所有污水管路等均采取防渗</w:t>
            </w:r>
            <w:r>
              <w:rPr>
                <w:rFonts w:hint="eastAsia" w:ascii="Times New Roman" w:hAnsi="Times New Roman" w:eastAsia="宋体" w:cs="Times New Roman"/>
                <w:color w:val="FF0000"/>
                <w:kern w:val="0"/>
                <w:szCs w:val="21"/>
                <w:lang w:val="en-US" w:eastAsia="zh-CN"/>
              </w:rPr>
              <w:t xml:space="preserve"> </w:t>
            </w:r>
            <w:r>
              <w:rPr>
                <w:rFonts w:hint="default" w:ascii="Times New Roman" w:hAnsi="Times New Roman" w:eastAsia="宋体" w:cs="Times New Roman"/>
                <w:color w:val="FF0000"/>
                <w:kern w:val="0"/>
                <w:szCs w:val="21"/>
                <w:lang w:val="en-US" w:eastAsia="zh-CN"/>
              </w:rPr>
              <w:t>措施，防范废水下渗。另外，应严格废水的管理，强调节约用水，防止污水“跑、冒、滴、漏”，确保设备正常运行。定期检查污水管线、泵阀等关键部位，避免跑冒滴漏，做到污染物泄漏“早发现、早处理”。</w:t>
            </w:r>
          </w:p>
          <w:p>
            <w:pPr>
              <w:keepNext w:val="0"/>
              <w:keepLines w:val="0"/>
              <w:pageBreakBefore w:val="0"/>
              <w:widowControl w:val="0"/>
              <w:kinsoku/>
              <w:wordWrap/>
              <w:overflowPunct/>
              <w:topLinePunct w:val="0"/>
              <w:autoSpaceDE w:val="0"/>
              <w:autoSpaceDN w:val="0"/>
              <w:bidi w:val="0"/>
              <w:adjustRightInd w:val="0"/>
              <w:snapToGrid w:val="0"/>
              <w:spacing w:line="360" w:lineRule="auto"/>
              <w:ind w:firstLine="420" w:firstLineChars="200"/>
              <w:textAlignment w:val="auto"/>
              <w:rPr>
                <w:rFonts w:hint="default" w:ascii="Times New Roman" w:hAnsi="Times New Roman" w:eastAsia="宋体" w:cs="Times New Roman"/>
                <w:color w:val="FF0000"/>
                <w:kern w:val="0"/>
                <w:szCs w:val="21"/>
                <w:lang w:val="en-US" w:eastAsia="zh-CN"/>
              </w:rPr>
            </w:pPr>
            <w:r>
              <w:rPr>
                <w:rFonts w:hint="eastAsia" w:ascii="Times New Roman" w:hAnsi="Times New Roman" w:eastAsia="宋体" w:cs="Times New Roman"/>
                <w:color w:val="FF0000"/>
                <w:kern w:val="0"/>
                <w:szCs w:val="21"/>
                <w:lang w:val="en-US" w:eastAsia="zh-CN"/>
              </w:rPr>
              <w:t>通过采取以上措施，</w:t>
            </w:r>
            <w:r>
              <w:rPr>
                <w:rFonts w:hint="default" w:ascii="Times New Roman" w:hAnsi="Times New Roman" w:eastAsia="宋体" w:cs="Times New Roman"/>
                <w:color w:val="FF0000"/>
                <w:kern w:val="0"/>
                <w:szCs w:val="21"/>
                <w:lang w:val="en-US" w:eastAsia="zh-CN"/>
              </w:rPr>
              <w:t>本项目对所在场地的地下水和土壤环境影响极小。</w:t>
            </w:r>
          </w:p>
          <w:p>
            <w:pPr>
              <w:spacing w:line="360" w:lineRule="auto"/>
              <w:ind w:firstLine="420"/>
              <w:contextualSpacing/>
              <w:rPr>
                <w:rFonts w:hint="eastAsia"/>
              </w:rPr>
            </w:pPr>
            <w:r>
              <w:rPr>
                <w:rFonts w:hint="eastAsia"/>
              </w:rPr>
              <w:t>③地表水环境风险分析</w:t>
            </w:r>
          </w:p>
          <w:p>
            <w:pPr>
              <w:spacing w:line="360" w:lineRule="auto"/>
              <w:ind w:firstLine="420" w:firstLineChars="200"/>
              <w:contextualSpacing/>
            </w:pPr>
            <w:r>
              <w:rPr>
                <w:rFonts w:hint="eastAsia"/>
              </w:rPr>
              <w:t>项目涉及润滑油、导热油等易燃物质，突发环境事件的类型主要是火灾爆炸和泄漏次生的环境污染物事故，物料发生大量泄漏时，极有可能引发火灾爆炸事故。为防止火灾爆炸和环境空气污染事故，一般采用消防水对泄漏区进行喷淋冷却，采用此法将直接导致泄漏的物料转移至消防水，若消防水从清下水排口外排，会对周围水环境造成污染。为避免事故状况下泄漏的有毒物质及火灾爆炸期间消防污水污染水环境，企业必须制定严格的排水规划，设置消防污水收集池、管网、切换阀和监控池等，使消防水排水处于监控状态，严禁事故废水排出厂外，次生危害造成水体污染。拟建项目建设一座事故池，发生事故时能够全部收集事故池内。在事故工况下，消防废水通过事故废水收集管线进入事故池，事故池能够满足事故废水收集要求。</w:t>
            </w:r>
          </w:p>
          <w:p>
            <w:pPr>
              <w:spacing w:line="360" w:lineRule="auto"/>
              <w:ind w:firstLine="420" w:firstLineChars="200"/>
              <w:contextualSpacing/>
            </w:pPr>
            <w:r>
              <w:rPr>
                <w:rFonts w:hint="eastAsia"/>
              </w:rPr>
              <w:t>企业应根据要求设置紧急切断阀，一旦发生泄漏立即切断运输管线，防止更多的物质进入水体。并立即启动应急预案，设置围栏、抛洒活性炭等对泄漏物质进行截流、疏导和收集。采取相应措施，尽量将影响降至最低。</w:t>
            </w:r>
          </w:p>
          <w:p>
            <w:pPr>
              <w:spacing w:line="360" w:lineRule="auto"/>
              <w:ind w:firstLine="422" w:firstLineChars="200"/>
              <w:contextualSpacing/>
              <w:rPr>
                <w:rFonts w:hint="eastAsia"/>
                <w:b/>
                <w:bCs/>
              </w:rPr>
            </w:pPr>
            <w:r>
              <w:rPr>
                <w:rFonts w:hint="eastAsia"/>
                <w:b/>
                <w:bCs/>
              </w:rPr>
              <w:t>（5）环境风险防范措施</w:t>
            </w:r>
          </w:p>
          <w:p>
            <w:pPr>
              <w:spacing w:line="360" w:lineRule="auto"/>
              <w:ind w:firstLine="420" w:firstLineChars="200"/>
              <w:contextualSpacing/>
              <w:rPr>
                <w:rFonts w:hint="eastAsia"/>
              </w:rPr>
            </w:pPr>
            <w:r>
              <w:rPr>
                <w:rFonts w:hint="eastAsia"/>
              </w:rPr>
              <w:t>①机构设置</w:t>
            </w:r>
          </w:p>
          <w:p>
            <w:pPr>
              <w:spacing w:line="360" w:lineRule="auto"/>
              <w:ind w:firstLine="420" w:firstLineChars="200"/>
              <w:contextualSpacing/>
            </w:pPr>
            <w:r>
              <w:rPr>
                <w:rFonts w:hint="eastAsia"/>
              </w:rPr>
              <w:t>项目在建成后，为能有效预防突发事件发生，并能做到在事件发生后能迅速有效地实现控制和处理，最大程度地减少事件所带来的损失，企业按照“预防为主、自救为主、统一指挥、分工负责”的原则成立应急救援小组，公司级突发环境事件应急救援组织体系包括指挥组和专业救援组。指挥组负责现场全面指挥；专业救援组负责事故控制、救援和善后处理。专业救援组又编为综合协调组、应急处置组、应急保障组、环境应急监测组、医疗救护组五个行动小组。</w:t>
            </w:r>
          </w:p>
          <w:p>
            <w:pPr>
              <w:tabs>
                <w:tab w:val="left" w:pos="1228"/>
              </w:tabs>
              <w:adjustRightInd w:val="0"/>
              <w:snapToGrid w:val="0"/>
              <w:spacing w:line="360" w:lineRule="auto"/>
              <w:ind w:firstLine="420" w:firstLineChars="200"/>
              <w:rPr>
                <w:rFonts w:hint="eastAsia"/>
              </w:rPr>
            </w:pPr>
            <w:r>
              <w:rPr>
                <w:rFonts w:hint="eastAsia"/>
              </w:rPr>
              <w:t>②贮运工程风险防范措施</w:t>
            </w:r>
          </w:p>
          <w:p>
            <w:pPr>
              <w:tabs>
                <w:tab w:val="left" w:pos="1228"/>
              </w:tabs>
              <w:adjustRightInd w:val="0"/>
              <w:snapToGrid w:val="0"/>
              <w:spacing w:line="360" w:lineRule="auto"/>
              <w:ind w:firstLine="420" w:firstLineChars="200"/>
              <w:rPr>
                <w:rFonts w:hint="eastAsia"/>
              </w:rPr>
            </w:pPr>
            <w:r>
              <w:rPr>
                <w:rFonts w:hint="eastAsia"/>
              </w:rPr>
              <w:t>a.柔软剂、润滑油等应储存于阴凉通风仓间内，远离火种、热源，防止阳光直射，应与易燃或可燃物分开存放。搬运时轻装轻卸，防止原料桶破损或倾倒。</w:t>
            </w:r>
          </w:p>
          <w:p>
            <w:pPr>
              <w:tabs>
                <w:tab w:val="left" w:pos="1228"/>
              </w:tabs>
              <w:adjustRightInd w:val="0"/>
              <w:snapToGrid w:val="0"/>
              <w:spacing w:line="360" w:lineRule="auto"/>
              <w:ind w:firstLine="420" w:firstLineChars="200"/>
              <w:rPr>
                <w:rFonts w:hint="eastAsia"/>
              </w:rPr>
            </w:pPr>
            <w:r>
              <w:rPr>
                <w:rFonts w:hint="eastAsia"/>
              </w:rPr>
              <w:t>b.划定禁火区，在明显地点设有警示标志，输配电线、灯具、火灾事故照明和疏散指示标志均应符合安全要求；严禁未安装灭火装置的车辆出入生产装置区。</w:t>
            </w:r>
          </w:p>
          <w:p>
            <w:pPr>
              <w:tabs>
                <w:tab w:val="left" w:pos="1228"/>
              </w:tabs>
              <w:adjustRightInd w:val="0"/>
              <w:snapToGrid w:val="0"/>
              <w:spacing w:line="360" w:lineRule="auto"/>
              <w:ind w:firstLine="420" w:firstLineChars="200"/>
              <w:rPr>
                <w:rFonts w:hint="eastAsia"/>
              </w:rPr>
            </w:pPr>
            <w:r>
              <w:rPr>
                <w:rFonts w:hint="eastAsia"/>
              </w:rPr>
              <w:t>c.在危险固废仓库设环形沟，并进行了地面防渗；发生大量泄漏：引流入环形沟收容；用泡沫覆盖，抑制蒸发；小量泄漏时应用活性炭或其它惰性材料吸收。</w:t>
            </w:r>
          </w:p>
          <w:p>
            <w:pPr>
              <w:tabs>
                <w:tab w:val="left" w:pos="1228"/>
              </w:tabs>
              <w:adjustRightInd w:val="0"/>
              <w:snapToGrid w:val="0"/>
              <w:spacing w:line="360" w:lineRule="auto"/>
              <w:ind w:firstLine="420" w:firstLineChars="200"/>
              <w:rPr>
                <w:rFonts w:hint="eastAsia"/>
              </w:rPr>
            </w:pPr>
            <w:r>
              <w:rPr>
                <w:rFonts w:hint="eastAsia"/>
              </w:rPr>
              <w:t>d.合理规划运输路线及时间，加强危险化学物品运输车辆的管理，严格遵守危险品运输管理规定，避免运输过程事故的发生。</w:t>
            </w:r>
          </w:p>
          <w:p>
            <w:pPr>
              <w:tabs>
                <w:tab w:val="left" w:pos="1228"/>
              </w:tabs>
              <w:adjustRightInd w:val="0"/>
              <w:snapToGrid w:val="0"/>
              <w:spacing w:line="360" w:lineRule="auto"/>
              <w:ind w:firstLine="420" w:firstLineChars="200"/>
              <w:rPr>
                <w:rFonts w:hint="eastAsia"/>
              </w:rPr>
            </w:pPr>
            <w:r>
              <w:rPr>
                <w:rFonts w:hint="eastAsia" w:ascii="宋体" w:hAnsi="宋体" w:cs="宋体"/>
              </w:rPr>
              <w:t>③</w:t>
            </w:r>
            <w:r>
              <w:rPr>
                <w:rFonts w:hint="eastAsia"/>
              </w:rPr>
              <w:t>废气事故排放防范措施</w:t>
            </w:r>
          </w:p>
          <w:p>
            <w:pPr>
              <w:tabs>
                <w:tab w:val="left" w:pos="1228"/>
              </w:tabs>
              <w:adjustRightInd w:val="0"/>
              <w:snapToGrid w:val="0"/>
              <w:spacing w:line="360" w:lineRule="auto"/>
              <w:ind w:firstLine="420" w:firstLineChars="200"/>
              <w:rPr>
                <w:rFonts w:hint="eastAsia"/>
              </w:rPr>
            </w:pPr>
            <w:r>
              <w:rPr>
                <w:rFonts w:hint="eastAsia"/>
              </w:rPr>
              <w:t>发生事故的原因主要有以下几个：</w:t>
            </w:r>
          </w:p>
          <w:p>
            <w:pPr>
              <w:tabs>
                <w:tab w:val="left" w:pos="1228"/>
              </w:tabs>
              <w:adjustRightInd w:val="0"/>
              <w:snapToGrid w:val="0"/>
              <w:spacing w:line="360" w:lineRule="auto"/>
              <w:ind w:firstLine="420" w:firstLineChars="200"/>
              <w:rPr>
                <w:rFonts w:hint="eastAsia"/>
              </w:rPr>
            </w:pPr>
            <w:r>
              <w:rPr>
                <w:rFonts w:hint="eastAsia"/>
              </w:rPr>
              <w:t>a.废气处理系统出现故障、设备开车、停车检修时废气直接排入大气环境中；</w:t>
            </w:r>
          </w:p>
          <w:p>
            <w:pPr>
              <w:tabs>
                <w:tab w:val="left" w:pos="1228"/>
              </w:tabs>
              <w:adjustRightInd w:val="0"/>
              <w:snapToGrid w:val="0"/>
              <w:spacing w:line="360" w:lineRule="auto"/>
              <w:ind w:firstLine="420" w:firstLineChars="200"/>
              <w:rPr>
                <w:rFonts w:hint="eastAsia"/>
              </w:rPr>
            </w:pPr>
            <w:r>
              <w:rPr>
                <w:rFonts w:hint="eastAsia"/>
              </w:rPr>
              <w:t>b.生产过程中由于设备老化、腐蚀、失误操作等原因造成车间废气浓度超标；</w:t>
            </w:r>
          </w:p>
          <w:p>
            <w:pPr>
              <w:tabs>
                <w:tab w:val="left" w:pos="1228"/>
              </w:tabs>
              <w:adjustRightInd w:val="0"/>
              <w:snapToGrid w:val="0"/>
              <w:spacing w:line="360" w:lineRule="auto"/>
              <w:ind w:firstLine="420" w:firstLineChars="200"/>
              <w:rPr>
                <w:rFonts w:hint="eastAsia"/>
              </w:rPr>
            </w:pPr>
            <w:r>
              <w:rPr>
                <w:rFonts w:hint="eastAsia"/>
              </w:rPr>
              <w:t>c.厂内突然停电、废气处理系统停止工作，致使废气不能得到及时处理；</w:t>
            </w:r>
          </w:p>
          <w:p>
            <w:pPr>
              <w:tabs>
                <w:tab w:val="left" w:pos="1228"/>
              </w:tabs>
              <w:adjustRightInd w:val="0"/>
              <w:snapToGrid w:val="0"/>
              <w:spacing w:line="360" w:lineRule="auto"/>
              <w:ind w:firstLine="420" w:firstLineChars="200"/>
              <w:rPr>
                <w:rFonts w:hint="eastAsia"/>
              </w:rPr>
            </w:pPr>
            <w:r>
              <w:rPr>
                <w:rFonts w:hint="eastAsia"/>
              </w:rPr>
              <w:t>d.对废气治理措施疏于管理，使治理措施处理效率降低造成废气浓度超标；</w:t>
            </w:r>
          </w:p>
          <w:p>
            <w:pPr>
              <w:tabs>
                <w:tab w:val="left" w:pos="1228"/>
              </w:tabs>
              <w:adjustRightInd w:val="0"/>
              <w:snapToGrid w:val="0"/>
              <w:spacing w:line="360" w:lineRule="auto"/>
              <w:ind w:firstLine="420" w:firstLineChars="200"/>
              <w:rPr>
                <w:rFonts w:hint="eastAsia"/>
              </w:rPr>
            </w:pPr>
            <w:r>
              <w:rPr>
                <w:rFonts w:hint="eastAsia"/>
              </w:rPr>
              <w:t>为杜绝事故性废气排放，建议采用以下措施确保废气达标排放：</w:t>
            </w:r>
          </w:p>
          <w:p>
            <w:pPr>
              <w:tabs>
                <w:tab w:val="left" w:pos="1228"/>
              </w:tabs>
              <w:adjustRightInd w:val="0"/>
              <w:snapToGrid w:val="0"/>
              <w:spacing w:line="360" w:lineRule="auto"/>
              <w:ind w:firstLine="420" w:firstLineChars="200"/>
              <w:rPr>
                <w:rFonts w:hint="eastAsia"/>
              </w:rPr>
            </w:pPr>
            <w:r>
              <w:rPr>
                <w:rFonts w:hint="eastAsia"/>
              </w:rPr>
              <w:t>a.平时加强废气处理设施的维护保养，及时发现处理设备的隐患，并及时进行维修，确保废气处理系统正常运行；</w:t>
            </w:r>
          </w:p>
          <w:p>
            <w:pPr>
              <w:tabs>
                <w:tab w:val="left" w:pos="1228"/>
              </w:tabs>
              <w:adjustRightInd w:val="0"/>
              <w:snapToGrid w:val="0"/>
              <w:spacing w:line="360" w:lineRule="auto"/>
              <w:ind w:firstLine="420" w:firstLineChars="200"/>
              <w:rPr>
                <w:rFonts w:hint="eastAsia"/>
              </w:rPr>
            </w:pPr>
            <w:r>
              <w:rPr>
                <w:rFonts w:hint="eastAsia"/>
              </w:rPr>
              <w:t>b.建立健全的环保机构，配置必要的监测仪器，对管理人员和技术人员进行岗位培训，对废气处理实行全过程跟踪控制；</w:t>
            </w:r>
          </w:p>
          <w:p>
            <w:pPr>
              <w:tabs>
                <w:tab w:val="left" w:pos="1228"/>
              </w:tabs>
              <w:adjustRightInd w:val="0"/>
              <w:snapToGrid w:val="0"/>
              <w:spacing w:line="360" w:lineRule="auto"/>
              <w:ind w:firstLine="420" w:firstLineChars="200"/>
              <w:rPr>
                <w:rFonts w:hint="eastAsia"/>
              </w:rPr>
            </w:pPr>
            <w:r>
              <w:rPr>
                <w:rFonts w:hint="eastAsia"/>
              </w:rPr>
              <w:t>c.项目应设有备用电源和备用处理设备，以备停电或设备出现故障时保障废气全部进入处理系统进行处理以达标排放；</w:t>
            </w:r>
          </w:p>
          <w:p>
            <w:pPr>
              <w:tabs>
                <w:tab w:val="left" w:pos="1228"/>
              </w:tabs>
              <w:adjustRightInd w:val="0"/>
              <w:snapToGrid w:val="0"/>
              <w:spacing w:line="360" w:lineRule="auto"/>
              <w:ind w:firstLine="420" w:firstLineChars="200"/>
              <w:rPr>
                <w:rFonts w:hint="eastAsia"/>
              </w:rPr>
            </w:pPr>
            <w:r>
              <w:rPr>
                <w:rFonts w:hint="eastAsia" w:ascii="宋体" w:hAnsi="宋体" w:cs="宋体"/>
              </w:rPr>
              <w:t>④</w:t>
            </w:r>
            <w:r>
              <w:rPr>
                <w:rFonts w:hint="eastAsia"/>
              </w:rPr>
              <w:t>防渗措施</w:t>
            </w:r>
          </w:p>
          <w:p>
            <w:pPr>
              <w:tabs>
                <w:tab w:val="left" w:pos="1228"/>
              </w:tabs>
              <w:adjustRightInd w:val="0"/>
              <w:snapToGrid w:val="0"/>
              <w:spacing w:line="360" w:lineRule="auto"/>
              <w:ind w:firstLine="420" w:firstLineChars="200"/>
              <w:rPr>
                <w:rFonts w:hint="eastAsia"/>
              </w:rPr>
            </w:pPr>
            <w:r>
              <w:rPr>
                <w:rFonts w:hint="eastAsia"/>
              </w:rPr>
              <w:t>针对企业生产过程中废水及固体废物产生、输送和处理过程，采取合理有效的工程措施可防止污染物对土壤、地下水的污染。本项目可能对地下水造成污染途径的主要有</w:t>
            </w:r>
            <w:r>
              <w:rPr>
                <w:rFonts w:hint="eastAsia"/>
                <w:lang w:val="en-US" w:eastAsia="zh-CN"/>
              </w:rPr>
              <w:t>生产车间、锅炉房</w:t>
            </w:r>
            <w:r>
              <w:rPr>
                <w:rFonts w:hint="eastAsia"/>
              </w:rPr>
              <w:t>、污水处理站等污水下渗对地下水造成的污染。</w:t>
            </w:r>
          </w:p>
          <w:p>
            <w:pPr>
              <w:tabs>
                <w:tab w:val="left" w:pos="1228"/>
              </w:tabs>
              <w:adjustRightInd w:val="0"/>
              <w:snapToGrid w:val="0"/>
              <w:spacing w:line="360" w:lineRule="auto"/>
              <w:ind w:firstLine="420" w:firstLineChars="200"/>
              <w:rPr>
                <w:rFonts w:hint="eastAsia"/>
              </w:rPr>
            </w:pPr>
            <w:r>
              <w:rPr>
                <w:rFonts w:hint="eastAsia"/>
              </w:rPr>
              <w:t>源头控制：新建项目输水、排水管道等必须采取防渗措施，杜绝各类废水下渗的通道。另外，应严格废水的管理，强调节约用水，防止污水“跑、冒、滴、漏”，确保污水处理系统的正常运行。污水的转移运输管线敷设尽量采用“可视化”原则，即管道尽可能地上敷设，做到污染物“早发现、早处理”，以减少由于埋地管道泄漏而可能造成地下水污染。并且接口处要定期检查以免漏水。</w:t>
            </w:r>
          </w:p>
          <w:p>
            <w:pPr>
              <w:tabs>
                <w:tab w:val="left" w:pos="1228"/>
              </w:tabs>
              <w:adjustRightInd w:val="0"/>
              <w:snapToGrid w:val="0"/>
              <w:spacing w:line="360" w:lineRule="auto"/>
              <w:ind w:firstLine="420" w:firstLineChars="200"/>
              <w:rPr>
                <w:rFonts w:hint="eastAsia"/>
              </w:rPr>
            </w:pPr>
            <w:r>
              <w:rPr>
                <w:rFonts w:hint="eastAsia"/>
              </w:rPr>
              <w:t>末端控制：分区防控。主要包括厂内污染区地面的防渗措施和泄漏、渗漏污染物收集措施，即在污染区地面进行防渗处理，防止洒落地面的污染物渗入地下，并把滞留在地面的污染物收集起来集中处理，从而避免对地下水的污染。结合项目各生产设备、贮存等因素，根据项目场地天然包气带防污性能、污染控制难易程度和污染物特性对全厂进行分区防控。</w:t>
            </w:r>
          </w:p>
          <w:p>
            <w:pPr>
              <w:tabs>
                <w:tab w:val="left" w:pos="1228"/>
              </w:tabs>
              <w:adjustRightInd w:val="0"/>
              <w:snapToGrid w:val="0"/>
              <w:spacing w:line="360" w:lineRule="auto"/>
              <w:ind w:firstLine="420" w:firstLineChars="200"/>
            </w:pPr>
            <w:r>
              <w:rPr>
                <w:rFonts w:hint="eastAsia" w:ascii="宋体" w:hAnsi="宋体" w:cs="宋体"/>
              </w:rPr>
              <w:t>⑤</w:t>
            </w:r>
            <w:r>
              <w:rPr>
                <w:rFonts w:hint="eastAsia"/>
              </w:rPr>
              <w:t>火灾爆炸</w:t>
            </w:r>
            <w:r>
              <w:t>应急措施</w:t>
            </w:r>
          </w:p>
          <w:p>
            <w:pPr>
              <w:adjustRightInd w:val="0"/>
              <w:snapToGrid w:val="0"/>
              <w:spacing w:line="360" w:lineRule="auto"/>
              <w:ind w:firstLine="420" w:firstLineChars="200"/>
            </w:pPr>
            <w:r>
              <w:t>生产过程中发生火灾爆炸事故后，会释放的大量烟尘，对周围局部大气环境造成污染。因此发生事故后应立即隔离污染区，切断火源，同时综合协调组应立即用广播、电话等方式及时通知疏散厂内人员；当发生重大事故时，应急指挥组应立即用电话等方式及时通知上级政府部门，由政府部门对事故下风向、可能受影响的单位、社区（主要是附近企业的职工、居民）通报事故及影响，说明疏散的有关事项及方向，减少污染危害。同时对于车间等厂房可通过加强车间通风等方式，尽快稀释车间中的污染物浓度，降低污染危害。</w:t>
            </w:r>
          </w:p>
          <w:p>
            <w:pPr>
              <w:tabs>
                <w:tab w:val="left" w:pos="1228"/>
              </w:tabs>
              <w:adjustRightInd w:val="0"/>
              <w:snapToGrid w:val="0"/>
              <w:spacing w:line="360" w:lineRule="auto"/>
              <w:ind w:firstLine="420" w:firstLineChars="200"/>
              <w:rPr>
                <w:rFonts w:hint="eastAsia" w:ascii="宋体" w:hAnsi="宋体" w:cs="宋体"/>
              </w:rPr>
            </w:pPr>
            <w:r>
              <w:rPr>
                <w:rFonts w:hint="eastAsia" w:ascii="宋体" w:hAnsi="宋体" w:cs="宋体"/>
                <w:lang w:val="en-US" w:eastAsia="zh-CN"/>
              </w:rPr>
              <w:t>静电除油装置</w:t>
            </w:r>
            <w:r>
              <w:rPr>
                <w:rFonts w:hint="default" w:ascii="宋体" w:hAnsi="宋体" w:cs="宋体"/>
              </w:rPr>
              <w:t>维护或检修前必须‌彻底断开主电源‌，挂“禁止合闸”警示牌，并使用专用放电棒对电场（阳极、阴极）进行可靠放电，静置15</w:t>
            </w:r>
            <w:r>
              <w:rPr>
                <w:rFonts w:hint="eastAsia" w:ascii="宋体" w:hAnsi="宋体" w:cs="宋体"/>
                <w:lang w:val="en-US" w:eastAsia="zh-CN"/>
              </w:rPr>
              <w:t>~</w:t>
            </w:r>
            <w:r>
              <w:rPr>
                <w:rFonts w:hint="default" w:ascii="宋体" w:hAnsi="宋体" w:cs="宋体"/>
              </w:rPr>
              <w:t>30分钟以上‌‌。设备金属外壳、高压控制柜、变压器、电场极板等均应‌良好接地‌，接地电阻应≤4Ω‌‌。‌定期清洗电场‌：</w:t>
            </w:r>
            <w:r>
              <w:rPr>
                <w:rFonts w:hint="eastAsia" w:ascii="宋体" w:hAnsi="宋体" w:cs="宋体"/>
                <w:lang w:val="en-US" w:eastAsia="zh-CN"/>
              </w:rPr>
              <w:t>减少</w:t>
            </w:r>
            <w:r>
              <w:rPr>
                <w:rFonts w:hint="default" w:ascii="宋体" w:hAnsi="宋体" w:cs="宋体"/>
              </w:rPr>
              <w:t>油垢堆积</w:t>
            </w:r>
            <w:r>
              <w:rPr>
                <w:rFonts w:hint="eastAsia" w:ascii="宋体" w:hAnsi="宋体" w:cs="宋体"/>
                <w:lang w:val="en-US" w:eastAsia="zh-CN"/>
              </w:rPr>
              <w:t>导致</w:t>
            </w:r>
            <w:r>
              <w:rPr>
                <w:rFonts w:hint="default" w:ascii="宋体" w:hAnsi="宋体" w:cs="宋体"/>
              </w:rPr>
              <w:t>电场效率</w:t>
            </w:r>
            <w:r>
              <w:rPr>
                <w:rFonts w:hint="eastAsia" w:ascii="宋体" w:hAnsi="宋体" w:cs="宋体"/>
                <w:lang w:val="en-US" w:eastAsia="zh-CN"/>
              </w:rPr>
              <w:t>的降低</w:t>
            </w:r>
            <w:r>
              <w:rPr>
                <w:rFonts w:hint="default" w:ascii="宋体" w:hAnsi="宋体" w:cs="宋体"/>
              </w:rPr>
              <w:t>并引发火灾</w:t>
            </w:r>
            <w:r>
              <w:rPr>
                <w:rFonts w:hint="eastAsia" w:ascii="宋体" w:hAnsi="宋体" w:cs="宋体"/>
                <w:lang w:val="en-US" w:eastAsia="zh-CN"/>
              </w:rPr>
              <w:t>的可能</w:t>
            </w:r>
            <w:r>
              <w:rPr>
                <w:rFonts w:hint="eastAsia" w:ascii="宋体" w:hAnsi="宋体" w:cs="宋体"/>
                <w:lang w:eastAsia="zh-CN"/>
              </w:rPr>
              <w:t>，</w:t>
            </w:r>
            <w:r>
              <w:rPr>
                <w:rFonts w:hint="eastAsia" w:ascii="宋体" w:hAnsi="宋体" w:cs="宋体"/>
                <w:lang w:val="en-US" w:eastAsia="zh-CN"/>
              </w:rPr>
              <w:t>在</w:t>
            </w:r>
            <w:r>
              <w:rPr>
                <w:rFonts w:hint="default" w:ascii="宋体" w:hAnsi="宋体" w:cs="宋体"/>
              </w:rPr>
              <w:t>高压设备周围应设置‌物理围栏或隔离区‌，防止无关人员进入‌‌</w:t>
            </w:r>
            <w:r>
              <w:rPr>
                <w:rFonts w:hint="eastAsia" w:ascii="宋体" w:hAnsi="宋体" w:cs="宋体"/>
                <w:lang w:eastAsia="zh-CN"/>
              </w:rPr>
              <w:t>。</w:t>
            </w:r>
          </w:p>
          <w:p>
            <w:pPr>
              <w:tabs>
                <w:tab w:val="left" w:pos="1228"/>
              </w:tabs>
              <w:adjustRightInd w:val="0"/>
              <w:snapToGrid w:val="0"/>
              <w:spacing w:line="360" w:lineRule="auto"/>
              <w:ind w:firstLine="420" w:firstLineChars="200"/>
              <w:rPr>
                <w:rFonts w:hint="eastAsia" w:ascii="宋体" w:hAnsi="宋体" w:cs="宋体"/>
              </w:rPr>
            </w:pPr>
            <w:r>
              <w:rPr>
                <w:rFonts w:hint="eastAsia" w:ascii="宋体" w:hAnsi="宋体" w:cs="宋体"/>
              </w:rPr>
              <w:t>为防止被污染的消防水等通过厂区雨水管道等途径进入周围地表水体，对周围地表水的生态环境造成突发性的污染事故，拟采取以下措施予以防范：</w:t>
            </w:r>
          </w:p>
          <w:p>
            <w:pPr>
              <w:tabs>
                <w:tab w:val="left" w:pos="1228"/>
              </w:tabs>
              <w:adjustRightInd w:val="0"/>
              <w:snapToGrid w:val="0"/>
              <w:spacing w:line="360" w:lineRule="auto"/>
              <w:ind w:firstLine="420" w:firstLineChars="200"/>
              <w:rPr>
                <w:rFonts w:hint="eastAsia" w:ascii="宋体" w:hAnsi="宋体" w:cs="宋体"/>
              </w:rPr>
            </w:pPr>
            <w:r>
              <w:rPr>
                <w:rFonts w:hint="eastAsia" w:ascii="宋体" w:hAnsi="宋体" w:cs="宋体"/>
              </w:rPr>
              <w:t>a.厂区雨水管道的进口均设置切换阀，能够及时阻断被污染的消防水或其它废水进入雨水管道。</w:t>
            </w:r>
          </w:p>
          <w:p>
            <w:pPr>
              <w:tabs>
                <w:tab w:val="left" w:pos="1228"/>
              </w:tabs>
              <w:adjustRightInd w:val="0"/>
              <w:snapToGrid w:val="0"/>
              <w:spacing w:line="360" w:lineRule="auto"/>
              <w:ind w:firstLine="420" w:firstLineChars="200"/>
              <w:rPr>
                <w:rFonts w:hint="eastAsia" w:ascii="宋体" w:hAnsi="宋体" w:cs="宋体"/>
              </w:rPr>
            </w:pPr>
            <w:r>
              <w:rPr>
                <w:rFonts w:hint="eastAsia" w:ascii="宋体" w:hAnsi="宋体" w:cs="宋体"/>
              </w:rPr>
              <w:t>b.车间四周设置排水沟，对消防尾水进行围堵和收集。</w:t>
            </w:r>
          </w:p>
          <w:p>
            <w:pPr>
              <w:tabs>
                <w:tab w:val="left" w:pos="1228"/>
              </w:tabs>
              <w:adjustRightInd w:val="0"/>
              <w:snapToGrid w:val="0"/>
              <w:spacing w:line="360" w:lineRule="auto"/>
              <w:ind w:firstLine="420" w:firstLineChars="200"/>
              <w:rPr>
                <w:rFonts w:hint="eastAsia" w:ascii="宋体" w:hAnsi="宋体" w:cs="宋体"/>
              </w:rPr>
            </w:pPr>
            <w:r>
              <w:rPr>
                <w:rFonts w:hint="eastAsia" w:ascii="宋体" w:hAnsi="宋体" w:cs="宋体"/>
              </w:rPr>
              <w:t>c.事故状态下，第一时间切断雨水外排口，厂区内所有事故废水截留在雨水管网中，待事故结束后泵入污水管网。</w:t>
            </w:r>
          </w:p>
          <w:p>
            <w:pPr>
              <w:tabs>
                <w:tab w:val="left" w:pos="1228"/>
              </w:tabs>
              <w:adjustRightInd w:val="0"/>
              <w:snapToGrid w:val="0"/>
              <w:spacing w:line="360" w:lineRule="auto"/>
              <w:ind w:firstLine="420" w:firstLineChars="200"/>
              <w:rPr>
                <w:rFonts w:hint="eastAsia" w:ascii="宋体" w:hAnsi="宋体" w:cs="宋体"/>
              </w:rPr>
            </w:pPr>
            <w:r>
              <w:rPr>
                <w:rFonts w:hint="eastAsia" w:ascii="宋体" w:hAnsi="宋体" w:cs="宋体"/>
              </w:rPr>
              <w:t>d.经常对排水管道进行检查和维修，保持畅通、完好。加强企业安全管理制度和安全教育，制定防止事故发生的各种规章制度并严格执行，使安全工作做到经常化和制度化。</w:t>
            </w:r>
          </w:p>
          <w:p>
            <w:pPr>
              <w:tabs>
                <w:tab w:val="left" w:pos="1228"/>
              </w:tabs>
              <w:adjustRightInd w:val="0"/>
              <w:snapToGrid w:val="0"/>
              <w:spacing w:line="360" w:lineRule="auto"/>
              <w:ind w:firstLine="420" w:firstLineChars="200"/>
              <w:rPr>
                <w:rFonts w:hint="eastAsia" w:ascii="宋体" w:hAnsi="宋体" w:cs="宋体"/>
              </w:rPr>
            </w:pPr>
            <w:r>
              <w:rPr>
                <w:rFonts w:hint="eastAsia" w:ascii="宋体" w:hAnsi="宋体" w:cs="宋体"/>
                <w:lang w:val="en-US" w:eastAsia="zh-CN"/>
              </w:rPr>
              <w:t>⑥</w:t>
            </w:r>
            <w:r>
              <w:rPr>
                <w:rFonts w:hint="eastAsia" w:ascii="宋体" w:hAnsi="宋体" w:cs="宋体"/>
              </w:rPr>
              <w:t>构筑环境风险三级（单元-厂区-园区）应急防范体系</w:t>
            </w:r>
          </w:p>
          <w:p>
            <w:pPr>
              <w:autoSpaceDE w:val="0"/>
              <w:autoSpaceDN w:val="0"/>
              <w:spacing w:line="360" w:lineRule="auto"/>
              <w:ind w:firstLine="420" w:firstLineChars="200"/>
            </w:pPr>
            <w:r>
              <w:rPr>
                <w:rFonts w:hint="eastAsia"/>
              </w:rPr>
              <w:t>a、</w:t>
            </w:r>
            <w:r>
              <w:t>第一级防控体系的功能主要是将事故废水控制在事故风险源所在区域单元，该体系主要是由装置区围堰以及收集沟和管道等配套基础设施组成，防止污染雨水和轻微事故泄漏造成的环境污染</w:t>
            </w:r>
            <w:r>
              <w:rPr>
                <w:rFonts w:ascii="Times New Roman" w:hAnsi="Times New Roman" w:eastAsia="宋体" w:cs="Times New Roman"/>
              </w:rPr>
              <w:t>；本项目生产装置周围设有地沟。各装置区设有事故水收集管网。</w:t>
            </w:r>
          </w:p>
          <w:p>
            <w:pPr>
              <w:autoSpaceDE w:val="0"/>
              <w:autoSpaceDN w:val="0"/>
              <w:spacing w:line="360" w:lineRule="auto"/>
              <w:ind w:firstLine="420" w:firstLineChars="200"/>
            </w:pPr>
            <w:r>
              <w:rPr>
                <w:rFonts w:hint="eastAsia"/>
              </w:rPr>
              <w:t>b、</w:t>
            </w:r>
            <w:r>
              <w:t>第二级防控体系必须建设厂区应急事故水池，防止单套生产装置较大事故泄漏物料和消防废水造成的环境污染；事故应急池应在突发事故状态下拦截和收集厂区范围内的事故废水，避免其危害外部环境致使事故扩大化，因此事故应急池被视为企业的关键防控设施体系。事故应急池应必需具备以下基本属性要求：专一性，禁止他用；自流式，即进水方式不依赖动力；池容足够大；地下式，防蚀防渗。</w:t>
            </w:r>
          </w:p>
          <w:p>
            <w:pPr>
              <w:autoSpaceDE w:val="0"/>
              <w:autoSpaceDN w:val="0"/>
              <w:spacing w:line="360" w:lineRule="auto"/>
              <w:ind w:firstLine="420" w:firstLineChars="200"/>
              <w:rPr>
                <w:rFonts w:ascii="Times New Roman" w:hAnsi="Times New Roman" w:eastAsia="宋体" w:cs="Times New Roman"/>
              </w:rPr>
            </w:pPr>
            <w:r>
              <w:rPr>
                <w:rFonts w:hint="eastAsia" w:ascii="Times New Roman" w:hAnsi="Times New Roman" w:eastAsia="宋体" w:cs="Times New Roman"/>
              </w:rPr>
              <w:t>本项目事故状态下的各类废水收集至</w:t>
            </w:r>
            <w:r>
              <w:rPr>
                <w:rFonts w:hint="eastAsia" w:ascii="Times New Roman" w:hAnsi="Times New Roman" w:eastAsia="宋体" w:cs="Times New Roman"/>
                <w:lang w:val="en-US" w:eastAsia="zh-CN"/>
              </w:rPr>
              <w:t>华胜事故应急池</w:t>
            </w:r>
            <w:r>
              <w:rPr>
                <w:rFonts w:hint="eastAsia" w:ascii="Times New Roman" w:hAnsi="Times New Roman" w:eastAsia="宋体" w:cs="Times New Roman"/>
              </w:rPr>
              <w:t>暂存，并关闭</w:t>
            </w:r>
            <w:r>
              <w:rPr>
                <w:rFonts w:hint="eastAsia" w:ascii="Times New Roman" w:hAnsi="Times New Roman" w:eastAsia="宋体" w:cs="Times New Roman"/>
                <w:lang w:val="en-US" w:eastAsia="zh-CN"/>
              </w:rPr>
              <w:t>全厂雨污水</w:t>
            </w:r>
            <w:r>
              <w:rPr>
                <w:rFonts w:hint="eastAsia" w:ascii="Times New Roman" w:hAnsi="Times New Roman" w:eastAsia="宋体" w:cs="Times New Roman"/>
              </w:rPr>
              <w:t>排口阀门，将污染控制在厂区内，防止生产事故泄漏物料和事故废水造成的环境污染。</w:t>
            </w:r>
          </w:p>
          <w:p>
            <w:pPr>
              <w:autoSpaceDE w:val="0"/>
              <w:autoSpaceDN w:val="0"/>
              <w:spacing w:line="360" w:lineRule="auto"/>
              <w:ind w:firstLine="420" w:firstLineChars="200"/>
              <w:rPr>
                <w:rFonts w:hint="eastAsia" w:eastAsia="宋体"/>
                <w:lang w:eastAsia="zh-CN"/>
              </w:rPr>
            </w:pPr>
            <w:r>
              <w:rPr>
                <w:rFonts w:hint="eastAsia"/>
              </w:rPr>
              <w:t>c、</w:t>
            </w:r>
            <w:r>
              <w:rPr>
                <w:rFonts w:hint="eastAsia" w:ascii="Times New Roman" w:hAnsi="Times New Roman" w:eastAsia="宋体" w:cs="Times New Roman"/>
              </w:rPr>
              <w:t>第三级水环境风险防控体系是</w:t>
            </w:r>
            <w:r>
              <w:t>针对企业厂内防范能力有限而导致事故废水可能外溢出厂界的应急处理。</w:t>
            </w:r>
            <w:r>
              <w:rPr>
                <w:rFonts w:hint="eastAsia"/>
                <w:lang w:val="en-US" w:eastAsia="zh-CN"/>
              </w:rPr>
              <w:t>本厂区</w:t>
            </w:r>
            <w:r>
              <w:t>与其他邻近企业实现资源共享和救援合作，增强事故废水的防范能力，防止事故废水进入环境敏感区</w:t>
            </w:r>
            <w:r>
              <w:rPr>
                <w:rFonts w:hint="eastAsia"/>
                <w:lang w:eastAsia="zh-CN"/>
              </w:rPr>
              <w:t>，</w:t>
            </w:r>
            <w:r>
              <w:rPr>
                <w:rFonts w:hint="eastAsia"/>
                <w:lang w:val="en-US" w:eastAsia="zh-CN"/>
              </w:rPr>
              <w:t>必要时启动</w:t>
            </w:r>
            <w:r>
              <w:rPr>
                <w:color w:val="000000"/>
              </w:rPr>
              <w:t>如皋市九华镇工业集中区</w:t>
            </w:r>
            <w:r>
              <w:rPr>
                <w:rFonts w:hint="eastAsia"/>
              </w:rPr>
              <w:t>突发环境事件应急预案</w:t>
            </w:r>
            <w:r>
              <w:rPr>
                <w:rFonts w:hint="eastAsia"/>
                <w:lang w:eastAsia="zh-CN"/>
              </w:rPr>
              <w:t>。</w:t>
            </w:r>
          </w:p>
          <w:p>
            <w:pPr>
              <w:keepNext w:val="0"/>
              <w:keepLines w:val="0"/>
              <w:pageBreakBefore w:val="0"/>
              <w:widowControl w:val="0"/>
              <w:kinsoku/>
              <w:wordWrap/>
              <w:overflowPunct/>
              <w:topLinePunct w:val="0"/>
              <w:autoSpaceDE/>
              <w:autoSpaceDN/>
              <w:bidi w:val="0"/>
              <w:spacing w:line="400" w:lineRule="exact"/>
              <w:ind w:firstLine="420" w:firstLineChars="200"/>
              <w:textAlignment w:val="auto"/>
              <w:rPr>
                <w:color w:val="FF0000"/>
              </w:rPr>
            </w:pPr>
            <w:bookmarkStart w:id="30" w:name="_Hlk201908223"/>
            <w:r>
              <w:rPr>
                <w:color w:val="FF0000"/>
                <w:kern w:val="0"/>
              </w:rPr>
              <w:t>根据《事故状态下水体污染的预防和控制规范》(Q/SY08190-2019)，事故应急池容纳符合性计算如下：</w:t>
            </w:r>
          </w:p>
          <w:p>
            <w:pPr>
              <w:spacing w:line="360" w:lineRule="auto"/>
              <w:ind w:firstLine="420" w:firstLineChars="200"/>
              <w:jc w:val="center"/>
              <w:rPr>
                <w:color w:val="FF0000"/>
              </w:rPr>
            </w:pPr>
            <w:r>
              <w:rPr>
                <w:color w:val="FF0000"/>
              </w:rPr>
              <w:t>V</w:t>
            </w:r>
            <w:r>
              <w:rPr>
                <w:color w:val="FF0000"/>
                <w:vertAlign w:val="subscript"/>
              </w:rPr>
              <w:t>总</w:t>
            </w:r>
            <w:r>
              <w:rPr>
                <w:color w:val="FF0000"/>
              </w:rPr>
              <w:t>=（V</w:t>
            </w:r>
            <w:r>
              <w:rPr>
                <w:color w:val="FF0000"/>
                <w:vertAlign w:val="subscript"/>
              </w:rPr>
              <w:t>1</w:t>
            </w:r>
            <w:r>
              <w:rPr>
                <w:color w:val="FF0000"/>
              </w:rPr>
              <w:t>+V</w:t>
            </w:r>
            <w:r>
              <w:rPr>
                <w:color w:val="FF0000"/>
                <w:vertAlign w:val="subscript"/>
              </w:rPr>
              <w:t>2</w:t>
            </w:r>
            <w:r>
              <w:rPr>
                <w:color w:val="FF0000"/>
              </w:rPr>
              <w:t>-V</w:t>
            </w:r>
            <w:r>
              <w:rPr>
                <w:color w:val="FF0000"/>
                <w:vertAlign w:val="subscript"/>
              </w:rPr>
              <w:t>3</w:t>
            </w:r>
            <w:r>
              <w:rPr>
                <w:color w:val="FF0000"/>
              </w:rPr>
              <w:t>）max+V</w:t>
            </w:r>
            <w:r>
              <w:rPr>
                <w:color w:val="FF0000"/>
                <w:vertAlign w:val="subscript"/>
              </w:rPr>
              <w:t>4</w:t>
            </w:r>
            <w:r>
              <w:rPr>
                <w:color w:val="FF0000"/>
              </w:rPr>
              <w:t>+V</w:t>
            </w:r>
            <w:r>
              <w:rPr>
                <w:color w:val="FF0000"/>
                <w:vertAlign w:val="subscript"/>
              </w:rPr>
              <w:t>5</w:t>
            </w:r>
          </w:p>
          <w:p>
            <w:pPr>
              <w:spacing w:line="360" w:lineRule="auto"/>
              <w:ind w:firstLine="420" w:firstLineChars="200"/>
              <w:rPr>
                <w:color w:val="FF0000"/>
              </w:rPr>
            </w:pPr>
            <w:r>
              <w:rPr>
                <w:color w:val="FF0000"/>
              </w:rPr>
              <w:t>V</w:t>
            </w:r>
            <w:r>
              <w:rPr>
                <w:color w:val="FF0000"/>
                <w:vertAlign w:val="subscript"/>
              </w:rPr>
              <w:t>1</w:t>
            </w:r>
            <w:r>
              <w:rPr>
                <w:color w:val="FF0000"/>
              </w:rPr>
              <w:t>——最大一个容量的设备或贮罐。本项目不涉及，V1取0m</w:t>
            </w:r>
            <w:r>
              <w:rPr>
                <w:color w:val="FF0000"/>
                <w:vertAlign w:val="superscript"/>
              </w:rPr>
              <w:t>3</w:t>
            </w:r>
            <w:r>
              <w:rPr>
                <w:color w:val="FF0000"/>
              </w:rPr>
              <w:t>。</w:t>
            </w:r>
          </w:p>
          <w:p>
            <w:pPr>
              <w:spacing w:line="360" w:lineRule="auto"/>
              <w:ind w:firstLine="420" w:firstLineChars="200"/>
              <w:rPr>
                <w:color w:val="FF0000"/>
              </w:rPr>
            </w:pPr>
            <w:r>
              <w:rPr>
                <w:color w:val="FF0000"/>
              </w:rPr>
              <w:t>V</w:t>
            </w:r>
            <w:r>
              <w:rPr>
                <w:color w:val="FF0000"/>
                <w:vertAlign w:val="subscript"/>
              </w:rPr>
              <w:t>2</w:t>
            </w:r>
            <w:r>
              <w:rPr>
                <w:color w:val="FF0000"/>
              </w:rPr>
              <w:t>——在装置区或贮罐区一旦发生火灾、爆炸时的消防用水量，包括扑灭火灾所需用水量和保护临近设备或贮罐的喷淋水量。</w:t>
            </w:r>
          </w:p>
          <w:p>
            <w:pPr>
              <w:spacing w:line="360" w:lineRule="auto"/>
              <w:ind w:firstLine="420" w:firstLineChars="200"/>
              <w:rPr>
                <w:color w:val="FF0000"/>
              </w:rPr>
            </w:pPr>
            <w:r>
              <w:rPr>
                <w:rFonts w:hint="default" w:ascii="Times New Roman" w:hAnsi="Times New Roman" w:cs="Times New Roman"/>
                <w:color w:val="FF0000"/>
              </w:rPr>
              <w:t>本项目</w:t>
            </w:r>
            <w:r>
              <w:rPr>
                <w:rFonts w:hint="default" w:ascii="Times New Roman" w:hAnsi="Times New Roman" w:cs="Times New Roman"/>
                <w:color w:val="FF0000"/>
                <w:lang w:val="en-US" w:eastAsia="zh-CN"/>
              </w:rPr>
              <w:t>生产车间</w:t>
            </w:r>
            <w:r>
              <w:rPr>
                <w:rFonts w:hint="eastAsia" w:cs="Times New Roman"/>
                <w:color w:val="FF0000"/>
                <w:lang w:val="en-US" w:eastAsia="zh-CN"/>
              </w:rPr>
              <w:t>和锅炉房</w:t>
            </w:r>
            <w:r>
              <w:rPr>
                <w:rFonts w:hint="default" w:ascii="Times New Roman" w:hAnsi="Times New Roman" w:cs="Times New Roman"/>
                <w:color w:val="FF0000"/>
                <w:lang w:val="en-US" w:eastAsia="zh-CN"/>
              </w:rPr>
              <w:t>利旧，</w:t>
            </w:r>
            <w:r>
              <w:rPr>
                <w:rFonts w:hint="eastAsia" w:cs="Times New Roman"/>
                <w:color w:val="FF0000"/>
                <w:lang w:val="en-US" w:eastAsia="zh-CN"/>
              </w:rPr>
              <w:t>生产车间</w:t>
            </w:r>
            <w:r>
              <w:rPr>
                <w:rFonts w:hint="default" w:ascii="Times New Roman" w:hAnsi="Times New Roman" w:cs="Times New Roman"/>
                <w:color w:val="FF0000"/>
              </w:rPr>
              <w:t>占地面积为</w:t>
            </w:r>
            <w:r>
              <w:rPr>
                <w:rFonts w:hint="eastAsia" w:cs="Times New Roman"/>
                <w:color w:val="FF0000"/>
                <w:lang w:val="en-US" w:eastAsia="zh-CN"/>
              </w:rPr>
              <w:t>12</w:t>
            </w:r>
            <w:r>
              <w:rPr>
                <w:rFonts w:hint="default" w:ascii="Times New Roman" w:hAnsi="Times New Roman" w:cs="Times New Roman"/>
                <w:color w:val="FF0000"/>
                <w:lang w:val="en-US" w:eastAsia="zh-CN"/>
              </w:rPr>
              <w:t>00</w:t>
            </w:r>
            <w:r>
              <w:rPr>
                <w:rFonts w:hint="default" w:ascii="Times New Roman" w:hAnsi="Times New Roman" w:cs="Times New Roman"/>
                <w:color w:val="FF0000"/>
              </w:rPr>
              <w:t>m</w:t>
            </w:r>
            <w:r>
              <w:rPr>
                <w:rFonts w:hint="default" w:ascii="Times New Roman" w:hAnsi="Times New Roman" w:cs="Times New Roman"/>
                <w:color w:val="FF0000"/>
                <w:vertAlign w:val="superscript"/>
              </w:rPr>
              <w:t>2</w:t>
            </w:r>
            <w:r>
              <w:rPr>
                <w:rFonts w:hint="default" w:ascii="Times New Roman" w:hAnsi="Times New Roman" w:cs="Times New Roman"/>
                <w:color w:val="FF0000"/>
              </w:rPr>
              <w:t>，高度约</w:t>
            </w:r>
            <w:r>
              <w:rPr>
                <w:rFonts w:hint="eastAsia" w:cs="Times New Roman"/>
                <w:color w:val="FF0000"/>
                <w:lang w:val="en-US" w:eastAsia="zh-CN"/>
              </w:rPr>
              <w:t>8.5</w:t>
            </w:r>
            <w:r>
              <w:rPr>
                <w:rFonts w:hint="default" w:ascii="Times New Roman" w:hAnsi="Times New Roman" w:cs="Times New Roman"/>
                <w:color w:val="FF0000"/>
              </w:rPr>
              <w:t>m，则建筑体积为</w:t>
            </w:r>
            <w:r>
              <w:rPr>
                <w:rFonts w:hint="eastAsia" w:cs="Times New Roman"/>
                <w:color w:val="FF0000"/>
                <w:lang w:val="en-US" w:eastAsia="zh-CN"/>
              </w:rPr>
              <w:t>10200</w:t>
            </w:r>
            <w:r>
              <w:rPr>
                <w:rFonts w:hint="default" w:ascii="Times New Roman" w:hAnsi="Times New Roman" w:cs="Times New Roman"/>
                <w:color w:val="FF0000"/>
              </w:rPr>
              <w:t>m</w:t>
            </w:r>
            <w:r>
              <w:rPr>
                <w:rFonts w:hint="default" w:ascii="Times New Roman" w:hAnsi="Times New Roman" w:cs="Times New Roman"/>
                <w:color w:val="FF0000"/>
                <w:vertAlign w:val="superscript"/>
              </w:rPr>
              <w:t>3</w:t>
            </w:r>
            <w:r>
              <w:rPr>
                <w:rFonts w:hint="default" w:ascii="Times New Roman" w:hAnsi="Times New Roman" w:cs="Times New Roman"/>
                <w:color w:val="FF0000"/>
              </w:rPr>
              <w:t>，</w:t>
            </w:r>
            <w:r>
              <w:rPr>
                <w:color w:val="FF0000"/>
              </w:rPr>
              <w:t>参考《消防给水及消火栓系统技术规范》（GB5097-2014）表3.3.2</w:t>
            </w:r>
            <w:r>
              <w:rPr>
                <w:rFonts w:hint="eastAsia"/>
                <w:color w:val="FF0000"/>
                <w:lang w:val="en-US" w:eastAsia="zh-CN"/>
              </w:rPr>
              <w:t>丁</w:t>
            </w:r>
            <w:r>
              <w:rPr>
                <w:color w:val="FF0000"/>
              </w:rPr>
              <w:t>类厂房建筑体积</w:t>
            </w:r>
            <w:r>
              <w:rPr>
                <w:rFonts w:hint="eastAsia"/>
                <w:color w:val="FF0000"/>
              </w:rPr>
              <w:t>5000&lt;V&lt;20000</w:t>
            </w:r>
            <w:r>
              <w:rPr>
                <w:color w:val="FF0000"/>
              </w:rPr>
              <w:t>m</w:t>
            </w:r>
            <w:r>
              <w:rPr>
                <w:color w:val="FF0000"/>
                <w:vertAlign w:val="superscript"/>
              </w:rPr>
              <w:t>3</w:t>
            </w:r>
            <w:r>
              <w:rPr>
                <w:color w:val="FF0000"/>
              </w:rPr>
              <w:t>，室外消防用水量按</w:t>
            </w:r>
            <w:r>
              <w:rPr>
                <w:rFonts w:hint="eastAsia"/>
                <w:color w:val="FF0000"/>
                <w:lang w:val="en-US" w:eastAsia="zh-CN"/>
              </w:rPr>
              <w:t>15</w:t>
            </w:r>
            <w:r>
              <w:rPr>
                <w:color w:val="FF0000"/>
              </w:rPr>
              <w:t>L/s，参考表3.6.2丙类厂房消防用水延续时间按</w:t>
            </w:r>
            <w:r>
              <w:rPr>
                <w:rFonts w:hint="eastAsia"/>
                <w:color w:val="FF0000"/>
                <w:lang w:val="en-US" w:eastAsia="zh-CN"/>
              </w:rPr>
              <w:t>2</w:t>
            </w:r>
            <w:r>
              <w:rPr>
                <w:color w:val="FF0000"/>
              </w:rPr>
              <w:t>h计，事故发生时考虑室内室外同时灭火，参考表3.5.2丙类厂房h＜</w:t>
            </w:r>
            <w:r>
              <w:rPr>
                <w:rFonts w:hint="eastAsia"/>
                <w:color w:val="FF0000"/>
                <w:lang w:val="en-US" w:eastAsia="zh-CN"/>
              </w:rPr>
              <w:t>24</w:t>
            </w:r>
            <w:r>
              <w:rPr>
                <w:color w:val="FF0000"/>
              </w:rPr>
              <w:t>，消防栓设计流量为</w:t>
            </w:r>
            <w:r>
              <w:rPr>
                <w:rFonts w:hint="eastAsia"/>
                <w:color w:val="FF0000"/>
                <w:lang w:val="en-US" w:eastAsia="zh-CN"/>
              </w:rPr>
              <w:t>10</w:t>
            </w:r>
            <w:r>
              <w:rPr>
                <w:color w:val="FF0000"/>
              </w:rPr>
              <w:t>L/s，则本项目消防尾水产生量V2=</w:t>
            </w:r>
            <w:r>
              <w:rPr>
                <w:rFonts w:hint="eastAsia"/>
                <w:color w:val="FF0000"/>
                <w:lang w:val="en-US" w:eastAsia="zh-CN"/>
              </w:rPr>
              <w:t>180</w:t>
            </w:r>
            <w:r>
              <w:rPr>
                <w:color w:val="FF0000"/>
              </w:rPr>
              <w:t>m</w:t>
            </w:r>
            <w:r>
              <w:rPr>
                <w:color w:val="FF0000"/>
                <w:vertAlign w:val="superscript"/>
              </w:rPr>
              <w:t>3</w:t>
            </w:r>
            <w:r>
              <w:rPr>
                <w:color w:val="FF0000"/>
              </w:rPr>
              <w:t>。</w:t>
            </w:r>
          </w:p>
          <w:p>
            <w:pPr>
              <w:spacing w:line="360" w:lineRule="auto"/>
              <w:ind w:firstLine="420" w:firstLineChars="200"/>
              <w:rPr>
                <w:color w:val="FF0000"/>
              </w:rPr>
            </w:pPr>
            <w:r>
              <w:rPr>
                <w:color w:val="FF0000"/>
              </w:rPr>
              <w:t>V</w:t>
            </w:r>
            <w:r>
              <w:rPr>
                <w:color w:val="FF0000"/>
                <w:vertAlign w:val="subscript"/>
              </w:rPr>
              <w:t>3</w:t>
            </w:r>
            <w:r>
              <w:rPr>
                <w:color w:val="FF0000"/>
              </w:rPr>
              <w:t>——发生事故时可以传输到其他储存或处置设施的物料量，包括事故废水收集系统的装置或罐区围堰、防火堤内净空容量与事故废水导排管道容量之和，m</w:t>
            </w:r>
            <w:r>
              <w:rPr>
                <w:color w:val="FF0000"/>
                <w:vertAlign w:val="superscript"/>
              </w:rPr>
              <w:t>3</w:t>
            </w:r>
            <w:r>
              <w:rPr>
                <w:color w:val="FF0000"/>
              </w:rPr>
              <w:t>（V</w:t>
            </w:r>
            <w:r>
              <w:rPr>
                <w:color w:val="FF0000"/>
                <w:vertAlign w:val="subscript"/>
              </w:rPr>
              <w:t>3</w:t>
            </w:r>
            <w:r>
              <w:rPr>
                <w:rFonts w:hint="eastAsia"/>
                <w:color w:val="FF0000"/>
                <w:vertAlign w:val="baseline"/>
                <w:lang w:val="en-US" w:eastAsia="zh-CN"/>
              </w:rPr>
              <w:t>取0</w:t>
            </w:r>
            <w:r>
              <w:rPr>
                <w:color w:val="FF0000"/>
              </w:rPr>
              <w:t>）。</w:t>
            </w:r>
          </w:p>
          <w:p>
            <w:pPr>
              <w:spacing w:line="360" w:lineRule="auto"/>
              <w:ind w:firstLine="420" w:firstLineChars="200"/>
              <w:rPr>
                <w:color w:val="FF0000"/>
              </w:rPr>
            </w:pPr>
            <w:r>
              <w:rPr>
                <w:color w:val="FF0000"/>
              </w:rPr>
              <w:t>V</w:t>
            </w:r>
            <w:r>
              <w:rPr>
                <w:color w:val="FF0000"/>
                <w:vertAlign w:val="subscript"/>
              </w:rPr>
              <w:t>4</w:t>
            </w:r>
            <w:r>
              <w:rPr>
                <w:color w:val="FF0000"/>
              </w:rPr>
              <w:t>——发生事故时仍必须进入该收集系统的生产废水量，m</w:t>
            </w:r>
            <w:r>
              <w:rPr>
                <w:color w:val="FF0000"/>
                <w:vertAlign w:val="superscript"/>
              </w:rPr>
              <w:t>3</w:t>
            </w:r>
            <w:r>
              <w:rPr>
                <w:color w:val="FF0000"/>
              </w:rPr>
              <w:t>（本项目为0m</w:t>
            </w:r>
            <w:r>
              <w:rPr>
                <w:color w:val="FF0000"/>
                <w:vertAlign w:val="superscript"/>
              </w:rPr>
              <w:t>3</w:t>
            </w:r>
            <w:r>
              <w:rPr>
                <w:color w:val="FF0000"/>
              </w:rPr>
              <w:t>）。</w:t>
            </w:r>
          </w:p>
          <w:p>
            <w:pPr>
              <w:spacing w:line="360" w:lineRule="auto"/>
              <w:ind w:firstLine="420" w:firstLineChars="200"/>
              <w:rPr>
                <w:color w:val="FF0000"/>
              </w:rPr>
            </w:pPr>
            <w:r>
              <w:rPr>
                <w:color w:val="FF0000"/>
              </w:rPr>
              <w:t>V</w:t>
            </w:r>
            <w:r>
              <w:rPr>
                <w:color w:val="FF0000"/>
                <w:vertAlign w:val="subscript"/>
              </w:rPr>
              <w:t>5</w:t>
            </w:r>
            <w:r>
              <w:rPr>
                <w:color w:val="FF0000"/>
              </w:rPr>
              <w:t>——发生事故时可能进入该废水收集系统的降雨量，m</w:t>
            </w:r>
            <w:r>
              <w:rPr>
                <w:color w:val="FF0000"/>
                <w:vertAlign w:val="superscript"/>
              </w:rPr>
              <w:t>3</w:t>
            </w:r>
            <w:r>
              <w:rPr>
                <w:color w:val="FF0000"/>
              </w:rPr>
              <w:t>。</w:t>
            </w:r>
          </w:p>
          <w:p>
            <w:pPr>
              <w:spacing w:line="360" w:lineRule="auto"/>
              <w:ind w:firstLine="420" w:firstLineChars="200"/>
              <w:rPr>
                <w:bCs/>
                <w:color w:val="FF0000"/>
              </w:rPr>
            </w:pPr>
            <w:r>
              <w:rPr>
                <w:bCs/>
                <w:color w:val="FF0000"/>
              </w:rPr>
              <w:t>雨水计算采用如下公式：</w:t>
            </w:r>
          </w:p>
          <w:p>
            <w:pPr>
              <w:widowControl/>
              <w:adjustRightInd w:val="0"/>
              <w:snapToGrid w:val="0"/>
              <w:spacing w:line="360" w:lineRule="auto"/>
              <w:ind w:firstLine="420" w:firstLineChars="200"/>
              <w:jc w:val="center"/>
              <w:rPr>
                <w:color w:val="FF0000"/>
              </w:rPr>
            </w:pPr>
            <w:r>
              <w:rPr>
                <w:color w:val="FF0000"/>
              </w:rPr>
              <w:t>V</w:t>
            </w:r>
            <w:r>
              <w:rPr>
                <w:color w:val="FF0000"/>
                <w:vertAlign w:val="subscript"/>
              </w:rPr>
              <w:t>5</w:t>
            </w:r>
            <w:r>
              <w:rPr>
                <w:color w:val="FF0000"/>
              </w:rPr>
              <w:t>=10qf</w:t>
            </w:r>
          </w:p>
          <w:p>
            <w:pPr>
              <w:widowControl/>
              <w:adjustRightInd w:val="0"/>
              <w:snapToGrid w:val="0"/>
              <w:spacing w:line="360" w:lineRule="auto"/>
              <w:ind w:firstLine="420" w:firstLineChars="200"/>
              <w:rPr>
                <w:color w:val="FF0000"/>
              </w:rPr>
            </w:pPr>
            <w:r>
              <w:rPr>
                <w:color w:val="FF0000"/>
              </w:rPr>
              <w:t>q——降雨强度，mm；按平均日降雨量；</w:t>
            </w:r>
          </w:p>
          <w:p>
            <w:pPr>
              <w:widowControl/>
              <w:adjustRightInd w:val="0"/>
              <w:snapToGrid w:val="0"/>
              <w:spacing w:line="360" w:lineRule="auto"/>
              <w:ind w:firstLine="420" w:firstLineChars="200"/>
              <w:jc w:val="center"/>
              <w:rPr>
                <w:color w:val="FF0000"/>
              </w:rPr>
            </w:pPr>
            <w:r>
              <w:rPr>
                <w:color w:val="FF0000"/>
              </w:rPr>
              <w:t>q=q</w:t>
            </w:r>
            <w:r>
              <w:rPr>
                <w:color w:val="FF0000"/>
                <w:vertAlign w:val="subscript"/>
              </w:rPr>
              <w:t>a</w:t>
            </w:r>
            <w:r>
              <w:rPr>
                <w:color w:val="FF0000"/>
              </w:rPr>
              <w:t>/n</w:t>
            </w:r>
          </w:p>
          <w:p>
            <w:pPr>
              <w:widowControl/>
              <w:adjustRightInd w:val="0"/>
              <w:snapToGrid w:val="0"/>
              <w:spacing w:line="360" w:lineRule="auto"/>
              <w:ind w:firstLine="420" w:firstLineChars="200"/>
              <w:rPr>
                <w:color w:val="FF0000"/>
              </w:rPr>
            </w:pPr>
            <w:r>
              <w:rPr>
                <w:color w:val="FF0000"/>
              </w:rPr>
              <w:t>q</w:t>
            </w:r>
            <w:r>
              <w:rPr>
                <w:color w:val="FF0000"/>
                <w:vertAlign w:val="subscript"/>
              </w:rPr>
              <w:t>a</w:t>
            </w:r>
            <w:r>
              <w:rPr>
                <w:color w:val="FF0000"/>
              </w:rPr>
              <w:t>——年平均降雨量，mm；南通市近年年均降水量为1041mm；</w:t>
            </w:r>
          </w:p>
          <w:p>
            <w:pPr>
              <w:widowControl/>
              <w:adjustRightInd w:val="0"/>
              <w:snapToGrid w:val="0"/>
              <w:spacing w:line="360" w:lineRule="auto"/>
              <w:ind w:firstLine="420" w:firstLineChars="200"/>
              <w:rPr>
                <w:color w:val="FF0000"/>
              </w:rPr>
            </w:pPr>
            <w:r>
              <w:rPr>
                <w:color w:val="FF0000"/>
              </w:rPr>
              <w:t>n——年平均降雨日数，南通市年降水天数在127天左右。</w:t>
            </w:r>
          </w:p>
          <w:p>
            <w:pPr>
              <w:widowControl/>
              <w:adjustRightInd w:val="0"/>
              <w:snapToGrid w:val="0"/>
              <w:spacing w:line="360" w:lineRule="auto"/>
              <w:ind w:firstLine="420" w:firstLineChars="200"/>
              <w:rPr>
                <w:color w:val="FF0000"/>
              </w:rPr>
            </w:pPr>
            <w:r>
              <w:rPr>
                <w:color w:val="FF0000"/>
              </w:rPr>
              <w:t>f——必须进入事故废水收集系统的雨水汇水面积</w:t>
            </w:r>
            <w:r>
              <w:rPr>
                <w:rFonts w:hint="eastAsia"/>
                <w:color w:val="FF0000"/>
                <w:lang w:eastAsia="zh-CN"/>
              </w:rPr>
              <w:t>（</w:t>
            </w:r>
            <w:r>
              <w:rPr>
                <w:rFonts w:hint="eastAsia"/>
                <w:color w:val="FF0000"/>
                <w:lang w:val="en-US" w:eastAsia="zh-CN"/>
              </w:rPr>
              <w:t>华胜全厂面积13674m</w:t>
            </w:r>
            <w:r>
              <w:rPr>
                <w:rFonts w:hint="eastAsia"/>
                <w:color w:val="FF0000"/>
                <w:vertAlign w:val="superscript"/>
                <w:lang w:val="en-US" w:eastAsia="zh-CN"/>
              </w:rPr>
              <w:t>2</w:t>
            </w:r>
            <w:r>
              <w:rPr>
                <w:rFonts w:hint="eastAsia"/>
                <w:color w:val="FF0000"/>
                <w:lang w:eastAsia="zh-CN"/>
              </w:rPr>
              <w:t>）</w:t>
            </w:r>
            <w:r>
              <w:rPr>
                <w:color w:val="FF0000"/>
              </w:rPr>
              <w:t>，绿化率为</w:t>
            </w:r>
            <w:r>
              <w:rPr>
                <w:rFonts w:hint="eastAsia"/>
                <w:color w:val="FF0000"/>
                <w:lang w:val="en-US" w:eastAsia="zh-CN"/>
              </w:rPr>
              <w:t>4</w:t>
            </w:r>
            <w:r>
              <w:rPr>
                <w:color w:val="FF0000"/>
              </w:rPr>
              <w:t>%，则绿化面积为</w:t>
            </w:r>
            <w:r>
              <w:rPr>
                <w:rFonts w:hint="eastAsia"/>
                <w:color w:val="FF0000"/>
                <w:lang w:val="en-US" w:eastAsia="zh-CN"/>
              </w:rPr>
              <w:t>547</w:t>
            </w:r>
            <w:r>
              <w:rPr>
                <w:color w:val="FF0000"/>
              </w:rPr>
              <w:t>m</w:t>
            </w:r>
            <w:r>
              <w:rPr>
                <w:color w:val="FF0000"/>
                <w:vertAlign w:val="superscript"/>
              </w:rPr>
              <w:t>2</w:t>
            </w:r>
            <w:r>
              <w:rPr>
                <w:color w:val="FF0000"/>
              </w:rPr>
              <w:t>，则汇水面积为</w:t>
            </w:r>
            <w:r>
              <w:rPr>
                <w:rFonts w:hint="eastAsia"/>
                <w:color w:val="FF0000"/>
                <w:lang w:val="en-US" w:eastAsia="zh-CN"/>
              </w:rPr>
              <w:t>13127</w:t>
            </w:r>
            <w:r>
              <w:rPr>
                <w:color w:val="FF0000"/>
              </w:rPr>
              <w:t>m</w:t>
            </w:r>
            <w:r>
              <w:rPr>
                <w:color w:val="FF0000"/>
                <w:vertAlign w:val="superscript"/>
              </w:rPr>
              <w:t>2</w:t>
            </w:r>
            <w:r>
              <w:rPr>
                <w:color w:val="FF0000"/>
              </w:rPr>
              <w:t>，则汇水面积为</w:t>
            </w:r>
            <w:r>
              <w:rPr>
                <w:rFonts w:hint="eastAsia"/>
                <w:color w:val="FF0000"/>
                <w:lang w:val="en-US" w:eastAsia="zh-CN"/>
              </w:rPr>
              <w:t>1.312</w:t>
            </w:r>
            <w:r>
              <w:rPr>
                <w:color w:val="FF0000"/>
              </w:rPr>
              <w:t>ha）；</w:t>
            </w:r>
          </w:p>
          <w:p>
            <w:pPr>
              <w:widowControl/>
              <w:adjustRightInd w:val="0"/>
              <w:snapToGrid w:val="0"/>
              <w:spacing w:line="360" w:lineRule="auto"/>
              <w:ind w:firstLine="420" w:firstLineChars="200"/>
              <w:rPr>
                <w:color w:val="FF0000"/>
              </w:rPr>
            </w:pPr>
            <w:r>
              <w:rPr>
                <w:color w:val="FF0000"/>
              </w:rPr>
              <w:t>据调查项目必须收集的雨水约为V</w:t>
            </w:r>
            <w:r>
              <w:rPr>
                <w:color w:val="FF0000"/>
                <w:vertAlign w:val="subscript"/>
              </w:rPr>
              <w:t>5</w:t>
            </w:r>
            <w:r>
              <w:rPr>
                <w:color w:val="FF0000"/>
              </w:rPr>
              <w:t>=</w:t>
            </w:r>
            <w:r>
              <w:rPr>
                <w:rFonts w:hint="eastAsia"/>
                <w:color w:val="FF0000"/>
                <w:lang w:val="en-US" w:eastAsia="zh-CN"/>
              </w:rPr>
              <w:t>107.5</w:t>
            </w:r>
            <w:r>
              <w:rPr>
                <w:color w:val="FF0000"/>
              </w:rPr>
              <w:t>m</w:t>
            </w:r>
            <w:r>
              <w:rPr>
                <w:color w:val="FF0000"/>
                <w:vertAlign w:val="superscript"/>
              </w:rPr>
              <w:t>3</w:t>
            </w:r>
            <w:r>
              <w:rPr>
                <w:color w:val="FF0000"/>
              </w:rPr>
              <w:t>。</w:t>
            </w:r>
          </w:p>
          <w:p>
            <w:pPr>
              <w:spacing w:line="360" w:lineRule="auto"/>
              <w:ind w:firstLine="420" w:firstLineChars="200"/>
              <w:rPr>
                <w:color w:val="FF0000"/>
              </w:rPr>
            </w:pPr>
            <w:r>
              <w:rPr>
                <w:color w:val="FF0000"/>
              </w:rPr>
              <w:t>因此，V总=（0+</w:t>
            </w:r>
            <w:r>
              <w:rPr>
                <w:rFonts w:hint="eastAsia"/>
                <w:color w:val="FF0000"/>
                <w:lang w:val="en-US" w:eastAsia="zh-CN"/>
              </w:rPr>
              <w:t>180-0</w:t>
            </w:r>
            <w:r>
              <w:rPr>
                <w:color w:val="FF0000"/>
              </w:rPr>
              <w:t>）+0+</w:t>
            </w:r>
            <w:r>
              <w:rPr>
                <w:rFonts w:hint="eastAsia"/>
                <w:color w:val="FF0000"/>
                <w:lang w:val="en-US" w:eastAsia="zh-CN"/>
              </w:rPr>
              <w:t>107.5</w:t>
            </w:r>
            <w:r>
              <w:rPr>
                <w:color w:val="FF0000"/>
              </w:rPr>
              <w:t>=</w:t>
            </w:r>
            <w:r>
              <w:rPr>
                <w:rFonts w:hint="eastAsia"/>
                <w:color w:val="FF0000"/>
                <w:lang w:val="en-US" w:eastAsia="zh-CN"/>
              </w:rPr>
              <w:t>287.5</w:t>
            </w:r>
            <w:r>
              <w:rPr>
                <w:color w:val="FF0000"/>
              </w:rPr>
              <w:t>m</w:t>
            </w:r>
            <w:r>
              <w:rPr>
                <w:color w:val="FF0000"/>
                <w:vertAlign w:val="superscript"/>
              </w:rPr>
              <w:t>3</w:t>
            </w:r>
          </w:p>
          <w:p>
            <w:pPr>
              <w:tabs>
                <w:tab w:val="left" w:pos="7215"/>
              </w:tabs>
              <w:adjustRightInd w:val="0"/>
              <w:snapToGrid w:val="0"/>
              <w:spacing w:line="360" w:lineRule="auto"/>
              <w:ind w:firstLine="420" w:firstLineChars="200"/>
              <w:rPr>
                <w:rFonts w:hint="eastAsia"/>
                <w:color w:val="FF0000"/>
              </w:rPr>
            </w:pPr>
            <w:r>
              <w:rPr>
                <w:rFonts w:hint="eastAsia"/>
                <w:color w:val="FF0000"/>
                <w:lang w:val="en-US" w:eastAsia="zh-CN"/>
              </w:rPr>
              <w:t>本项目需</w:t>
            </w:r>
            <w:r>
              <w:rPr>
                <w:color w:val="FF0000"/>
              </w:rPr>
              <w:t>设置一个</w:t>
            </w:r>
            <w:r>
              <w:rPr>
                <w:rFonts w:hint="eastAsia"/>
                <w:color w:val="FF0000"/>
                <w:lang w:val="en-US" w:eastAsia="zh-CN"/>
              </w:rPr>
              <w:t>288</w:t>
            </w:r>
            <w:r>
              <w:rPr>
                <w:color w:val="FF0000"/>
              </w:rPr>
              <w:t>m</w:t>
            </w:r>
            <w:r>
              <w:rPr>
                <w:color w:val="FF0000"/>
                <w:vertAlign w:val="superscript"/>
              </w:rPr>
              <w:t>3</w:t>
            </w:r>
            <w:r>
              <w:rPr>
                <w:color w:val="FF0000"/>
              </w:rPr>
              <w:t>容积</w:t>
            </w:r>
            <w:r>
              <w:rPr>
                <w:rFonts w:hint="eastAsia"/>
                <w:color w:val="FF0000"/>
                <w:lang w:val="en-US" w:eastAsia="zh-CN"/>
              </w:rPr>
              <w:t>的</w:t>
            </w:r>
            <w:r>
              <w:rPr>
                <w:color w:val="FF0000"/>
              </w:rPr>
              <w:t>事故应急池</w:t>
            </w:r>
            <w:r>
              <w:rPr>
                <w:rFonts w:hint="eastAsia"/>
                <w:color w:val="FF0000"/>
                <w:lang w:eastAsia="zh-CN"/>
              </w:rPr>
              <w:t>，</w:t>
            </w:r>
            <w:r>
              <w:rPr>
                <w:rFonts w:hint="eastAsia"/>
                <w:color w:val="FF0000"/>
                <w:lang w:val="en-US" w:eastAsia="zh-CN"/>
              </w:rPr>
              <w:t>华胜公司已建立一座170</w:t>
            </w:r>
            <w:r>
              <w:rPr>
                <w:color w:val="FF0000"/>
              </w:rPr>
              <w:t>m</w:t>
            </w:r>
            <w:r>
              <w:rPr>
                <w:color w:val="FF0000"/>
                <w:vertAlign w:val="superscript"/>
              </w:rPr>
              <w:t>3</w:t>
            </w:r>
            <w:r>
              <w:rPr>
                <w:color w:val="FF0000"/>
              </w:rPr>
              <w:t>事故</w:t>
            </w:r>
            <w:r>
              <w:rPr>
                <w:rFonts w:hint="eastAsia"/>
                <w:color w:val="FF0000"/>
                <w:lang w:val="en-US" w:eastAsia="zh-CN"/>
              </w:rPr>
              <w:t>应急</w:t>
            </w:r>
            <w:r>
              <w:rPr>
                <w:color w:val="FF0000"/>
              </w:rPr>
              <w:t>池</w:t>
            </w:r>
            <w:r>
              <w:rPr>
                <w:rFonts w:hint="eastAsia"/>
                <w:color w:val="FF0000"/>
                <w:lang w:val="en-US" w:eastAsia="zh-CN"/>
              </w:rPr>
              <w:t>和一座240</w:t>
            </w:r>
            <w:r>
              <w:rPr>
                <w:color w:val="FF0000"/>
              </w:rPr>
              <w:t>m</w:t>
            </w:r>
            <w:r>
              <w:rPr>
                <w:color w:val="FF0000"/>
                <w:vertAlign w:val="superscript"/>
              </w:rPr>
              <w:t>3</w:t>
            </w:r>
            <w:r>
              <w:rPr>
                <w:rFonts w:hint="eastAsia"/>
                <w:color w:val="FF0000"/>
                <w:lang w:val="en-US" w:eastAsia="zh-CN"/>
              </w:rPr>
              <w:t>初期雨水</w:t>
            </w:r>
            <w:r>
              <w:rPr>
                <w:color w:val="FF0000"/>
              </w:rPr>
              <w:t>池</w:t>
            </w:r>
            <w:r>
              <w:rPr>
                <w:rFonts w:hint="eastAsia"/>
                <w:color w:val="FF0000"/>
                <w:lang w:eastAsia="zh-CN"/>
              </w:rPr>
              <w:t>，</w:t>
            </w:r>
            <w:r>
              <w:rPr>
                <w:rFonts w:hint="eastAsia" w:ascii="Times New Roman" w:hAnsi="Times New Roman" w:eastAsia="宋体" w:cs="Times New Roman"/>
                <w:color w:val="FF0000"/>
                <w:lang w:val="en-US" w:eastAsia="zh-CN"/>
              </w:rPr>
              <w:t>初期雨水池兼用事故应急池，总容积410m</w:t>
            </w:r>
            <w:r>
              <w:rPr>
                <w:rFonts w:hint="eastAsia" w:ascii="Times New Roman" w:hAnsi="Times New Roman" w:eastAsia="宋体" w:cs="Times New Roman"/>
                <w:color w:val="FF0000"/>
                <w:vertAlign w:val="superscript"/>
                <w:lang w:val="en-US" w:eastAsia="zh-CN"/>
              </w:rPr>
              <w:t>3</w:t>
            </w:r>
            <w:r>
              <w:rPr>
                <w:rFonts w:hint="eastAsia" w:ascii="Times New Roman" w:hAnsi="Times New Roman" w:eastAsia="宋体" w:cs="Times New Roman"/>
                <w:color w:val="FF0000"/>
                <w:lang w:val="en-US" w:eastAsia="zh-CN"/>
              </w:rPr>
              <w:t>可满足评估条件下单次最大事故废水收集需求。</w:t>
            </w:r>
          </w:p>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发生突发环境事故时，雨水及污水排放口的截留阀门关闭，消防废水通过雨水管网自流进入雨水管网，待事故处理完毕后，对水质进行检测，收集的事故废水经检测满足污水排放要求时，通过污水泵排入污水处理厂；若不能满足排放标准时，则委托有处置能力的单位处置。</w:t>
            </w:r>
          </w:p>
          <w:p>
            <w:pPr>
              <w:tabs>
                <w:tab w:val="left" w:pos="7215"/>
              </w:tabs>
              <w:adjustRightInd w:val="0"/>
              <w:snapToGrid w:val="0"/>
              <w:spacing w:line="360" w:lineRule="auto"/>
              <w:ind w:firstLine="420" w:firstLineChars="200"/>
              <w:rPr>
                <w:b/>
                <w:bCs/>
                <w:color w:val="auto"/>
                <w:sz w:val="21"/>
                <w:szCs w:val="21"/>
              </w:rPr>
            </w:pPr>
            <w:r>
              <w:rPr>
                <w:rFonts w:hint="eastAsia" w:ascii="Times New Roman" w:hAnsi="Times New Roman" w:eastAsia="宋体" w:cs="Times New Roman"/>
              </w:rPr>
              <w:t>本项目防止事故废水进入外环境的控制、封堵系统，详见图4-</w:t>
            </w:r>
            <w:r>
              <w:rPr>
                <w:rFonts w:hint="eastAsia" w:cs="Times New Roman"/>
                <w:lang w:val="en-US" w:eastAsia="zh-CN"/>
              </w:rPr>
              <w:t>9</w:t>
            </w:r>
            <w:r>
              <w:rPr>
                <w:rFonts w:hint="eastAsia" w:ascii="Times New Roman" w:hAnsi="Times New Roman" w:eastAsia="宋体" w:cs="Times New Roman"/>
              </w:rPr>
              <w:t>。</w:t>
            </w:r>
          </w:p>
          <w:p>
            <w:pPr>
              <w:adjustRightInd w:val="0"/>
              <w:snapToGrid w:val="0"/>
              <w:spacing w:line="360" w:lineRule="auto"/>
              <w:jc w:val="both"/>
              <w:rPr>
                <w:b/>
                <w:bCs/>
                <w:color w:val="auto"/>
                <w:sz w:val="21"/>
                <w:szCs w:val="21"/>
              </w:rPr>
            </w:pPr>
            <w:r>
              <w:rPr>
                <w:rFonts w:hint="default" w:ascii="Times New Roman" w:hAnsi="Times New Roman" w:cs="Times New Roman"/>
                <w:b/>
                <w:bCs/>
                <w:color w:val="FF0000"/>
                <w:sz w:val="24"/>
                <w:highlight w:val="none"/>
              </w:rPr>
              <w:object>
                <v:shape id="_x0000_i1029" o:spt="75" type="#_x0000_t75" style="height:154.8pt;width:415.2pt;" o:ole="t" filled="f" o:preferrelative="t" stroked="f" coordsize="21600,21600">
                  <v:path/>
                  <v:fill on="f" focussize="0,0"/>
                  <v:stroke on="f"/>
                  <v:imagedata r:id="rId48" o:title=""/>
                  <o:lock v:ext="edit" aspectratio="f"/>
                  <w10:wrap type="none"/>
                  <w10:anchorlock/>
                </v:shape>
                <o:OLEObject Type="Embed" ProgID="Visio.Drawing.15" ShapeID="_x0000_i1029" DrawAspect="Content" ObjectID="_1468075733" r:id="rId47">
                  <o:LockedField>false</o:LockedField>
                </o:OLEObject>
              </w:object>
            </w:r>
          </w:p>
          <w:p>
            <w:pPr>
              <w:adjustRightInd w:val="0"/>
              <w:snapToGrid w:val="0"/>
              <w:spacing w:line="360" w:lineRule="auto"/>
              <w:ind w:firstLine="422" w:firstLineChars="200"/>
              <w:jc w:val="center"/>
              <w:rPr>
                <w:color w:val="auto"/>
                <w:sz w:val="21"/>
                <w:szCs w:val="21"/>
              </w:rPr>
            </w:pPr>
            <w:r>
              <w:rPr>
                <w:b/>
                <w:bCs/>
                <w:color w:val="auto"/>
                <w:sz w:val="21"/>
                <w:szCs w:val="21"/>
              </w:rPr>
              <w:t>图4-</w:t>
            </w:r>
            <w:r>
              <w:rPr>
                <w:rFonts w:hint="eastAsia"/>
                <w:b/>
                <w:bCs/>
                <w:color w:val="auto"/>
                <w:sz w:val="21"/>
                <w:szCs w:val="21"/>
                <w:lang w:val="en-US" w:eastAsia="zh-CN"/>
              </w:rPr>
              <w:t>9</w:t>
            </w:r>
            <w:r>
              <w:rPr>
                <w:b/>
                <w:bCs/>
                <w:color w:val="auto"/>
                <w:sz w:val="21"/>
                <w:szCs w:val="21"/>
              </w:rPr>
              <w:t xml:space="preserve">  防止事故废水进入外环境的控制、封堵系统图</w:t>
            </w:r>
          </w:p>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废水收集流程说明：</w:t>
            </w:r>
          </w:p>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事故状态下，及时关闭雨水排口阀门，将事故废水控制在厂区范围，将雨水管网中的废水收集至应急池，事后根据废水检测结果，满足接管要求的，泵入污水管网，接管至</w:t>
            </w:r>
            <w:r>
              <w:rPr>
                <w:rFonts w:hint="eastAsia" w:ascii="Times New Roman" w:hAnsi="Times New Roman" w:eastAsia="宋体" w:cs="Times New Roman"/>
                <w:lang w:val="en-US" w:eastAsia="zh-CN"/>
              </w:rPr>
              <w:t>如皋市九华镇污水处理厂</w:t>
            </w:r>
            <w:r>
              <w:rPr>
                <w:rFonts w:hint="eastAsia" w:ascii="Times New Roman" w:hAnsi="Times New Roman" w:eastAsia="宋体" w:cs="Times New Roman"/>
              </w:rPr>
              <w:t>，不满足接管要求的，清运至有处理能力的污水处理厂。</w:t>
            </w:r>
          </w:p>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采取以上针对废水事故排放的防范和控制措施后，发生周围地表水污染事故的可能性极小，可为当地环境所接受，风险防范措施有效。</w:t>
            </w:r>
          </w:p>
          <w:bookmarkEnd w:id="30"/>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lang w:val="en-US" w:eastAsia="zh-CN"/>
              </w:rPr>
              <w:t>⑥</w:t>
            </w:r>
            <w:r>
              <w:rPr>
                <w:rFonts w:hint="eastAsia" w:ascii="Times New Roman" w:hAnsi="Times New Roman" w:eastAsia="宋体" w:cs="Times New Roman"/>
              </w:rPr>
              <w:t>雨水风险防控措施</w:t>
            </w:r>
          </w:p>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本项目依托</w:t>
            </w:r>
            <w:r>
              <w:rPr>
                <w:rFonts w:hint="eastAsia" w:ascii="Times New Roman" w:hAnsi="Times New Roman" w:eastAsia="宋体" w:cs="Times New Roman"/>
                <w:lang w:val="en-US" w:eastAsia="zh-CN"/>
              </w:rPr>
              <w:t>华胜厂区</w:t>
            </w:r>
            <w:r>
              <w:rPr>
                <w:rFonts w:hint="eastAsia" w:ascii="Times New Roman" w:hAnsi="Times New Roman" w:eastAsia="宋体" w:cs="Times New Roman"/>
              </w:rPr>
              <w:t>现有的雨水管网，初期雨水经雨水管网收集后排入初期雨水池内，经厂区污水处理站处理后接管排放，后期雨水经园区雨水管网就近排入</w:t>
            </w:r>
            <w:r>
              <w:rPr>
                <w:rFonts w:hint="eastAsia" w:cs="Times New Roman"/>
                <w:lang w:val="en-US" w:eastAsia="zh-CN"/>
              </w:rPr>
              <w:t>西侧小河</w:t>
            </w:r>
            <w:r>
              <w:rPr>
                <w:rFonts w:hint="eastAsia" w:ascii="Times New Roman" w:hAnsi="Times New Roman" w:eastAsia="宋体" w:cs="Times New Roman"/>
              </w:rPr>
              <w:t>，雨水排口依托</w:t>
            </w:r>
            <w:r>
              <w:rPr>
                <w:rFonts w:hint="eastAsia" w:ascii="Times New Roman" w:hAnsi="Times New Roman" w:eastAsia="宋体" w:cs="Times New Roman"/>
                <w:lang w:val="en-US" w:eastAsia="zh-CN"/>
              </w:rPr>
              <w:t>华胜</w:t>
            </w:r>
            <w:r>
              <w:rPr>
                <w:rFonts w:hint="eastAsia" w:ascii="Times New Roman" w:hAnsi="Times New Roman" w:eastAsia="宋体" w:cs="Times New Roman"/>
              </w:rPr>
              <w:t>厂区现有雨水排口，不新增雨水排口。雨水排口配套设置了监控系统和关闭设施，配备专人管理。</w:t>
            </w:r>
          </w:p>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对照《江苏省重点行业工业企业雨水排放环境管理办法（试行）》（苏污防攻坚指办[2023]71号），</w:t>
            </w:r>
          </w:p>
          <w:p>
            <w:pPr>
              <w:tabs>
                <w:tab w:val="left" w:pos="7215"/>
              </w:tabs>
              <w:adjustRightInd w:val="0"/>
              <w:snapToGrid w:val="0"/>
              <w:spacing w:line="360" w:lineRule="auto"/>
              <w:ind w:firstLine="420" w:firstLineChars="200"/>
              <w:rPr>
                <w:rFonts w:hint="eastAsia" w:ascii="Times New Roman" w:hAnsi="Times New Roman" w:eastAsia="宋体" w:cs="Times New Roman"/>
              </w:rPr>
            </w:pPr>
            <w:r>
              <w:rPr>
                <w:rFonts w:hint="eastAsia" w:ascii="Times New Roman" w:hAnsi="Times New Roman" w:eastAsia="宋体" w:cs="Times New Roman"/>
              </w:rPr>
              <w:t>雨水收集池同时兼顾事故应急池的作用时，池内容积应同时具备事故状况下的收集功能，满足事故应急预案中的相关要求。事故应急池内应增加液位计，实时监控池内液位，初期雨水收集进入应急池后能迅速通过提升泵转至污水处理系统，确保应急池保持常空状态；同时应设置手动阀作为备用，确保在突发暴雨同时发生事故等极端情况下，即使断电也能采取手动方式实现应急池阀门和雨排阀的有效切换。</w:t>
            </w:r>
          </w:p>
          <w:p>
            <w:pPr>
              <w:tabs>
                <w:tab w:val="left" w:pos="7215"/>
              </w:tabs>
              <w:adjustRightInd w:val="0"/>
              <w:snapToGrid w:val="0"/>
              <w:spacing w:line="360" w:lineRule="auto"/>
              <w:ind w:firstLine="420" w:firstLineChars="200"/>
              <w:rPr>
                <w:rFonts w:hint="eastAsia"/>
                <w:bCs w:val="0"/>
                <w:sz w:val="21"/>
                <w:szCs w:val="21"/>
              </w:rPr>
            </w:pPr>
            <w:r>
              <w:rPr>
                <w:rFonts w:hint="eastAsia" w:ascii="Times New Roman" w:hAnsi="Times New Roman" w:eastAsia="宋体" w:cs="Times New Roman"/>
              </w:rPr>
              <w:t>本项目初期雨水池</w:t>
            </w:r>
            <w:r>
              <w:rPr>
                <w:rFonts w:hint="eastAsia" w:ascii="Times New Roman" w:hAnsi="Times New Roman" w:eastAsia="宋体" w:cs="Times New Roman"/>
                <w:lang w:val="en-US" w:eastAsia="zh-CN"/>
              </w:rPr>
              <w:t>兼用</w:t>
            </w:r>
            <w:r>
              <w:rPr>
                <w:rFonts w:hint="eastAsia" w:ascii="Times New Roman" w:hAnsi="Times New Roman" w:eastAsia="宋体" w:cs="Times New Roman"/>
              </w:rPr>
              <w:t>事故应急池，</w:t>
            </w:r>
            <w:r>
              <w:rPr>
                <w:rFonts w:hint="eastAsia" w:ascii="Times New Roman" w:hAnsi="Times New Roman" w:eastAsia="宋体" w:cs="Times New Roman"/>
                <w:lang w:val="en-US" w:eastAsia="zh-CN"/>
              </w:rPr>
              <w:t>初期雨水池</w:t>
            </w:r>
            <w:r>
              <w:rPr>
                <w:rFonts w:hint="eastAsia" w:ascii="Times New Roman" w:hAnsi="Times New Roman" w:eastAsia="宋体" w:cs="Times New Roman"/>
              </w:rPr>
              <w:t>内已设液位计，实时监控池内液位</w:t>
            </w:r>
            <w:r>
              <w:rPr>
                <w:rFonts w:hint="eastAsia" w:ascii="Times New Roman" w:hAnsi="Times New Roman" w:eastAsia="宋体" w:cs="Times New Roman"/>
                <w:lang w:val="en-US" w:eastAsia="zh-CN"/>
              </w:rPr>
              <w:t>；初期雨水池作事故池兼用时，已设置提升泵，迅速将污水</w:t>
            </w:r>
            <w:r>
              <w:rPr>
                <w:rFonts w:hint="eastAsia" w:ascii="Times New Roman" w:hAnsi="Times New Roman" w:eastAsia="宋体" w:cs="Times New Roman"/>
              </w:rPr>
              <w:t>转至污水处理系统</w:t>
            </w:r>
            <w:r>
              <w:rPr>
                <w:rFonts w:hint="eastAsia" w:ascii="Times New Roman" w:hAnsi="Times New Roman" w:eastAsia="宋体" w:cs="Times New Roman"/>
                <w:lang w:eastAsia="zh-CN"/>
              </w:rPr>
              <w:t>；</w:t>
            </w:r>
            <w:r>
              <w:rPr>
                <w:rFonts w:hint="eastAsia" w:ascii="Times New Roman" w:hAnsi="Times New Roman" w:eastAsia="宋体" w:cs="Times New Roman"/>
              </w:rPr>
              <w:t>同时</w:t>
            </w:r>
            <w:r>
              <w:rPr>
                <w:rFonts w:hint="eastAsia" w:ascii="Times New Roman" w:hAnsi="Times New Roman" w:eastAsia="宋体" w:cs="Times New Roman"/>
                <w:lang w:val="en-US" w:eastAsia="zh-CN"/>
              </w:rPr>
              <w:t>已</w:t>
            </w:r>
            <w:r>
              <w:rPr>
                <w:rFonts w:hint="eastAsia" w:ascii="Times New Roman" w:hAnsi="Times New Roman" w:eastAsia="宋体" w:cs="Times New Roman"/>
              </w:rPr>
              <w:t>设置手动阀，在突发暴雨同时发生事故等极端情况下，即使断电也能采取手动方式实现应急池阀门和雨排阀的有效切换。</w:t>
            </w:r>
          </w:p>
          <w:p>
            <w:pPr>
              <w:spacing w:line="360" w:lineRule="auto"/>
              <w:ind w:firstLine="422" w:firstLineChars="200"/>
              <w:contextualSpacing/>
              <w:rPr>
                <w:rFonts w:hint="eastAsia"/>
                <w:b/>
                <w:bCs/>
              </w:rPr>
            </w:pPr>
            <w:r>
              <w:rPr>
                <w:rFonts w:hint="eastAsia"/>
                <w:b/>
                <w:bCs/>
              </w:rPr>
              <w:t>（6）与苏环发〔2023〕5号相符性分析</w:t>
            </w:r>
          </w:p>
          <w:p>
            <w:pPr>
              <w:tabs>
                <w:tab w:val="left" w:pos="7215"/>
              </w:tabs>
              <w:adjustRightInd w:val="0"/>
              <w:snapToGrid w:val="0"/>
              <w:spacing w:line="360" w:lineRule="auto"/>
              <w:ind w:firstLine="420" w:firstLineChars="200"/>
              <w:rPr>
                <w:b w:val="0"/>
                <w:sz w:val="21"/>
                <w:szCs w:val="21"/>
              </w:rPr>
            </w:pPr>
            <w:r>
              <w:rPr>
                <w:rFonts w:hint="eastAsia"/>
                <w:b w:val="0"/>
                <w:sz w:val="21"/>
                <w:szCs w:val="21"/>
              </w:rPr>
              <w:t>根据《全省生态环境安全与应急管理“强基提能”三年行动计划》（苏环发〔2023〕5号），结合环境风险等级，本项目可开展简单分析。建设单位需响应号召，有效提升本质环境安全水平。推动环境安全主体责任落实，建立“三落实三必须”机制；推动环评和预案质量提升，建设项目内容做到环境风险识别、典型事故情形、风险防范措施、应急管理制度和竣工验收内容“五个明确”，项目建成后将及时编制应急预案并备案；推动环境应急基础设计建设，构筑企业“风险单元-管网、应急池-厂界”的突发水污染事件“三道防线”；强化常态化隐患排查治理；落实“一图两单两卡”。</w:t>
            </w:r>
          </w:p>
          <w:p>
            <w:pPr>
              <w:spacing w:line="360" w:lineRule="auto"/>
              <w:ind w:firstLine="422" w:firstLineChars="200"/>
              <w:contextualSpacing/>
              <w:rPr>
                <w:rFonts w:hint="eastAsia"/>
                <w:b/>
                <w:bCs/>
              </w:rPr>
            </w:pPr>
            <w:r>
              <w:rPr>
                <w:rFonts w:hint="eastAsia"/>
                <w:b/>
                <w:bCs/>
                <w:lang w:eastAsia="zh-CN"/>
              </w:rPr>
              <w:t>（</w:t>
            </w:r>
            <w:r>
              <w:rPr>
                <w:rFonts w:hint="eastAsia"/>
                <w:b/>
                <w:bCs/>
                <w:lang w:val="en-US" w:eastAsia="zh-CN"/>
              </w:rPr>
              <w:t>7</w:t>
            </w:r>
            <w:r>
              <w:rPr>
                <w:rFonts w:hint="eastAsia"/>
                <w:b/>
                <w:bCs/>
                <w:lang w:eastAsia="zh-CN"/>
              </w:rPr>
              <w:t>）</w:t>
            </w:r>
            <w:r>
              <w:rPr>
                <w:rFonts w:hint="eastAsia"/>
                <w:b/>
                <w:bCs/>
              </w:rPr>
              <w:t>本项目风险环境简单分析内容表</w:t>
            </w:r>
          </w:p>
          <w:p>
            <w:pPr>
              <w:ind w:firstLine="482"/>
              <w:jc w:val="center"/>
              <w:rPr>
                <w:b/>
                <w:bCs/>
                <w:kern w:val="44"/>
                <w:sz w:val="21"/>
                <w:szCs w:val="21"/>
              </w:rPr>
            </w:pPr>
            <w:r>
              <w:rPr>
                <w:b/>
                <w:bCs/>
                <w:kern w:val="44"/>
                <w:sz w:val="21"/>
                <w:szCs w:val="21"/>
              </w:rPr>
              <w:t>表4-</w:t>
            </w:r>
            <w:r>
              <w:rPr>
                <w:rFonts w:hint="eastAsia"/>
                <w:b/>
                <w:bCs/>
                <w:kern w:val="44"/>
                <w:sz w:val="21"/>
                <w:szCs w:val="21"/>
                <w:lang w:val="en-US" w:eastAsia="zh-CN"/>
              </w:rPr>
              <w:t>36</w:t>
            </w:r>
            <w:r>
              <w:rPr>
                <w:b/>
                <w:bCs/>
                <w:kern w:val="44"/>
                <w:sz w:val="21"/>
                <w:szCs w:val="21"/>
              </w:rPr>
              <w:t xml:space="preserve">  本项目环境风险简单分析内容表</w:t>
            </w:r>
          </w:p>
          <w:tbl>
            <w:tblPr>
              <w:tblStyle w:val="9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231"/>
              <w:gridCol w:w="1569"/>
              <w:gridCol w:w="1697"/>
              <w:gridCol w:w="2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tcBorders>
                    <w:top w:val="single" w:color="auto" w:sz="12" w:space="0"/>
                    <w:left w:val="nil"/>
                    <w:bottom w:val="single" w:color="auto" w:sz="4" w:space="0"/>
                    <w:right w:val="single" w:color="auto" w:sz="4" w:space="0"/>
                  </w:tcBorders>
                  <w:noWrap w:val="0"/>
                  <w:vAlign w:val="center"/>
                </w:tcPr>
                <w:p>
                  <w:pPr>
                    <w:pStyle w:val="4079"/>
                    <w:adjustRightInd w:val="0"/>
                    <w:snapToGrid w:val="0"/>
                    <w:spacing w:line="240" w:lineRule="auto"/>
                    <w:ind w:firstLine="0"/>
                    <w:jc w:val="center"/>
                    <w:rPr>
                      <w:b/>
                      <w:sz w:val="20"/>
                      <w:szCs w:val="20"/>
                    </w:rPr>
                  </w:pPr>
                  <w:r>
                    <w:rPr>
                      <w:b/>
                      <w:sz w:val="20"/>
                      <w:szCs w:val="20"/>
                    </w:rPr>
                    <w:t>建设项目名称</w:t>
                  </w:r>
                </w:p>
              </w:tc>
              <w:tc>
                <w:tcPr>
                  <w:tcW w:w="4138" w:type="pct"/>
                  <w:gridSpan w:val="4"/>
                  <w:tcBorders>
                    <w:top w:val="single" w:color="auto" w:sz="12" w:space="0"/>
                    <w:left w:val="single" w:color="auto" w:sz="4" w:space="0"/>
                    <w:bottom w:val="single" w:color="auto" w:sz="4" w:space="0"/>
                    <w:right w:val="nil"/>
                  </w:tcBorders>
                  <w:noWrap w:val="0"/>
                  <w:vAlign w:val="center"/>
                </w:tcPr>
                <w:p>
                  <w:pPr>
                    <w:pStyle w:val="4079"/>
                    <w:adjustRightInd w:val="0"/>
                    <w:snapToGrid w:val="0"/>
                    <w:spacing w:line="240" w:lineRule="auto"/>
                    <w:ind w:firstLine="0"/>
                    <w:jc w:val="center"/>
                    <w:rPr>
                      <w:sz w:val="20"/>
                      <w:szCs w:val="20"/>
                    </w:rPr>
                  </w:pPr>
                  <w:r>
                    <w:rPr>
                      <w:rFonts w:hint="eastAsia" w:ascii="Times New Roman" w:hAnsi="Times New Roman" w:eastAsia="宋体" w:cs="Times New Roman"/>
                      <w:sz w:val="20"/>
                      <w:szCs w:val="20"/>
                      <w:lang w:val="en-US" w:eastAsia="zh-CN"/>
                    </w:rPr>
                    <w:t>年加工1000万米文体用布（桌球布）项目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tcBorders>
                    <w:top w:val="single" w:color="auto" w:sz="4" w:space="0"/>
                    <w:left w:val="nil"/>
                    <w:bottom w:val="single" w:color="auto" w:sz="4" w:space="0"/>
                    <w:right w:val="single" w:color="auto" w:sz="4" w:space="0"/>
                  </w:tcBorders>
                  <w:noWrap w:val="0"/>
                  <w:vAlign w:val="center"/>
                </w:tcPr>
                <w:p>
                  <w:pPr>
                    <w:pStyle w:val="4079"/>
                    <w:adjustRightInd w:val="0"/>
                    <w:snapToGrid w:val="0"/>
                    <w:spacing w:line="240" w:lineRule="auto"/>
                    <w:ind w:firstLine="0"/>
                    <w:jc w:val="center"/>
                    <w:rPr>
                      <w:b/>
                      <w:sz w:val="20"/>
                      <w:szCs w:val="20"/>
                    </w:rPr>
                  </w:pPr>
                  <w:r>
                    <w:rPr>
                      <w:b/>
                      <w:sz w:val="20"/>
                      <w:szCs w:val="20"/>
                    </w:rPr>
                    <w:t>建设地点</w:t>
                  </w:r>
                </w:p>
              </w:tc>
              <w:tc>
                <w:tcPr>
                  <w:tcW w:w="731" w:type="pct"/>
                  <w:tcBorders>
                    <w:top w:val="single" w:color="auto" w:sz="4" w:space="0"/>
                    <w:left w:val="single" w:color="auto" w:sz="4" w:space="0"/>
                    <w:bottom w:val="single" w:color="auto" w:sz="4" w:space="0"/>
                    <w:right w:val="single" w:color="auto" w:sz="4" w:space="0"/>
                  </w:tcBorders>
                  <w:noWrap w:val="0"/>
                  <w:vAlign w:val="center"/>
                </w:tcPr>
                <w:p>
                  <w:pPr>
                    <w:pStyle w:val="4079"/>
                    <w:adjustRightInd w:val="0"/>
                    <w:snapToGrid w:val="0"/>
                    <w:spacing w:line="240" w:lineRule="auto"/>
                    <w:ind w:firstLine="0"/>
                    <w:jc w:val="center"/>
                    <w:rPr>
                      <w:sz w:val="20"/>
                      <w:szCs w:val="20"/>
                    </w:rPr>
                  </w:pPr>
                  <w:r>
                    <w:rPr>
                      <w:sz w:val="20"/>
                      <w:szCs w:val="20"/>
                    </w:rPr>
                    <w:t>（江苏）省</w:t>
                  </w:r>
                </w:p>
              </w:tc>
              <w:tc>
                <w:tcPr>
                  <w:tcW w:w="931" w:type="pct"/>
                  <w:tcBorders>
                    <w:top w:val="single" w:color="auto" w:sz="4" w:space="0"/>
                    <w:left w:val="single" w:color="auto" w:sz="4" w:space="0"/>
                    <w:bottom w:val="single" w:color="auto" w:sz="4" w:space="0"/>
                    <w:right w:val="single" w:color="auto" w:sz="4" w:space="0"/>
                  </w:tcBorders>
                  <w:noWrap w:val="0"/>
                  <w:vAlign w:val="center"/>
                </w:tcPr>
                <w:p>
                  <w:pPr>
                    <w:pStyle w:val="4079"/>
                    <w:adjustRightInd w:val="0"/>
                    <w:snapToGrid w:val="0"/>
                    <w:spacing w:line="240" w:lineRule="auto"/>
                    <w:ind w:firstLine="0"/>
                    <w:jc w:val="center"/>
                    <w:rPr>
                      <w:sz w:val="20"/>
                      <w:szCs w:val="20"/>
                    </w:rPr>
                  </w:pPr>
                  <w:r>
                    <w:rPr>
                      <w:sz w:val="20"/>
                      <w:szCs w:val="20"/>
                    </w:rPr>
                    <w:t>（南通）市</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pStyle w:val="4079"/>
                    <w:adjustRightInd w:val="0"/>
                    <w:snapToGrid w:val="0"/>
                    <w:spacing w:line="240" w:lineRule="auto"/>
                    <w:ind w:firstLine="0"/>
                    <w:jc w:val="center"/>
                    <w:rPr>
                      <w:sz w:val="20"/>
                      <w:szCs w:val="20"/>
                    </w:rPr>
                  </w:pPr>
                  <w:r>
                    <w:rPr>
                      <w:sz w:val="20"/>
                      <w:szCs w:val="20"/>
                    </w:rPr>
                    <w:t>（</w:t>
                  </w:r>
                  <w:r>
                    <w:rPr>
                      <w:rFonts w:hint="eastAsia"/>
                      <w:sz w:val="20"/>
                      <w:szCs w:val="20"/>
                      <w:lang w:val="en-US" w:eastAsia="zh-CN"/>
                    </w:rPr>
                    <w:t>如皋</w:t>
                  </w:r>
                  <w:r>
                    <w:rPr>
                      <w:sz w:val="20"/>
                      <w:szCs w:val="20"/>
                    </w:rPr>
                    <w:t>）市</w:t>
                  </w:r>
                </w:p>
              </w:tc>
              <w:tc>
                <w:tcPr>
                  <w:tcW w:w="1467" w:type="pct"/>
                  <w:tcBorders>
                    <w:top w:val="single" w:color="auto" w:sz="4" w:space="0"/>
                    <w:left w:val="single" w:color="auto" w:sz="4" w:space="0"/>
                    <w:bottom w:val="single" w:color="auto" w:sz="4" w:space="0"/>
                    <w:right w:val="nil"/>
                  </w:tcBorders>
                  <w:noWrap w:val="0"/>
                  <w:vAlign w:val="center"/>
                </w:tcPr>
                <w:p>
                  <w:pPr>
                    <w:pStyle w:val="4079"/>
                    <w:adjustRightInd w:val="0"/>
                    <w:snapToGrid w:val="0"/>
                    <w:spacing w:line="240" w:lineRule="auto"/>
                    <w:ind w:firstLine="0"/>
                    <w:jc w:val="center"/>
                    <w:rPr>
                      <w:rFonts w:hint="default" w:eastAsia="宋体"/>
                      <w:sz w:val="20"/>
                      <w:szCs w:val="20"/>
                      <w:lang w:val="en-US" w:eastAsia="zh-CN"/>
                    </w:rPr>
                  </w:pPr>
                  <w:r>
                    <w:rPr>
                      <w:rFonts w:hint="eastAsia"/>
                      <w:sz w:val="20"/>
                      <w:szCs w:val="20"/>
                      <w:lang w:val="en-US" w:eastAsia="zh-CN"/>
                    </w:rPr>
                    <w:t>九华镇马桥村18组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tcBorders>
                    <w:top w:val="single" w:color="auto" w:sz="4" w:space="0"/>
                    <w:left w:val="nil"/>
                    <w:bottom w:val="single" w:color="auto" w:sz="4" w:space="0"/>
                    <w:right w:val="single" w:color="auto" w:sz="4" w:space="0"/>
                  </w:tcBorders>
                  <w:noWrap w:val="0"/>
                  <w:vAlign w:val="center"/>
                </w:tcPr>
                <w:p>
                  <w:pPr>
                    <w:pStyle w:val="4079"/>
                    <w:adjustRightInd w:val="0"/>
                    <w:snapToGrid w:val="0"/>
                    <w:spacing w:line="240" w:lineRule="auto"/>
                    <w:ind w:firstLine="0"/>
                    <w:jc w:val="center"/>
                    <w:rPr>
                      <w:b/>
                      <w:sz w:val="20"/>
                      <w:szCs w:val="20"/>
                    </w:rPr>
                  </w:pPr>
                  <w:r>
                    <w:rPr>
                      <w:b/>
                      <w:sz w:val="20"/>
                      <w:szCs w:val="20"/>
                    </w:rPr>
                    <w:t>地理坐标</w:t>
                  </w:r>
                </w:p>
              </w:tc>
              <w:tc>
                <w:tcPr>
                  <w:tcW w:w="731" w:type="pct"/>
                  <w:tcBorders>
                    <w:top w:val="single" w:color="auto" w:sz="4" w:space="0"/>
                    <w:left w:val="single" w:color="auto" w:sz="4" w:space="0"/>
                    <w:bottom w:val="single" w:color="auto" w:sz="4" w:space="0"/>
                    <w:right w:val="single" w:color="auto" w:sz="4" w:space="0"/>
                  </w:tcBorders>
                  <w:noWrap w:val="0"/>
                  <w:vAlign w:val="center"/>
                </w:tcPr>
                <w:p>
                  <w:pPr>
                    <w:pStyle w:val="4079"/>
                    <w:adjustRightInd w:val="0"/>
                    <w:snapToGrid w:val="0"/>
                    <w:spacing w:line="240" w:lineRule="auto"/>
                    <w:ind w:firstLine="0"/>
                    <w:jc w:val="center"/>
                    <w:rPr>
                      <w:sz w:val="20"/>
                      <w:szCs w:val="20"/>
                    </w:rPr>
                  </w:pPr>
                  <w:r>
                    <w:rPr>
                      <w:sz w:val="20"/>
                      <w:szCs w:val="20"/>
                    </w:rPr>
                    <w:t>经度</w:t>
                  </w:r>
                </w:p>
              </w:tc>
              <w:tc>
                <w:tcPr>
                  <w:tcW w:w="931" w:type="pct"/>
                  <w:tcBorders>
                    <w:top w:val="single" w:color="auto" w:sz="4" w:space="0"/>
                    <w:left w:val="single" w:color="auto" w:sz="4" w:space="0"/>
                    <w:bottom w:val="single" w:color="auto" w:sz="4" w:space="0"/>
                    <w:right w:val="single" w:color="auto" w:sz="4" w:space="0"/>
                  </w:tcBorders>
                  <w:noWrap w:val="0"/>
                  <w:vAlign w:val="center"/>
                </w:tcPr>
                <w:p>
                  <w:pPr>
                    <w:pStyle w:val="4079"/>
                    <w:adjustRightInd w:val="0"/>
                    <w:snapToGrid w:val="0"/>
                    <w:spacing w:line="240" w:lineRule="auto"/>
                    <w:ind w:firstLine="0"/>
                    <w:jc w:val="center"/>
                    <w:rPr>
                      <w:sz w:val="20"/>
                      <w:szCs w:val="20"/>
                    </w:rPr>
                  </w:pPr>
                  <w:r>
                    <w:rPr>
                      <w:sz w:val="20"/>
                      <w:szCs w:val="20"/>
                    </w:rPr>
                    <w:t>120°</w:t>
                  </w:r>
                  <w:r>
                    <w:rPr>
                      <w:rFonts w:hint="eastAsia"/>
                      <w:sz w:val="20"/>
                      <w:szCs w:val="20"/>
                      <w:lang w:val="en-US" w:eastAsia="zh-CN"/>
                    </w:rPr>
                    <w:t>39</w:t>
                  </w:r>
                  <w:r>
                    <w:rPr>
                      <w:sz w:val="20"/>
                      <w:szCs w:val="20"/>
                    </w:rPr>
                    <w:t>′</w:t>
                  </w:r>
                  <w:r>
                    <w:rPr>
                      <w:rFonts w:hint="eastAsia"/>
                      <w:sz w:val="20"/>
                      <w:szCs w:val="20"/>
                      <w:lang w:val="en-US" w:eastAsia="zh-CN"/>
                    </w:rPr>
                    <w:t>12.838</w:t>
                  </w:r>
                  <w:r>
                    <w:rPr>
                      <w:sz w:val="20"/>
                      <w:szCs w:val="20"/>
                    </w:rPr>
                    <w:t>″</w:t>
                  </w:r>
                </w:p>
              </w:tc>
              <w:tc>
                <w:tcPr>
                  <w:tcW w:w="1007" w:type="pct"/>
                  <w:tcBorders>
                    <w:top w:val="single" w:color="auto" w:sz="4" w:space="0"/>
                    <w:left w:val="single" w:color="auto" w:sz="4" w:space="0"/>
                    <w:bottom w:val="single" w:color="auto" w:sz="4" w:space="0"/>
                    <w:right w:val="single" w:color="auto" w:sz="4" w:space="0"/>
                  </w:tcBorders>
                  <w:noWrap w:val="0"/>
                  <w:vAlign w:val="center"/>
                </w:tcPr>
                <w:p>
                  <w:pPr>
                    <w:pStyle w:val="4079"/>
                    <w:adjustRightInd w:val="0"/>
                    <w:snapToGrid w:val="0"/>
                    <w:spacing w:line="240" w:lineRule="auto"/>
                    <w:ind w:firstLine="0"/>
                    <w:jc w:val="center"/>
                    <w:rPr>
                      <w:sz w:val="20"/>
                      <w:szCs w:val="20"/>
                    </w:rPr>
                  </w:pPr>
                  <w:r>
                    <w:rPr>
                      <w:sz w:val="20"/>
                      <w:szCs w:val="20"/>
                    </w:rPr>
                    <w:t>纬度</w:t>
                  </w:r>
                </w:p>
              </w:tc>
              <w:tc>
                <w:tcPr>
                  <w:tcW w:w="1467" w:type="pct"/>
                  <w:tcBorders>
                    <w:top w:val="single" w:color="auto" w:sz="4" w:space="0"/>
                    <w:left w:val="single" w:color="auto" w:sz="4" w:space="0"/>
                    <w:bottom w:val="single" w:color="auto" w:sz="4" w:space="0"/>
                    <w:right w:val="nil"/>
                  </w:tcBorders>
                  <w:noWrap w:val="0"/>
                  <w:vAlign w:val="center"/>
                </w:tcPr>
                <w:p>
                  <w:pPr>
                    <w:pStyle w:val="4079"/>
                    <w:adjustRightInd w:val="0"/>
                    <w:snapToGrid w:val="0"/>
                    <w:spacing w:line="240" w:lineRule="auto"/>
                    <w:ind w:firstLine="0"/>
                    <w:jc w:val="center"/>
                    <w:rPr>
                      <w:sz w:val="20"/>
                      <w:szCs w:val="20"/>
                    </w:rPr>
                  </w:pPr>
                  <w:r>
                    <w:rPr>
                      <w:sz w:val="20"/>
                      <w:szCs w:val="20"/>
                    </w:rPr>
                    <w:t>3</w:t>
                  </w:r>
                  <w:r>
                    <w:rPr>
                      <w:rFonts w:hint="eastAsia"/>
                      <w:sz w:val="20"/>
                      <w:szCs w:val="20"/>
                      <w:lang w:val="en-US" w:eastAsia="zh-CN"/>
                    </w:rPr>
                    <w:t>2</w:t>
                  </w:r>
                  <w:r>
                    <w:rPr>
                      <w:sz w:val="20"/>
                      <w:szCs w:val="20"/>
                    </w:rPr>
                    <w:t>°</w:t>
                  </w:r>
                  <w:r>
                    <w:rPr>
                      <w:rFonts w:hint="eastAsia"/>
                      <w:sz w:val="20"/>
                      <w:szCs w:val="20"/>
                      <w:lang w:val="en-US" w:eastAsia="zh-CN"/>
                    </w:rPr>
                    <w:t>8</w:t>
                  </w:r>
                  <w:r>
                    <w:rPr>
                      <w:sz w:val="20"/>
                      <w:szCs w:val="20"/>
                    </w:rPr>
                    <w:t>′</w:t>
                  </w:r>
                  <w:r>
                    <w:rPr>
                      <w:rFonts w:hint="eastAsia"/>
                      <w:sz w:val="20"/>
                      <w:szCs w:val="20"/>
                      <w:lang w:val="en-US" w:eastAsia="zh-CN"/>
                    </w:rPr>
                    <w:t>12.577</w:t>
                  </w:r>
                  <w:r>
                    <w:rPr>
                      <w:sz w:val="20"/>
                      <w:szCs w:val="20"/>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tcBorders>
                    <w:top w:val="single" w:color="auto" w:sz="4" w:space="0"/>
                    <w:left w:val="nil"/>
                    <w:bottom w:val="single" w:color="auto" w:sz="4" w:space="0"/>
                    <w:right w:val="single" w:color="auto" w:sz="4" w:space="0"/>
                  </w:tcBorders>
                  <w:noWrap w:val="0"/>
                  <w:vAlign w:val="center"/>
                </w:tcPr>
                <w:p>
                  <w:pPr>
                    <w:pStyle w:val="4079"/>
                    <w:adjustRightInd w:val="0"/>
                    <w:snapToGrid w:val="0"/>
                    <w:spacing w:line="240" w:lineRule="auto"/>
                    <w:ind w:firstLine="0"/>
                    <w:jc w:val="center"/>
                    <w:rPr>
                      <w:b/>
                      <w:sz w:val="20"/>
                      <w:szCs w:val="20"/>
                    </w:rPr>
                  </w:pPr>
                  <w:r>
                    <w:rPr>
                      <w:b/>
                      <w:sz w:val="20"/>
                      <w:szCs w:val="20"/>
                    </w:rPr>
                    <w:t>主要风险物质及分布</w:t>
                  </w:r>
                </w:p>
              </w:tc>
              <w:tc>
                <w:tcPr>
                  <w:tcW w:w="4138" w:type="pct"/>
                  <w:gridSpan w:val="4"/>
                  <w:tcBorders>
                    <w:top w:val="single" w:color="auto" w:sz="4" w:space="0"/>
                    <w:left w:val="single" w:color="auto" w:sz="4" w:space="0"/>
                    <w:bottom w:val="single" w:color="auto" w:sz="4" w:space="0"/>
                    <w:right w:val="nil"/>
                  </w:tcBorders>
                  <w:noWrap w:val="0"/>
                  <w:vAlign w:val="center"/>
                </w:tcPr>
                <w:p>
                  <w:pPr>
                    <w:adjustRightInd w:val="0"/>
                    <w:snapToGrid w:val="0"/>
                    <w:jc w:val="center"/>
                    <w:rPr>
                      <w:rFonts w:hint="default" w:eastAsia="宋体"/>
                      <w:sz w:val="20"/>
                      <w:szCs w:val="20"/>
                      <w:highlight w:val="yellow"/>
                      <w:lang w:val="en-US" w:eastAsia="zh-CN"/>
                    </w:rPr>
                  </w:pPr>
                  <w:r>
                    <w:rPr>
                      <w:rFonts w:hint="eastAsia"/>
                      <w:sz w:val="20"/>
                      <w:szCs w:val="20"/>
                      <w:lang w:val="en-US" w:eastAsia="zh-CN"/>
                    </w:rPr>
                    <w:t>风险</w:t>
                  </w:r>
                  <w:r>
                    <w:rPr>
                      <w:sz w:val="20"/>
                      <w:szCs w:val="20"/>
                    </w:rPr>
                    <w:t>物质：</w:t>
                  </w:r>
                  <w:r>
                    <w:rPr>
                      <w:rFonts w:hint="eastAsia"/>
                      <w:sz w:val="20"/>
                      <w:szCs w:val="20"/>
                      <w:lang w:val="en-US" w:eastAsia="zh-CN"/>
                    </w:rPr>
                    <w:t>柔软剂、润滑油、导热油、危废</w:t>
                  </w:r>
                  <w:r>
                    <w:rPr>
                      <w:sz w:val="20"/>
                      <w:szCs w:val="20"/>
                    </w:rPr>
                    <w:t>；位置：危废仓库</w:t>
                  </w:r>
                  <w:r>
                    <w:rPr>
                      <w:rFonts w:hint="eastAsia"/>
                      <w:sz w:val="20"/>
                      <w:szCs w:val="20"/>
                    </w:rPr>
                    <w:t>、</w:t>
                  </w:r>
                  <w:r>
                    <w:rPr>
                      <w:rFonts w:hint="eastAsia"/>
                      <w:sz w:val="20"/>
                      <w:szCs w:val="20"/>
                      <w:lang w:val="en-US" w:eastAsia="zh-CN"/>
                    </w:rPr>
                    <w:t>生产车间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tcBorders>
                    <w:top w:val="single" w:color="auto" w:sz="4" w:space="0"/>
                    <w:left w:val="nil"/>
                    <w:bottom w:val="single" w:color="auto" w:sz="4" w:space="0"/>
                    <w:right w:val="single" w:color="auto" w:sz="4" w:space="0"/>
                  </w:tcBorders>
                  <w:noWrap w:val="0"/>
                  <w:vAlign w:val="center"/>
                </w:tcPr>
                <w:p>
                  <w:pPr>
                    <w:pStyle w:val="4079"/>
                    <w:adjustRightInd w:val="0"/>
                    <w:snapToGrid w:val="0"/>
                    <w:spacing w:line="240" w:lineRule="auto"/>
                    <w:ind w:firstLine="0"/>
                    <w:jc w:val="center"/>
                    <w:rPr>
                      <w:b/>
                      <w:sz w:val="20"/>
                      <w:szCs w:val="20"/>
                    </w:rPr>
                  </w:pPr>
                  <w:r>
                    <w:rPr>
                      <w:b/>
                      <w:sz w:val="20"/>
                      <w:szCs w:val="20"/>
                    </w:rPr>
                    <w:t>环境影响途径及危害后果</w:t>
                  </w:r>
                </w:p>
              </w:tc>
              <w:tc>
                <w:tcPr>
                  <w:tcW w:w="4138" w:type="pct"/>
                  <w:gridSpan w:val="4"/>
                  <w:tcBorders>
                    <w:top w:val="single" w:color="auto" w:sz="4" w:space="0"/>
                    <w:left w:val="single" w:color="auto" w:sz="4" w:space="0"/>
                    <w:bottom w:val="single" w:color="auto" w:sz="4" w:space="0"/>
                    <w:right w:val="nil"/>
                  </w:tcBorders>
                  <w:noWrap w:val="0"/>
                  <w:vAlign w:val="center"/>
                </w:tcPr>
                <w:p>
                  <w:pPr>
                    <w:pStyle w:val="180"/>
                    <w:rPr>
                      <w:bCs/>
                      <w:kern w:val="2"/>
                      <w:sz w:val="20"/>
                      <w:szCs w:val="20"/>
                    </w:rPr>
                  </w:pPr>
                  <w:r>
                    <w:rPr>
                      <w:bCs/>
                      <w:kern w:val="2"/>
                      <w:sz w:val="20"/>
                      <w:szCs w:val="20"/>
                    </w:rPr>
                    <w:t>①危废桶破损导致泄漏，对周边土壤环境造成污染。</w:t>
                  </w:r>
                </w:p>
                <w:p>
                  <w:pPr>
                    <w:pStyle w:val="180"/>
                    <w:rPr>
                      <w:bCs/>
                      <w:kern w:val="2"/>
                      <w:sz w:val="20"/>
                      <w:szCs w:val="20"/>
                    </w:rPr>
                  </w:pPr>
                  <w:r>
                    <w:rPr>
                      <w:bCs/>
                      <w:kern w:val="2"/>
                      <w:sz w:val="20"/>
                      <w:szCs w:val="20"/>
                    </w:rPr>
                    <w:t>②若发生泄漏可能发生人员中毒、火灾等危害。项目采取防渗措施，对项目地下水、土壤环境风险影响较小。</w:t>
                  </w:r>
                </w:p>
                <w:p>
                  <w:pPr>
                    <w:pStyle w:val="180"/>
                    <w:rPr>
                      <w:bCs/>
                      <w:kern w:val="2"/>
                      <w:sz w:val="20"/>
                      <w:szCs w:val="20"/>
                    </w:rPr>
                  </w:pPr>
                  <w:r>
                    <w:rPr>
                      <w:rFonts w:hint="eastAsia"/>
                      <w:bCs/>
                      <w:kern w:val="2"/>
                      <w:sz w:val="20"/>
                      <w:szCs w:val="20"/>
                    </w:rPr>
                    <w:t>③废处理装置发生故障，各类污染物排放量增大，对环境空气影响较正常排放时明显增加，对周边环境有一定影响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61" w:type="pct"/>
                  <w:tcBorders>
                    <w:top w:val="single" w:color="auto" w:sz="4" w:space="0"/>
                    <w:left w:val="nil"/>
                    <w:bottom w:val="single" w:color="auto" w:sz="4" w:space="0"/>
                    <w:right w:val="single" w:color="auto" w:sz="4" w:space="0"/>
                  </w:tcBorders>
                  <w:noWrap w:val="0"/>
                  <w:vAlign w:val="center"/>
                </w:tcPr>
                <w:p>
                  <w:pPr>
                    <w:pStyle w:val="4079"/>
                    <w:adjustRightInd w:val="0"/>
                    <w:snapToGrid w:val="0"/>
                    <w:spacing w:line="240" w:lineRule="auto"/>
                    <w:ind w:firstLine="0"/>
                    <w:jc w:val="center"/>
                    <w:rPr>
                      <w:b/>
                      <w:sz w:val="20"/>
                      <w:szCs w:val="20"/>
                    </w:rPr>
                  </w:pPr>
                  <w:r>
                    <w:rPr>
                      <w:b/>
                      <w:sz w:val="20"/>
                      <w:szCs w:val="20"/>
                    </w:rPr>
                    <w:t>风险防范措施要求</w:t>
                  </w:r>
                </w:p>
              </w:tc>
              <w:tc>
                <w:tcPr>
                  <w:tcW w:w="4138" w:type="pct"/>
                  <w:gridSpan w:val="4"/>
                  <w:tcBorders>
                    <w:top w:val="single" w:color="auto" w:sz="4" w:space="0"/>
                    <w:left w:val="single" w:color="auto" w:sz="4" w:space="0"/>
                    <w:bottom w:val="single" w:color="auto" w:sz="4" w:space="0"/>
                    <w:right w:val="nil"/>
                  </w:tcBorders>
                  <w:noWrap w:val="0"/>
                  <w:vAlign w:val="center"/>
                </w:tcPr>
                <w:p>
                  <w:pPr>
                    <w:pStyle w:val="180"/>
                    <w:rPr>
                      <w:bCs/>
                      <w:kern w:val="2"/>
                      <w:sz w:val="20"/>
                      <w:szCs w:val="20"/>
                    </w:rPr>
                  </w:pPr>
                  <w:r>
                    <w:rPr>
                      <w:bCs/>
                      <w:kern w:val="2"/>
                      <w:sz w:val="20"/>
                      <w:szCs w:val="20"/>
                    </w:rPr>
                    <w:t>①从生产管理、物质贮存、工艺技术设计、自动控制设计、电气及电讯、消防及火灾报警系统等方面制定相应的环境风险防范措施。②项目需设有足够的灭火设施。这些设施包括灭火系统、消火栓系统等，一旦发生火灾，能保证企业有足够的灭火装置，将火灾损失降到最低。③项目需设有足够的防泄漏物质，如</w:t>
                  </w:r>
                  <w:r>
                    <w:rPr>
                      <w:rFonts w:hint="eastAsia"/>
                      <w:bCs/>
                      <w:kern w:val="2"/>
                      <w:sz w:val="20"/>
                      <w:szCs w:val="20"/>
                    </w:rPr>
                    <w:t>消防砂</w:t>
                  </w:r>
                  <w:r>
                    <w:rPr>
                      <w:bCs/>
                      <w:kern w:val="2"/>
                      <w:sz w:val="20"/>
                      <w:szCs w:val="20"/>
                    </w:rPr>
                    <w:t>、吸附棉等，用来吸附泄漏物。④雨水排口、污水排口设置阀门，在发生事故时，切换雨水阀门，严禁消防废水排入周边水体。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op w:val="single" w:color="auto" w:sz="4" w:space="0"/>
                    <w:left w:val="nil"/>
                    <w:bottom w:val="single" w:color="auto" w:sz="12" w:space="0"/>
                    <w:right w:val="nil"/>
                  </w:tcBorders>
                  <w:noWrap w:val="0"/>
                  <w:vAlign w:val="center"/>
                </w:tcPr>
                <w:p>
                  <w:pPr>
                    <w:pStyle w:val="180"/>
                    <w:rPr>
                      <w:kern w:val="2"/>
                      <w:sz w:val="20"/>
                      <w:szCs w:val="20"/>
                    </w:rPr>
                  </w:pPr>
                  <w:r>
                    <w:rPr>
                      <w:sz w:val="20"/>
                      <w:szCs w:val="20"/>
                    </w:rPr>
                    <w:t>分</w:t>
                  </w:r>
                  <w:r>
                    <w:rPr>
                      <w:bCs/>
                      <w:kern w:val="2"/>
                      <w:sz w:val="20"/>
                      <w:szCs w:val="20"/>
                    </w:rPr>
                    <w:t>析结论：在各环境风险措施落实到位的情况下，将可大大降低建设项目的环境风险，最大程度减少对环境可能造成的危害。在企业落实本评价提出的各项风险防范措施后，项目对环境的风险影响可接受。</w:t>
                  </w:r>
                </w:p>
              </w:tc>
            </w:tr>
          </w:tbl>
          <w:p>
            <w:pPr>
              <w:adjustRightInd w:val="0"/>
              <w:snapToGrid w:val="0"/>
              <w:spacing w:line="312" w:lineRule="auto"/>
              <w:ind w:firstLine="420" w:firstLineChars="200"/>
              <w:rPr>
                <w:sz w:val="24"/>
              </w:rPr>
            </w:pPr>
            <w:r>
              <w:rPr>
                <w:rFonts w:hint="eastAsia" w:ascii="Times New Roman" w:hAnsi="Times New Roman" w:eastAsia="宋体" w:cs="Times New Roman"/>
                <w:b w:val="0"/>
                <w:bCs/>
                <w:kern w:val="2"/>
                <w:sz w:val="21"/>
                <w:szCs w:val="21"/>
                <w:lang w:val="zh-CN" w:eastAsia="zh-CN" w:bidi="ar-SA"/>
              </w:rPr>
              <w:t>本项目在加强管理、规范操作，落实各项风险防范措施的前提下，本项目环境风险可控。</w:t>
            </w:r>
          </w:p>
          <w:p>
            <w:pPr>
              <w:spacing w:line="360" w:lineRule="auto"/>
              <w:ind w:firstLine="422" w:firstLineChars="200"/>
              <w:contextualSpacing/>
              <w:rPr>
                <w:rFonts w:hint="eastAsia"/>
                <w:b/>
                <w:bCs/>
                <w:lang w:eastAsia="zh-CN"/>
              </w:rPr>
            </w:pPr>
            <w:r>
              <w:rPr>
                <w:rFonts w:hint="eastAsia"/>
                <w:b/>
                <w:bCs/>
                <w:lang w:eastAsia="zh-CN"/>
              </w:rPr>
              <w:t>（</w:t>
            </w:r>
            <w:r>
              <w:rPr>
                <w:rFonts w:hint="eastAsia"/>
                <w:b/>
                <w:bCs/>
                <w:lang w:val="en-US" w:eastAsia="zh-CN"/>
              </w:rPr>
              <w:t>8</w:t>
            </w:r>
            <w:r>
              <w:rPr>
                <w:rFonts w:hint="eastAsia"/>
                <w:b/>
                <w:bCs/>
                <w:lang w:eastAsia="zh-CN"/>
              </w:rPr>
              <w:t>）竣工验收内容</w:t>
            </w:r>
          </w:p>
          <w:p>
            <w:pPr>
              <w:ind w:firstLine="482"/>
              <w:jc w:val="center"/>
              <w:rPr>
                <w:rFonts w:hint="eastAsia" w:ascii="Times New Roman" w:hAnsi="Times New Roman" w:eastAsia="宋体" w:cs="Times New Roman"/>
                <w:b/>
                <w:bCs/>
                <w:kern w:val="44"/>
                <w:sz w:val="21"/>
                <w:szCs w:val="21"/>
                <w:lang w:val="en-US" w:eastAsia="zh-CN"/>
              </w:rPr>
            </w:pPr>
            <w:r>
              <w:rPr>
                <w:rFonts w:hint="eastAsia" w:ascii="Times New Roman" w:hAnsi="Times New Roman" w:eastAsia="宋体" w:cs="Times New Roman"/>
                <w:b/>
                <w:bCs/>
                <w:kern w:val="44"/>
                <w:sz w:val="21"/>
                <w:szCs w:val="21"/>
                <w:lang w:val="en-US" w:eastAsia="zh-CN"/>
              </w:rPr>
              <w:t>表4-3</w:t>
            </w:r>
            <w:r>
              <w:rPr>
                <w:rFonts w:hint="eastAsia" w:cs="Times New Roman"/>
                <w:b/>
                <w:bCs/>
                <w:kern w:val="44"/>
                <w:sz w:val="21"/>
                <w:szCs w:val="21"/>
                <w:lang w:val="en-US" w:eastAsia="zh-CN"/>
              </w:rPr>
              <w:t>7</w:t>
            </w:r>
            <w:r>
              <w:rPr>
                <w:rFonts w:hint="eastAsia" w:ascii="Times New Roman" w:hAnsi="Times New Roman" w:eastAsia="宋体" w:cs="Times New Roman"/>
                <w:b/>
                <w:bCs/>
                <w:kern w:val="44"/>
                <w:sz w:val="21"/>
                <w:szCs w:val="21"/>
                <w:lang w:val="en-US" w:eastAsia="zh-CN"/>
              </w:rPr>
              <w:t xml:space="preserve">  拟建项目“三同时”环保措施验收内容</w:t>
            </w:r>
          </w:p>
          <w:tbl>
            <w:tblPr>
              <w:tblStyle w:val="90"/>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3"/>
              <w:gridCol w:w="579"/>
              <w:gridCol w:w="1006"/>
              <w:gridCol w:w="1740"/>
              <w:gridCol w:w="1640"/>
              <w:gridCol w:w="2007"/>
              <w:gridCol w:w="9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项目名称</w:t>
                  </w:r>
                </w:p>
              </w:tc>
              <w:tc>
                <w:tcPr>
                  <w:tcW w:w="3784" w:type="pct"/>
                  <w:gridSpan w:val="4"/>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eastAsia" w:ascii="Times New Roman" w:hAnsi="Times New Roman" w:cs="Times New Roman"/>
                      <w:color w:val="auto"/>
                      <w:sz w:val="20"/>
                      <w:szCs w:val="20"/>
                      <w:lang w:val="en-US" w:eastAsia="zh-CN"/>
                    </w:rPr>
                    <w:t>年加工1000万米文体用布（桌球布）项目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18" w:type="pct"/>
                  <w:gridSpan w:val="2"/>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类别</w:t>
                  </w: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污染源</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污染物</w:t>
                  </w:r>
                </w:p>
              </w:tc>
              <w:tc>
                <w:tcPr>
                  <w:tcW w:w="974"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治理措施</w:t>
                  </w:r>
                </w:p>
              </w:tc>
              <w:tc>
                <w:tcPr>
                  <w:tcW w:w="1192"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处理效果、执行标准或拟达要求</w:t>
                  </w:r>
                </w:p>
              </w:tc>
              <w:tc>
                <w:tcPr>
                  <w:tcW w:w="584"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完成</w:t>
                  </w:r>
                </w:p>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b/>
                      <w:color w:val="auto"/>
                      <w:sz w:val="20"/>
                      <w:szCs w:val="20"/>
                    </w:rPr>
                  </w:pPr>
                  <w:r>
                    <w:rPr>
                      <w:rFonts w:hint="default" w:ascii="Times New Roman" w:hAnsi="Times New Roman" w:cs="Times New Roman"/>
                      <w:b/>
                      <w:color w:val="auto"/>
                      <w:sz w:val="20"/>
                      <w:szCs w:val="20"/>
                    </w:rPr>
                    <w:t>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75"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营运期</w:t>
                  </w:r>
                </w:p>
              </w:tc>
              <w:tc>
                <w:tcPr>
                  <w:tcW w:w="343"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废气</w:t>
                  </w:r>
                </w:p>
              </w:tc>
              <w:tc>
                <w:tcPr>
                  <w:tcW w:w="596"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DA001</w:t>
                  </w:r>
                </w:p>
              </w:tc>
              <w:tc>
                <w:tcPr>
                  <w:tcW w:w="1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0"/>
                      <w:szCs w:val="20"/>
                      <w:lang w:val="en-US" w:eastAsia="zh-CN"/>
                    </w:rPr>
                  </w:pPr>
                  <w:r>
                    <w:rPr>
                      <w:rFonts w:hint="eastAsia" w:cs="Times New Roman"/>
                      <w:sz w:val="20"/>
                      <w:szCs w:val="20"/>
                      <w:lang w:val="en-US" w:eastAsia="zh-CN"/>
                    </w:rPr>
                    <w:t>定型和蒸呢废气：</w:t>
                  </w:r>
                  <w:r>
                    <w:rPr>
                      <w:rFonts w:hint="default" w:ascii="Times New Roman" w:hAnsi="Times New Roman" w:cs="Times New Roman"/>
                      <w:sz w:val="20"/>
                      <w:szCs w:val="20"/>
                    </w:rPr>
                    <w:t>非甲烷总烃</w:t>
                  </w:r>
                  <w:r>
                    <w:rPr>
                      <w:rFonts w:hint="eastAsia" w:ascii="Times New Roman" w:hAnsi="Times New Roman" w:cs="Times New Roman"/>
                      <w:sz w:val="20"/>
                      <w:szCs w:val="20"/>
                      <w:lang w:eastAsia="zh-CN"/>
                    </w:rPr>
                    <w:t>、</w:t>
                  </w:r>
                  <w:r>
                    <w:rPr>
                      <w:rFonts w:hint="eastAsia" w:ascii="Times New Roman" w:hAnsi="Times New Roman" w:cs="Times New Roman"/>
                      <w:sz w:val="20"/>
                      <w:szCs w:val="20"/>
                      <w:lang w:val="en-US" w:eastAsia="zh-CN"/>
                    </w:rPr>
                    <w:t>颗粒物</w:t>
                  </w:r>
                </w:p>
              </w:tc>
              <w:tc>
                <w:tcPr>
                  <w:tcW w:w="97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0"/>
                      <w:szCs w:val="20"/>
                      <w:lang w:val="en-US" w:eastAsia="zh-CN"/>
                    </w:rPr>
                  </w:pPr>
                  <w:r>
                    <w:rPr>
                      <w:rFonts w:hint="eastAsia" w:ascii="Times New Roman" w:hAnsi="Times New Roman" w:cs="Times New Roman"/>
                      <w:sz w:val="20"/>
                      <w:szCs w:val="20"/>
                      <w:lang w:val="en-US" w:eastAsia="zh-CN"/>
                    </w:rPr>
                    <w:t>水喷淋+静电净化</w:t>
                  </w:r>
                </w:p>
              </w:tc>
              <w:tc>
                <w:tcPr>
                  <w:tcW w:w="1192"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满足相应排放标准</w:t>
                  </w:r>
                </w:p>
              </w:tc>
              <w:tc>
                <w:tcPr>
                  <w:tcW w:w="584"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与该项目“同时设计、同时施工、同时投入</w:t>
                  </w:r>
                </w:p>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运行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275"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pPr>
                </w:p>
              </w:tc>
              <w:tc>
                <w:tcPr>
                  <w:tcW w:w="343"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pPr>
                </w:p>
              </w:tc>
              <w:tc>
                <w:tcPr>
                  <w:tcW w:w="596"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pPr>
                </w:p>
              </w:tc>
              <w:tc>
                <w:tcPr>
                  <w:tcW w:w="1033"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sz w:val="20"/>
                      <w:szCs w:val="20"/>
                      <w:lang w:val="en-US" w:eastAsia="zh-CN"/>
                    </w:rPr>
                  </w:pPr>
                  <w:r>
                    <w:rPr>
                      <w:rFonts w:hint="eastAsia" w:ascii="Times New Roman" w:hAnsi="Times New Roman" w:eastAsia="宋体" w:cs="Times New Roman"/>
                      <w:sz w:val="20"/>
                      <w:szCs w:val="20"/>
                      <w:lang w:val="en-US" w:eastAsia="zh-CN"/>
                    </w:rPr>
                    <w:t>拉毛</w:t>
                  </w:r>
                  <w:r>
                    <w:rPr>
                      <w:rFonts w:hint="eastAsia" w:cs="Times New Roman"/>
                      <w:sz w:val="20"/>
                      <w:szCs w:val="20"/>
                      <w:lang w:val="en-US" w:eastAsia="zh-CN"/>
                    </w:rPr>
                    <w:t>、</w:t>
                  </w:r>
                  <w:r>
                    <w:rPr>
                      <w:rFonts w:hint="eastAsia" w:ascii="Times New Roman" w:hAnsi="Times New Roman" w:eastAsia="宋体" w:cs="Times New Roman"/>
                      <w:sz w:val="20"/>
                      <w:szCs w:val="20"/>
                      <w:lang w:val="en-US" w:eastAsia="zh-CN"/>
                    </w:rPr>
                    <w:t>刷呢、剪毛、烫光</w:t>
                  </w:r>
                  <w:r>
                    <w:rPr>
                      <w:rFonts w:hint="eastAsia" w:cs="Times New Roman"/>
                      <w:sz w:val="20"/>
                      <w:szCs w:val="20"/>
                      <w:lang w:val="en-US" w:eastAsia="zh-CN"/>
                    </w:rPr>
                    <w:t>和</w:t>
                  </w:r>
                  <w:r>
                    <w:rPr>
                      <w:rFonts w:hint="eastAsia" w:ascii="Times New Roman" w:hAnsi="Times New Roman" w:eastAsia="宋体" w:cs="Times New Roman"/>
                      <w:sz w:val="20"/>
                      <w:szCs w:val="20"/>
                      <w:lang w:val="en-US" w:eastAsia="zh-CN"/>
                    </w:rPr>
                    <w:t>摇粒废气</w:t>
                  </w:r>
                  <w:r>
                    <w:rPr>
                      <w:rFonts w:hint="eastAsia" w:cs="Times New Roman"/>
                      <w:sz w:val="20"/>
                      <w:szCs w:val="20"/>
                      <w:lang w:val="en-US" w:eastAsia="zh-CN"/>
                    </w:rPr>
                    <w:t>：颗粒物</w:t>
                  </w:r>
                </w:p>
              </w:tc>
              <w:tc>
                <w:tcPr>
                  <w:tcW w:w="974" w:type="pct"/>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sz w:val="20"/>
                      <w:szCs w:val="20"/>
                      <w:lang w:val="en-US" w:eastAsia="zh-CN"/>
                    </w:rPr>
                  </w:pPr>
                  <w:r>
                    <w:rPr>
                      <w:rFonts w:hint="eastAsia" w:cs="Times New Roman"/>
                      <w:sz w:val="20"/>
                      <w:szCs w:val="20"/>
                      <w:lang w:val="en-US" w:eastAsia="zh-CN"/>
                    </w:rPr>
                    <w:t>布袋除尘</w:t>
                  </w:r>
                </w:p>
              </w:tc>
              <w:tc>
                <w:tcPr>
                  <w:tcW w:w="1192"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0"/>
                      <w:szCs w:val="20"/>
                    </w:rPr>
                  </w:pPr>
                </w:p>
              </w:tc>
              <w:tc>
                <w:tcPr>
                  <w:tcW w:w="584"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3" w:hRule="atLeast"/>
                <w:jc w:val="center"/>
              </w:trPr>
              <w:tc>
                <w:tcPr>
                  <w:tcW w:w="275"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343"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DA002</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颗粒物、SO</w:t>
                  </w:r>
                  <w:r>
                    <w:rPr>
                      <w:rFonts w:hint="eastAsia" w:ascii="Times New Roman" w:hAnsi="Times New Roman" w:cs="Times New Roman"/>
                      <w:color w:val="auto"/>
                      <w:sz w:val="20"/>
                      <w:szCs w:val="20"/>
                      <w:vertAlign w:val="subscript"/>
                      <w:lang w:val="en-US" w:eastAsia="zh-CN"/>
                    </w:rPr>
                    <w:t>2</w:t>
                  </w:r>
                  <w:r>
                    <w:rPr>
                      <w:rFonts w:hint="eastAsia" w:ascii="Times New Roman" w:hAnsi="Times New Roman" w:cs="Times New Roman"/>
                      <w:color w:val="auto"/>
                      <w:sz w:val="20"/>
                      <w:szCs w:val="20"/>
                      <w:lang w:val="en-US" w:eastAsia="zh-CN"/>
                    </w:rPr>
                    <w:t>、NO</w:t>
                  </w:r>
                  <w:r>
                    <w:rPr>
                      <w:rFonts w:hint="eastAsia" w:ascii="Times New Roman" w:hAnsi="Times New Roman" w:cs="Times New Roman"/>
                      <w:color w:val="auto"/>
                      <w:sz w:val="20"/>
                      <w:szCs w:val="20"/>
                      <w:vertAlign w:val="subscript"/>
                      <w:lang w:val="en-US" w:eastAsia="zh-CN"/>
                    </w:rPr>
                    <w:t>x</w:t>
                  </w:r>
                  <w:r>
                    <w:rPr>
                      <w:rFonts w:hint="eastAsia" w:ascii="Times New Roman" w:hAnsi="Times New Roman" w:cs="Times New Roman"/>
                      <w:color w:val="auto"/>
                      <w:sz w:val="20"/>
                      <w:szCs w:val="20"/>
                      <w:lang w:val="en-US" w:eastAsia="zh-CN"/>
                    </w:rPr>
                    <w:t>、汞及其化合物</w:t>
                  </w:r>
                </w:p>
              </w:tc>
              <w:tc>
                <w:tcPr>
                  <w:tcW w:w="974"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r>
                    <w:rPr>
                      <w:rFonts w:hint="eastAsia" w:cs="Times New Roman"/>
                      <w:kern w:val="0"/>
                      <w:sz w:val="20"/>
                      <w:szCs w:val="20"/>
                      <w:lang w:val="en-US" w:eastAsia="zh-CN" w:bidi="ar"/>
                    </w:rPr>
                    <w:t>低氮燃烧+SNCR+石灰喷雾干燥+余热回收+旋风除尘+布袋除尘+水幕除尘</w:t>
                  </w:r>
                </w:p>
              </w:tc>
              <w:tc>
                <w:tcPr>
                  <w:tcW w:w="1192"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584"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75"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pPr>
                </w:p>
              </w:tc>
              <w:tc>
                <w:tcPr>
                  <w:tcW w:w="343"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pPr>
                </w:p>
              </w:tc>
              <w:tc>
                <w:tcPr>
                  <w:tcW w:w="596"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color w:val="auto"/>
                      <w:sz w:val="20"/>
                      <w:szCs w:val="20"/>
                      <w:lang w:val="en-US" w:eastAsia="zh-CN"/>
                    </w:rPr>
                  </w:pPr>
                  <w:r>
                    <w:rPr>
                      <w:rFonts w:hint="eastAsia" w:cs="Times New Roman"/>
                      <w:color w:val="auto"/>
                      <w:sz w:val="20"/>
                      <w:szCs w:val="20"/>
                      <w:lang w:val="en-US" w:eastAsia="zh-CN"/>
                    </w:rPr>
                    <w:t>DA003</w:t>
                  </w:r>
                </w:p>
              </w:tc>
              <w:tc>
                <w:tcPr>
                  <w:tcW w:w="1033"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sz w:val="20"/>
                      <w:szCs w:val="20"/>
                      <w:lang w:val="en-US" w:eastAsia="zh-CN"/>
                    </w:rPr>
                  </w:pPr>
                  <w:r>
                    <w:rPr>
                      <w:rFonts w:hint="eastAsia" w:ascii="Times New Roman" w:hAnsi="Times New Roman" w:cs="Times New Roman"/>
                      <w:color w:val="auto"/>
                      <w:sz w:val="20"/>
                      <w:szCs w:val="20"/>
                      <w:lang w:val="en-US" w:eastAsia="zh-CN"/>
                    </w:rPr>
                    <w:t>颗粒物、SO</w:t>
                  </w:r>
                  <w:r>
                    <w:rPr>
                      <w:rFonts w:hint="eastAsia" w:ascii="Times New Roman" w:hAnsi="Times New Roman" w:cs="Times New Roman"/>
                      <w:color w:val="auto"/>
                      <w:sz w:val="20"/>
                      <w:szCs w:val="20"/>
                      <w:vertAlign w:val="subscript"/>
                      <w:lang w:val="en-US" w:eastAsia="zh-CN"/>
                    </w:rPr>
                    <w:t>2</w:t>
                  </w:r>
                  <w:r>
                    <w:rPr>
                      <w:rFonts w:hint="eastAsia" w:ascii="Times New Roman" w:hAnsi="Times New Roman" w:cs="Times New Roman"/>
                      <w:color w:val="auto"/>
                      <w:sz w:val="20"/>
                      <w:szCs w:val="20"/>
                      <w:lang w:val="en-US" w:eastAsia="zh-CN"/>
                    </w:rPr>
                    <w:t>、NO</w:t>
                  </w:r>
                  <w:r>
                    <w:rPr>
                      <w:rFonts w:hint="eastAsia" w:ascii="Times New Roman" w:hAnsi="Times New Roman" w:cs="Times New Roman"/>
                      <w:color w:val="auto"/>
                      <w:sz w:val="20"/>
                      <w:szCs w:val="20"/>
                      <w:vertAlign w:val="subscript"/>
                      <w:lang w:val="en-US" w:eastAsia="zh-CN"/>
                    </w:rPr>
                    <w:t>x</w:t>
                  </w:r>
                  <w:r>
                    <w:rPr>
                      <w:rFonts w:hint="eastAsia" w:ascii="Times New Roman" w:hAnsi="Times New Roman" w:cs="Times New Roman"/>
                      <w:color w:val="auto"/>
                      <w:sz w:val="20"/>
                      <w:szCs w:val="20"/>
                      <w:lang w:val="en-US" w:eastAsia="zh-CN"/>
                    </w:rPr>
                    <w:t>、汞及其化合物</w:t>
                  </w:r>
                </w:p>
              </w:tc>
              <w:tc>
                <w:tcPr>
                  <w:tcW w:w="974"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sz w:val="20"/>
                      <w:szCs w:val="20"/>
                      <w:lang w:val="en-US" w:eastAsia="zh-CN"/>
                    </w:rPr>
                  </w:pPr>
                  <w:r>
                    <w:rPr>
                      <w:rFonts w:hint="eastAsia" w:cs="Times New Roman"/>
                      <w:kern w:val="0"/>
                      <w:sz w:val="20"/>
                      <w:szCs w:val="20"/>
                      <w:lang w:val="en-US" w:eastAsia="zh-CN" w:bidi="ar"/>
                    </w:rPr>
                    <w:t>低氮燃烧+SNCR+石灰喷雾干燥+余热回收+旋风除尘+布袋除尘+水幕除尘</w:t>
                  </w:r>
                </w:p>
              </w:tc>
              <w:tc>
                <w:tcPr>
                  <w:tcW w:w="1192"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sz w:val="20"/>
                      <w:szCs w:val="20"/>
                      <w:lang w:val="en-US" w:eastAsia="zh-CN"/>
                    </w:rPr>
                  </w:pPr>
                </w:p>
              </w:tc>
              <w:tc>
                <w:tcPr>
                  <w:tcW w:w="584"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cs="Times New Roman"/>
                      <w:color w:val="auto"/>
                      <w:sz w:val="20"/>
                      <w:szCs w:val="20"/>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5"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343"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厂界外</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lang w:val="en-US"/>
                    </w:rPr>
                  </w:pPr>
                  <w:r>
                    <w:rPr>
                      <w:rFonts w:hint="default" w:ascii="Times New Roman" w:hAnsi="Times New Roman" w:cs="Times New Roman"/>
                      <w:color w:val="auto"/>
                      <w:kern w:val="0"/>
                      <w:sz w:val="20"/>
                      <w:szCs w:val="20"/>
                    </w:rPr>
                    <w:t>颗粒物</w:t>
                  </w:r>
                  <w:r>
                    <w:rPr>
                      <w:rFonts w:hint="eastAsia" w:ascii="Times New Roman" w:hAnsi="Times New Roman" w:cs="Times New Roman"/>
                      <w:color w:val="auto"/>
                      <w:kern w:val="0"/>
                      <w:sz w:val="20"/>
                      <w:szCs w:val="20"/>
                      <w:lang w:eastAsia="zh-CN"/>
                    </w:rPr>
                    <w:t>、</w:t>
                  </w:r>
                  <w:r>
                    <w:rPr>
                      <w:rFonts w:hint="default" w:ascii="Times New Roman" w:hAnsi="Times New Roman" w:cs="Times New Roman"/>
                      <w:color w:val="auto"/>
                      <w:sz w:val="20"/>
                      <w:szCs w:val="20"/>
                    </w:rPr>
                    <w:t>非甲烷总烃</w:t>
                  </w:r>
                  <w:r>
                    <w:rPr>
                      <w:rFonts w:hint="default" w:ascii="Times New Roman" w:hAnsi="Times New Roman" w:cs="Times New Roman"/>
                      <w:color w:val="auto"/>
                      <w:kern w:val="0"/>
                      <w:sz w:val="20"/>
                      <w:szCs w:val="20"/>
                    </w:rPr>
                    <w:t>、</w:t>
                  </w:r>
                  <w:r>
                    <w:rPr>
                      <w:rFonts w:hint="eastAsia" w:ascii="Times New Roman" w:hAnsi="Times New Roman" w:cs="Times New Roman"/>
                      <w:color w:val="auto"/>
                      <w:sz w:val="20"/>
                      <w:szCs w:val="20"/>
                      <w:lang w:val="en-US" w:eastAsia="zh-CN"/>
                    </w:rPr>
                    <w:t>SO</w:t>
                  </w:r>
                  <w:r>
                    <w:rPr>
                      <w:rFonts w:hint="eastAsia" w:ascii="Times New Roman" w:hAnsi="Times New Roman" w:cs="Times New Roman"/>
                      <w:color w:val="auto"/>
                      <w:sz w:val="20"/>
                      <w:szCs w:val="20"/>
                      <w:vertAlign w:val="subscript"/>
                      <w:lang w:val="en-US" w:eastAsia="zh-CN"/>
                    </w:rPr>
                    <w:t>2</w:t>
                  </w:r>
                  <w:r>
                    <w:rPr>
                      <w:rFonts w:hint="eastAsia" w:ascii="Times New Roman" w:hAnsi="Times New Roman" w:cs="Times New Roman"/>
                      <w:color w:val="auto"/>
                      <w:sz w:val="20"/>
                      <w:szCs w:val="20"/>
                      <w:lang w:val="en-US" w:eastAsia="zh-CN"/>
                    </w:rPr>
                    <w:t>、NO</w:t>
                  </w:r>
                  <w:r>
                    <w:rPr>
                      <w:rFonts w:hint="eastAsia" w:ascii="Times New Roman" w:hAnsi="Times New Roman" w:cs="Times New Roman"/>
                      <w:color w:val="auto"/>
                      <w:sz w:val="20"/>
                      <w:szCs w:val="20"/>
                      <w:vertAlign w:val="subscript"/>
                      <w:lang w:val="en-US" w:eastAsia="zh-CN"/>
                    </w:rPr>
                    <w:t>x</w:t>
                  </w:r>
                  <w:r>
                    <w:rPr>
                      <w:rFonts w:hint="eastAsia" w:ascii="Times New Roman" w:hAnsi="Times New Roman" w:cs="Times New Roman"/>
                      <w:color w:val="auto"/>
                      <w:sz w:val="20"/>
                      <w:szCs w:val="20"/>
                      <w:lang w:val="en-US" w:eastAsia="zh-CN"/>
                    </w:rPr>
                    <w:t>、汞及其化合物</w:t>
                  </w:r>
                  <w:r>
                    <w:rPr>
                      <w:rFonts w:hint="default" w:ascii="Times New Roman" w:hAnsi="Times New Roman" w:cs="Times New Roman"/>
                      <w:color w:val="auto"/>
                      <w:sz w:val="20"/>
                      <w:szCs w:val="20"/>
                    </w:rPr>
                    <w:t>、</w:t>
                  </w:r>
                  <w:r>
                    <w:rPr>
                      <w:rFonts w:hint="eastAsia" w:ascii="Times New Roman" w:hAnsi="Times New Roman" w:cs="Times New Roman"/>
                      <w:color w:val="auto"/>
                      <w:sz w:val="20"/>
                      <w:szCs w:val="20"/>
                      <w:lang w:val="en-US" w:eastAsia="zh-CN"/>
                    </w:rPr>
                    <w:t>臭气浓度、氨</w:t>
                  </w:r>
                </w:p>
              </w:tc>
              <w:tc>
                <w:tcPr>
                  <w:tcW w:w="974"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1192"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584"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275"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343"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厂区内</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非甲烷总烃</w:t>
                  </w:r>
                </w:p>
              </w:tc>
              <w:tc>
                <w:tcPr>
                  <w:tcW w:w="974" w:type="pct"/>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r>
                    <w:rPr>
                      <w:rFonts w:hint="default" w:ascii="Times New Roman" w:hAnsi="Times New Roman" w:cs="Times New Roman"/>
                      <w:sz w:val="20"/>
                      <w:szCs w:val="20"/>
                    </w:rPr>
                    <w:t>/</w:t>
                  </w:r>
                </w:p>
              </w:tc>
              <w:tc>
                <w:tcPr>
                  <w:tcW w:w="1192"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c>
                <w:tcPr>
                  <w:tcW w:w="584" w:type="pct"/>
                  <w:vMerge w:val="continue"/>
                  <w:noWrap w:val="0"/>
                  <w:vAlign w:val="center"/>
                </w:tcPr>
                <w:p>
                  <w:pPr>
                    <w:keepNext w:val="0"/>
                    <w:keepLines w:val="0"/>
                    <w:pageBreakBefore w:val="0"/>
                    <w:kinsoku/>
                    <w:wordWrap/>
                    <w:overflowPunct/>
                    <w:topLinePunct w:val="0"/>
                    <w:autoSpaceDE/>
                    <w:autoSpaceDN/>
                    <w:bidi w:val="0"/>
                    <w:spacing w:line="240" w:lineRule="auto"/>
                    <w:jc w:val="center"/>
                    <w:textAlignment w:val="auto"/>
                    <w:rPr>
                      <w:rFonts w:hint="default" w:ascii="Times New Roman" w:hAnsi="Times New Roman" w:cs="Times New Roman"/>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75"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343"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废水</w:t>
                  </w: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生活污水</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COD、SS、</w:t>
                  </w:r>
                  <w:r>
                    <w:rPr>
                      <w:rFonts w:hint="default" w:ascii="Times New Roman" w:hAnsi="Times New Roman" w:cs="Times New Roman"/>
                      <w:color w:val="auto"/>
                      <w:kern w:val="0"/>
                      <w:sz w:val="20"/>
                      <w:szCs w:val="20"/>
                      <w:lang w:bidi="ar"/>
                    </w:rPr>
                    <w:t>NH</w:t>
                  </w:r>
                  <w:r>
                    <w:rPr>
                      <w:rStyle w:val="584"/>
                      <w:rFonts w:hint="default" w:ascii="Times New Roman" w:hAnsi="Times New Roman" w:cs="Times New Roman"/>
                      <w:color w:val="auto"/>
                      <w:sz w:val="20"/>
                      <w:szCs w:val="20"/>
                      <w:vertAlign w:val="subscript"/>
                      <w:lang w:bidi="ar"/>
                    </w:rPr>
                    <w:t>3</w:t>
                  </w:r>
                  <w:r>
                    <w:rPr>
                      <w:rFonts w:hint="default" w:ascii="Times New Roman" w:hAnsi="Times New Roman" w:cs="Times New Roman"/>
                      <w:color w:val="auto"/>
                      <w:kern w:val="0"/>
                      <w:sz w:val="20"/>
                      <w:szCs w:val="20"/>
                      <w:lang w:bidi="ar"/>
                    </w:rPr>
                    <w:t>-N、TN、TP</w:t>
                  </w:r>
                </w:p>
              </w:tc>
              <w:tc>
                <w:tcPr>
                  <w:tcW w:w="974"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eastAsia" w:ascii="Times New Roman" w:hAnsi="Times New Roman" w:eastAsia="宋体" w:cs="Times New Roman"/>
                      <w:color w:val="auto"/>
                      <w:sz w:val="20"/>
                      <w:szCs w:val="20"/>
                    </w:rPr>
                    <w:t>生活污水依托</w:t>
                  </w:r>
                  <w:r>
                    <w:rPr>
                      <w:rFonts w:hint="eastAsia" w:ascii="Times New Roman" w:hAnsi="Times New Roman" w:eastAsia="宋体" w:cs="Times New Roman"/>
                      <w:color w:val="auto"/>
                      <w:sz w:val="20"/>
                      <w:szCs w:val="20"/>
                      <w:lang w:val="en-US" w:eastAsia="zh-CN"/>
                    </w:rPr>
                    <w:t>华胜公司</w:t>
                  </w:r>
                  <w:r>
                    <w:rPr>
                      <w:rFonts w:hint="eastAsia" w:ascii="Times New Roman" w:hAnsi="Times New Roman" w:eastAsia="宋体" w:cs="Times New Roman"/>
                      <w:color w:val="auto"/>
                      <w:sz w:val="20"/>
                      <w:szCs w:val="20"/>
                    </w:rPr>
                    <w:t>化粪池处理后</w:t>
                  </w:r>
                  <w:r>
                    <w:rPr>
                      <w:rFonts w:hint="eastAsia" w:ascii="Times New Roman" w:hAnsi="Times New Roman" w:eastAsia="宋体" w:cs="Times New Roman"/>
                      <w:color w:val="auto"/>
                      <w:sz w:val="20"/>
                      <w:szCs w:val="20"/>
                      <w:lang w:eastAsia="zh-CN"/>
                    </w:rPr>
                    <w:t>，</w:t>
                  </w:r>
                  <w:r>
                    <w:rPr>
                      <w:rFonts w:hint="eastAsia" w:ascii="Times New Roman" w:hAnsi="Times New Roman" w:eastAsia="宋体" w:cs="Times New Roman"/>
                      <w:color w:val="auto"/>
                      <w:sz w:val="20"/>
                      <w:szCs w:val="20"/>
                      <w:lang w:val="en-US" w:eastAsia="zh-CN"/>
                    </w:rPr>
                    <w:t>与喷淋废水、水幕除尘废水</w:t>
                  </w:r>
                  <w:r>
                    <w:rPr>
                      <w:rFonts w:hint="default" w:ascii="Times New Roman" w:hAnsi="Times New Roman" w:eastAsia="宋体" w:cs="Times New Roman"/>
                      <w:color w:val="auto"/>
                      <w:sz w:val="20"/>
                      <w:szCs w:val="20"/>
                    </w:rPr>
                    <w:t>依托</w:t>
                  </w:r>
                  <w:r>
                    <w:rPr>
                      <w:rFonts w:hint="eastAsia" w:ascii="Times New Roman" w:hAnsi="Times New Roman" w:eastAsia="宋体" w:cs="Times New Roman"/>
                      <w:color w:val="auto"/>
                      <w:sz w:val="20"/>
                      <w:szCs w:val="20"/>
                      <w:lang w:val="en-US" w:eastAsia="zh-CN"/>
                    </w:rPr>
                    <w:t>华胜公司</w:t>
                  </w:r>
                  <w:r>
                    <w:rPr>
                      <w:rFonts w:hint="eastAsia" w:ascii="Times New Roman" w:hAnsi="Times New Roman" w:eastAsia="宋体" w:cs="Times New Roman"/>
                      <w:color w:val="auto"/>
                      <w:sz w:val="20"/>
                      <w:szCs w:val="20"/>
                    </w:rPr>
                    <w:t>现有</w:t>
                  </w:r>
                  <w:r>
                    <w:rPr>
                      <w:rFonts w:hint="eastAsia" w:ascii="Times New Roman" w:hAnsi="Times New Roman" w:eastAsia="宋体" w:cs="Times New Roman"/>
                      <w:color w:val="auto"/>
                      <w:sz w:val="20"/>
                      <w:szCs w:val="20"/>
                      <w:lang w:val="en-US" w:eastAsia="zh-CN"/>
                    </w:rPr>
                    <w:t>污水处理站</w:t>
                  </w:r>
                  <w:r>
                    <w:rPr>
                      <w:rFonts w:hint="eastAsia" w:ascii="Times New Roman" w:hAnsi="Times New Roman" w:eastAsia="宋体" w:cs="Times New Roman"/>
                      <w:color w:val="auto"/>
                      <w:sz w:val="20"/>
                      <w:szCs w:val="20"/>
                    </w:rPr>
                    <w:t>处理后</w:t>
                  </w:r>
                  <w:r>
                    <w:rPr>
                      <w:rFonts w:hint="eastAsia" w:ascii="Times New Roman" w:hAnsi="Times New Roman" w:eastAsia="宋体" w:cs="Times New Roman"/>
                      <w:color w:val="auto"/>
                      <w:sz w:val="20"/>
                      <w:szCs w:val="20"/>
                      <w:lang w:val="en-US" w:eastAsia="zh-CN"/>
                    </w:rPr>
                    <w:t>和</w:t>
                  </w:r>
                  <w:r>
                    <w:rPr>
                      <w:rFonts w:hint="eastAsia" w:ascii="Times New Roman" w:hAnsi="Times New Roman" w:eastAsia="宋体" w:cs="Times New Roman"/>
                      <w:color w:val="auto"/>
                      <w:sz w:val="20"/>
                      <w:szCs w:val="20"/>
                    </w:rPr>
                    <w:t>纯水制备浓水接管排放</w:t>
                  </w:r>
                  <w:r>
                    <w:rPr>
                      <w:rFonts w:hint="eastAsia" w:ascii="Times New Roman" w:hAnsi="Times New Roman" w:eastAsia="宋体" w:cs="Times New Roman"/>
                      <w:color w:val="auto"/>
                      <w:sz w:val="20"/>
                      <w:szCs w:val="20"/>
                      <w:lang w:val="en-US" w:eastAsia="zh-CN"/>
                    </w:rPr>
                    <w:t>如皋市九华镇污水处理厂</w:t>
                  </w:r>
                </w:p>
              </w:tc>
              <w:tc>
                <w:tcPr>
                  <w:tcW w:w="1192"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水质达接管要求</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75"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343"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lang w:val="en-US" w:eastAsia="zh-CN"/>
                    </w:rPr>
                  </w:pPr>
                  <w:r>
                    <w:rPr>
                      <w:rFonts w:hint="eastAsia" w:ascii="Times New Roman" w:hAnsi="Times New Roman" w:cs="Times New Roman"/>
                      <w:color w:val="auto"/>
                      <w:sz w:val="20"/>
                      <w:szCs w:val="20"/>
                      <w:lang w:val="en-US" w:eastAsia="zh-CN"/>
                    </w:rPr>
                    <w:t>水幕除尘排水</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rPr>
                    <w:t>COD、SS</w:t>
                  </w:r>
                </w:p>
              </w:tc>
              <w:tc>
                <w:tcPr>
                  <w:tcW w:w="97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1192"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75"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343"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喷淋塔</w:t>
                  </w:r>
                  <w:r>
                    <w:rPr>
                      <w:rFonts w:hint="default" w:ascii="Times New Roman" w:hAnsi="Times New Roman" w:cs="Times New Roman"/>
                      <w:color w:val="auto"/>
                      <w:sz w:val="20"/>
                      <w:szCs w:val="20"/>
                    </w:rPr>
                    <w:t>排水</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COD、SS</w:t>
                  </w:r>
                </w:p>
              </w:tc>
              <w:tc>
                <w:tcPr>
                  <w:tcW w:w="97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1192"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275"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343"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纯水制备废水</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COD、SS</w:t>
                  </w:r>
                </w:p>
              </w:tc>
              <w:tc>
                <w:tcPr>
                  <w:tcW w:w="97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1192"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5"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34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w:t>
                  </w: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定型机、剪毛机</w:t>
                  </w:r>
                  <w:r>
                    <w:rPr>
                      <w:rFonts w:hint="default" w:ascii="Times New Roman" w:hAnsi="Times New Roman" w:cs="Times New Roman"/>
                      <w:color w:val="auto"/>
                      <w:sz w:val="20"/>
                      <w:szCs w:val="20"/>
                    </w:rPr>
                    <w:t>等</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噪声</w:t>
                  </w:r>
                </w:p>
              </w:tc>
              <w:tc>
                <w:tcPr>
                  <w:tcW w:w="974"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厂界隔声、合理布局、距离衰减等综合防治措施</w:t>
                  </w:r>
                </w:p>
              </w:tc>
              <w:tc>
                <w:tcPr>
                  <w:tcW w:w="1192"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0"/>
                      <w:szCs w:val="20"/>
                      <w:lang w:val="en-US" w:eastAsia="zh-CN"/>
                    </w:rPr>
                  </w:pPr>
                  <w:r>
                    <w:rPr>
                      <w:rFonts w:hint="default" w:ascii="Times New Roman" w:hAnsi="Times New Roman" w:cs="Times New Roman"/>
                      <w:color w:val="auto"/>
                      <w:sz w:val="20"/>
                      <w:szCs w:val="20"/>
                      <w:lang w:val="en-US" w:eastAsia="zh-CN"/>
                    </w:rPr>
                    <w:t>东、</w:t>
                  </w:r>
                  <w:r>
                    <w:rPr>
                      <w:rFonts w:hint="eastAsia" w:ascii="Times New Roman" w:hAnsi="Times New Roman" w:cs="Times New Roman"/>
                      <w:color w:val="auto"/>
                      <w:sz w:val="20"/>
                      <w:szCs w:val="20"/>
                      <w:lang w:val="en-US" w:eastAsia="zh-CN"/>
                    </w:rPr>
                    <w:t>南、</w:t>
                  </w:r>
                  <w:r>
                    <w:rPr>
                      <w:rFonts w:hint="default" w:ascii="Times New Roman" w:hAnsi="Times New Roman" w:cs="Times New Roman"/>
                      <w:color w:val="auto"/>
                      <w:sz w:val="20"/>
                      <w:szCs w:val="20"/>
                      <w:lang w:val="en-US" w:eastAsia="zh-CN"/>
                    </w:rPr>
                    <w:t>西和北厂界执行</w:t>
                  </w:r>
                  <w:r>
                    <w:rPr>
                      <w:rFonts w:hint="default" w:ascii="Times New Roman" w:hAnsi="Times New Roman" w:cs="Times New Roman"/>
                      <w:color w:val="auto"/>
                      <w:sz w:val="20"/>
                      <w:szCs w:val="20"/>
                    </w:rPr>
                    <w:t>《工业企业厂界环境噪声排放标准》（GB12348-2008）中</w:t>
                  </w:r>
                  <w:r>
                    <w:rPr>
                      <w:rFonts w:hint="default" w:ascii="Times New Roman" w:hAnsi="Times New Roman" w:cs="Times New Roman"/>
                      <w:color w:val="auto"/>
                      <w:sz w:val="20"/>
                      <w:szCs w:val="20"/>
                      <w:lang w:val="en-US" w:eastAsia="zh-CN"/>
                    </w:rPr>
                    <w:t>2</w:t>
                  </w:r>
                  <w:r>
                    <w:rPr>
                      <w:rFonts w:hint="default" w:ascii="Times New Roman" w:hAnsi="Times New Roman" w:cs="Times New Roman"/>
                      <w:color w:val="auto"/>
                      <w:sz w:val="20"/>
                      <w:szCs w:val="20"/>
                    </w:rPr>
                    <w:t>类标准</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275"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343" w:type="pct"/>
                  <w:vMerge w:val="restar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固废</w:t>
                  </w: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危废仓库</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危险固废</w:t>
                  </w:r>
                </w:p>
              </w:tc>
              <w:tc>
                <w:tcPr>
                  <w:tcW w:w="974"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委托有资质单位处理</w:t>
                  </w:r>
                </w:p>
              </w:tc>
              <w:tc>
                <w:tcPr>
                  <w:tcW w:w="1192"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零排放</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275"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343"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c>
                <w:tcPr>
                  <w:tcW w:w="596"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一般固废仓库</w:t>
                  </w:r>
                </w:p>
              </w:tc>
              <w:tc>
                <w:tcPr>
                  <w:tcW w:w="1033"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一般固废</w:t>
                  </w:r>
                </w:p>
              </w:tc>
              <w:tc>
                <w:tcPr>
                  <w:tcW w:w="974"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委托处置</w:t>
                  </w:r>
                </w:p>
              </w:tc>
              <w:tc>
                <w:tcPr>
                  <w:tcW w:w="1192"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零排放</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绿化</w:t>
                  </w:r>
                </w:p>
              </w:tc>
              <w:tc>
                <w:tcPr>
                  <w:tcW w:w="2007" w:type="pct"/>
                  <w:gridSpan w:val="2"/>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1192"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事故应急池</w:t>
                  </w:r>
                </w:p>
              </w:tc>
              <w:tc>
                <w:tcPr>
                  <w:tcW w:w="2007" w:type="pct"/>
                  <w:gridSpan w:val="2"/>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eastAsia" w:ascii="Times New Roman" w:hAnsi="Times New Roman" w:cs="Times New Roman"/>
                      <w:color w:val="auto"/>
                      <w:sz w:val="20"/>
                      <w:szCs w:val="20"/>
                      <w:lang w:val="en-US" w:eastAsia="zh-CN"/>
                    </w:rPr>
                    <w:t>170</w:t>
                  </w: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3</w:t>
                  </w:r>
                </w:p>
              </w:tc>
              <w:tc>
                <w:tcPr>
                  <w:tcW w:w="1192"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初期雨水池</w:t>
                  </w:r>
                </w:p>
              </w:tc>
              <w:tc>
                <w:tcPr>
                  <w:tcW w:w="2007" w:type="pct"/>
                  <w:gridSpan w:val="2"/>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0"/>
                      <w:szCs w:val="20"/>
                      <w:lang w:val="en-US" w:eastAsia="zh-CN"/>
                    </w:rPr>
                  </w:pPr>
                  <w:r>
                    <w:rPr>
                      <w:rFonts w:hint="eastAsia" w:ascii="Times New Roman" w:hAnsi="Times New Roman" w:cs="Times New Roman"/>
                      <w:color w:val="auto"/>
                      <w:sz w:val="20"/>
                      <w:szCs w:val="20"/>
                      <w:lang w:val="en-US" w:eastAsia="zh-CN"/>
                    </w:rPr>
                    <w:t>240</w:t>
                  </w:r>
                  <w:r>
                    <w:rPr>
                      <w:rFonts w:hint="default" w:ascii="Times New Roman" w:hAnsi="Times New Roman" w:cs="Times New Roman"/>
                      <w:color w:val="auto"/>
                      <w:sz w:val="20"/>
                      <w:szCs w:val="20"/>
                    </w:rPr>
                    <w:t>m</w:t>
                  </w:r>
                  <w:r>
                    <w:rPr>
                      <w:rFonts w:hint="default" w:ascii="Times New Roman" w:hAnsi="Times New Roman" w:cs="Times New Roman"/>
                      <w:color w:val="auto"/>
                      <w:sz w:val="20"/>
                      <w:szCs w:val="20"/>
                      <w:vertAlign w:val="superscript"/>
                    </w:rPr>
                    <w:t>3</w:t>
                  </w:r>
                </w:p>
              </w:tc>
              <w:tc>
                <w:tcPr>
                  <w:tcW w:w="1192" w:type="pct"/>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风险物资</w:t>
                  </w:r>
                </w:p>
              </w:tc>
              <w:tc>
                <w:tcPr>
                  <w:tcW w:w="3199"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消防砂、灭火器等</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15"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环境管理</w:t>
                  </w:r>
                </w:p>
              </w:tc>
              <w:tc>
                <w:tcPr>
                  <w:tcW w:w="3199"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专职人员管理</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215"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排污口规范化设置</w:t>
                  </w:r>
                </w:p>
              </w:tc>
              <w:tc>
                <w:tcPr>
                  <w:tcW w:w="3199" w:type="pct"/>
                  <w:gridSpan w:val="3"/>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r>
                    <w:rPr>
                      <w:rFonts w:hint="default" w:ascii="Times New Roman" w:hAnsi="Times New Roman" w:cs="Times New Roman"/>
                      <w:color w:val="auto"/>
                      <w:sz w:val="20"/>
                      <w:szCs w:val="20"/>
                    </w:rPr>
                    <w:t>排污口规范化设置</w:t>
                  </w:r>
                </w:p>
              </w:tc>
              <w:tc>
                <w:tcPr>
                  <w:tcW w:w="584" w:type="pct"/>
                  <w:vMerge w:val="continue"/>
                  <w:noWrap w:val="0"/>
                  <w:vAlign w:val="center"/>
                </w:tcPr>
                <w:p>
                  <w:pPr>
                    <w:pStyle w:val="372"/>
                    <w:keepNext w:val="0"/>
                    <w:keepLines w:val="0"/>
                    <w:pageBreakBefore w:val="0"/>
                    <w:kinsoku/>
                    <w:wordWrap/>
                    <w:overflowPunct/>
                    <w:topLinePunct w:val="0"/>
                    <w:autoSpaceDE/>
                    <w:autoSpaceDN/>
                    <w:bidi w:val="0"/>
                    <w:spacing w:line="240" w:lineRule="auto"/>
                    <w:textAlignment w:val="auto"/>
                    <w:rPr>
                      <w:rFonts w:hint="default" w:ascii="Times New Roman" w:hAnsi="Times New Roman" w:cs="Times New Roman"/>
                      <w:color w:val="auto"/>
                      <w:sz w:val="20"/>
                      <w:szCs w:val="20"/>
                    </w:rPr>
                  </w:pPr>
                </w:p>
              </w:tc>
            </w:tr>
          </w:tbl>
          <w:p>
            <w:pPr>
              <w:autoSpaceDE w:val="0"/>
              <w:autoSpaceDN w:val="0"/>
              <w:adjustRightInd w:val="0"/>
              <w:snapToGrid w:val="0"/>
              <w:spacing w:line="380" w:lineRule="exact"/>
              <w:ind w:firstLine="422" w:firstLineChars="200"/>
              <w:rPr>
                <w:b/>
                <w:bCs/>
                <w:color w:val="auto"/>
                <w:kern w:val="0"/>
                <w:szCs w:val="21"/>
              </w:rPr>
            </w:pPr>
          </w:p>
          <w:p>
            <w:pPr>
              <w:adjustRightInd w:val="0"/>
              <w:snapToGrid w:val="0"/>
              <w:spacing w:line="400" w:lineRule="exact"/>
              <w:rPr>
                <w:color w:val="auto"/>
                <w:kern w:val="0"/>
                <w:szCs w:val="21"/>
              </w:rPr>
            </w:pPr>
          </w:p>
        </w:tc>
      </w:tr>
    </w:tbl>
    <w:p>
      <w:pPr>
        <w:adjustRightInd w:val="0"/>
        <w:snapToGrid w:val="0"/>
        <w:spacing w:line="360" w:lineRule="auto"/>
        <w:rPr>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82"/>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五、</w:t>
      </w:r>
      <w:bookmarkStart w:id="31" w:name="_Hlk54167917"/>
      <w:r>
        <w:rPr>
          <w:rFonts w:ascii="Times New Roman" w:hAnsi="Times New Roman"/>
          <w:snapToGrid w:val="0"/>
          <w:color w:val="auto"/>
          <w:sz w:val="30"/>
          <w:szCs w:val="30"/>
        </w:rPr>
        <w:t>环境保护措施监督检查清单</w:t>
      </w:r>
      <w:bookmarkEnd w:id="31"/>
    </w:p>
    <w:tbl>
      <w:tblPr>
        <w:tblStyle w:val="90"/>
        <w:tblW w:w="491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241"/>
        <w:gridCol w:w="2011"/>
        <w:gridCol w:w="2373"/>
        <w:gridCol w:w="187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tcBorders>
              <w:tl2br w:val="single" w:color="auto" w:sz="4" w:space="0"/>
            </w:tcBorders>
            <w:tcMar>
              <w:left w:w="28" w:type="dxa"/>
              <w:right w:w="28" w:type="dxa"/>
            </w:tcMar>
          </w:tcPr>
          <w:p>
            <w:pPr>
              <w:adjustRightInd w:val="0"/>
              <w:snapToGrid w:val="0"/>
              <w:ind w:firstLine="840"/>
              <w:rPr>
                <w:b/>
                <w:bCs/>
                <w:color w:val="auto"/>
                <w:sz w:val="20"/>
                <w:szCs w:val="20"/>
              </w:rPr>
            </w:pPr>
            <w:r>
              <w:rPr>
                <w:b/>
                <w:bCs/>
                <w:color w:val="auto"/>
                <w:sz w:val="20"/>
                <w:szCs w:val="20"/>
              </w:rPr>
              <w:t>内容</w:t>
            </w:r>
          </w:p>
          <w:p>
            <w:pPr>
              <w:adjustRightInd w:val="0"/>
              <w:snapToGrid w:val="0"/>
              <w:rPr>
                <w:b/>
                <w:bCs/>
                <w:color w:val="auto"/>
                <w:sz w:val="20"/>
                <w:szCs w:val="20"/>
              </w:rPr>
            </w:pPr>
            <w:r>
              <w:rPr>
                <w:b/>
                <w:bCs/>
                <w:color w:val="auto"/>
                <w:sz w:val="20"/>
                <w:szCs w:val="20"/>
              </w:rPr>
              <w:t>要素</w:t>
            </w:r>
          </w:p>
        </w:tc>
        <w:tc>
          <w:tcPr>
            <w:tcW w:w="1241" w:type="dxa"/>
            <w:tcMar>
              <w:left w:w="28" w:type="dxa"/>
              <w:right w:w="28" w:type="dxa"/>
            </w:tcMar>
            <w:vAlign w:val="center"/>
          </w:tcPr>
          <w:p>
            <w:pPr>
              <w:adjustRightInd w:val="0"/>
              <w:snapToGrid w:val="0"/>
              <w:jc w:val="center"/>
              <w:rPr>
                <w:b/>
                <w:bCs/>
                <w:color w:val="auto"/>
                <w:sz w:val="20"/>
                <w:szCs w:val="20"/>
              </w:rPr>
            </w:pPr>
            <w:r>
              <w:rPr>
                <w:b/>
                <w:bCs/>
                <w:color w:val="auto"/>
                <w:sz w:val="20"/>
                <w:szCs w:val="20"/>
              </w:rPr>
              <w:t>排放口(编号、</w:t>
            </w:r>
          </w:p>
          <w:p>
            <w:pPr>
              <w:adjustRightInd w:val="0"/>
              <w:snapToGrid w:val="0"/>
              <w:jc w:val="center"/>
              <w:rPr>
                <w:b/>
                <w:bCs/>
                <w:color w:val="auto"/>
                <w:sz w:val="20"/>
                <w:szCs w:val="20"/>
              </w:rPr>
            </w:pPr>
            <w:r>
              <w:rPr>
                <w:b/>
                <w:bCs/>
                <w:color w:val="auto"/>
                <w:sz w:val="20"/>
                <w:szCs w:val="20"/>
              </w:rPr>
              <w:t>名称)/污染源</w:t>
            </w:r>
          </w:p>
        </w:tc>
        <w:tc>
          <w:tcPr>
            <w:tcW w:w="2011" w:type="dxa"/>
            <w:tcMar>
              <w:left w:w="28" w:type="dxa"/>
              <w:right w:w="28" w:type="dxa"/>
            </w:tcMar>
            <w:vAlign w:val="center"/>
          </w:tcPr>
          <w:p>
            <w:pPr>
              <w:adjustRightInd w:val="0"/>
              <w:snapToGrid w:val="0"/>
              <w:jc w:val="center"/>
              <w:rPr>
                <w:b/>
                <w:bCs/>
                <w:color w:val="auto"/>
                <w:sz w:val="20"/>
                <w:szCs w:val="20"/>
              </w:rPr>
            </w:pPr>
            <w:r>
              <w:rPr>
                <w:b/>
                <w:bCs/>
                <w:color w:val="auto"/>
                <w:sz w:val="20"/>
                <w:szCs w:val="20"/>
              </w:rPr>
              <w:t>污染物项目</w:t>
            </w:r>
          </w:p>
        </w:tc>
        <w:tc>
          <w:tcPr>
            <w:tcW w:w="2373" w:type="dxa"/>
            <w:tcMar>
              <w:left w:w="28" w:type="dxa"/>
              <w:right w:w="28" w:type="dxa"/>
            </w:tcMar>
            <w:vAlign w:val="center"/>
          </w:tcPr>
          <w:p>
            <w:pPr>
              <w:adjustRightInd w:val="0"/>
              <w:snapToGrid w:val="0"/>
              <w:jc w:val="center"/>
              <w:rPr>
                <w:b/>
                <w:bCs/>
                <w:color w:val="auto"/>
                <w:sz w:val="20"/>
                <w:szCs w:val="20"/>
              </w:rPr>
            </w:pPr>
            <w:r>
              <w:rPr>
                <w:b/>
                <w:bCs/>
                <w:color w:val="auto"/>
                <w:sz w:val="20"/>
                <w:szCs w:val="20"/>
              </w:rPr>
              <w:t>环境保护措施</w:t>
            </w:r>
          </w:p>
        </w:tc>
        <w:tc>
          <w:tcPr>
            <w:tcW w:w="1877" w:type="dxa"/>
            <w:tcMar>
              <w:left w:w="28" w:type="dxa"/>
              <w:right w:w="28" w:type="dxa"/>
            </w:tcMar>
            <w:vAlign w:val="center"/>
          </w:tcPr>
          <w:p>
            <w:pPr>
              <w:adjustRightInd w:val="0"/>
              <w:snapToGrid w:val="0"/>
              <w:jc w:val="center"/>
              <w:rPr>
                <w:b/>
                <w:bCs/>
                <w:color w:val="auto"/>
                <w:sz w:val="20"/>
                <w:szCs w:val="20"/>
              </w:rPr>
            </w:pPr>
            <w:r>
              <w:rPr>
                <w:b/>
                <w:bCs/>
                <w:color w:val="auto"/>
                <w:sz w:val="20"/>
                <w:szCs w:val="20"/>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vMerge w:val="restart"/>
            <w:tcMar>
              <w:left w:w="28" w:type="dxa"/>
              <w:right w:w="28" w:type="dxa"/>
            </w:tcMar>
            <w:vAlign w:val="center"/>
          </w:tcPr>
          <w:p>
            <w:pPr>
              <w:adjustRightInd w:val="0"/>
              <w:snapToGrid w:val="0"/>
              <w:jc w:val="center"/>
              <w:rPr>
                <w:color w:val="auto"/>
                <w:sz w:val="20"/>
                <w:szCs w:val="20"/>
              </w:rPr>
            </w:pPr>
            <w:r>
              <w:rPr>
                <w:color w:val="auto"/>
                <w:sz w:val="20"/>
                <w:szCs w:val="20"/>
              </w:rPr>
              <w:t>大气环境</w:t>
            </w:r>
          </w:p>
        </w:tc>
        <w:tc>
          <w:tcPr>
            <w:tcW w:w="1241" w:type="dxa"/>
            <w:tcMar>
              <w:left w:w="28" w:type="dxa"/>
              <w:right w:w="28" w:type="dxa"/>
            </w:tcMar>
            <w:vAlign w:val="center"/>
          </w:tcPr>
          <w:p>
            <w:pPr>
              <w:pStyle w:val="372"/>
              <w:keepNext w:val="0"/>
              <w:keepLines w:val="0"/>
              <w:pageBreakBefore w:val="0"/>
              <w:kinsoku/>
              <w:wordWrap/>
              <w:overflowPunct/>
              <w:topLinePunct w:val="0"/>
              <w:autoSpaceDE/>
              <w:autoSpaceDN/>
              <w:bidi w:val="0"/>
              <w:spacing w:line="240" w:lineRule="auto"/>
              <w:textAlignment w:val="auto"/>
              <w:rPr>
                <w:rFonts w:hint="eastAsia" w:eastAsia="宋体"/>
                <w:color w:val="auto"/>
                <w:sz w:val="20"/>
                <w:szCs w:val="20"/>
                <w:lang w:eastAsia="zh-CN"/>
              </w:rPr>
            </w:pPr>
            <w:r>
              <w:rPr>
                <w:rFonts w:hint="eastAsia" w:ascii="Times New Roman" w:hAnsi="Times New Roman" w:cs="Times New Roman"/>
                <w:color w:val="auto"/>
                <w:sz w:val="20"/>
                <w:szCs w:val="20"/>
                <w:lang w:val="en-US" w:eastAsia="zh-CN"/>
              </w:rPr>
              <w:t>DA001</w:t>
            </w:r>
          </w:p>
        </w:tc>
        <w:tc>
          <w:tcPr>
            <w:tcW w:w="2011" w:type="dxa"/>
            <w:tcMar>
              <w:left w:w="28" w:type="dxa"/>
              <w:right w:w="28" w:type="dxa"/>
            </w:tcMar>
            <w:vAlign w:val="center"/>
          </w:tcPr>
          <w:p>
            <w:pPr>
              <w:adjustRightInd w:val="0"/>
              <w:snapToGrid w:val="0"/>
              <w:jc w:val="center"/>
              <w:rPr>
                <w:rFonts w:hint="eastAsia"/>
                <w:bCs/>
                <w:sz w:val="20"/>
                <w:szCs w:val="20"/>
                <w:lang w:eastAsia="zh-CN"/>
              </w:rPr>
            </w:pPr>
            <w:r>
              <w:rPr>
                <w:rFonts w:hint="default"/>
                <w:bCs/>
                <w:sz w:val="20"/>
                <w:szCs w:val="20"/>
              </w:rPr>
              <w:t>非甲烷总烃</w:t>
            </w:r>
            <w:r>
              <w:rPr>
                <w:rFonts w:hint="eastAsia"/>
                <w:bCs/>
                <w:sz w:val="20"/>
                <w:szCs w:val="20"/>
                <w:lang w:eastAsia="zh-CN"/>
              </w:rPr>
              <w:t>、</w:t>
            </w:r>
            <w:r>
              <w:rPr>
                <w:rFonts w:hint="eastAsia"/>
                <w:bCs/>
                <w:sz w:val="20"/>
                <w:szCs w:val="20"/>
                <w:lang w:val="en-US" w:eastAsia="zh-CN"/>
              </w:rPr>
              <w:t>颗粒物</w:t>
            </w:r>
          </w:p>
        </w:tc>
        <w:tc>
          <w:tcPr>
            <w:tcW w:w="2373" w:type="dxa"/>
            <w:tcMar>
              <w:left w:w="28" w:type="dxa"/>
              <w:right w:w="28" w:type="dxa"/>
            </w:tcMar>
            <w:vAlign w:val="center"/>
          </w:tcPr>
          <w:p>
            <w:pPr>
              <w:adjustRightInd w:val="0"/>
              <w:snapToGrid w:val="0"/>
              <w:jc w:val="center"/>
              <w:rPr>
                <w:rFonts w:hint="default"/>
                <w:bCs/>
                <w:sz w:val="20"/>
                <w:szCs w:val="20"/>
                <w:lang w:val="en-US"/>
              </w:rPr>
            </w:pPr>
            <w:r>
              <w:rPr>
                <w:rFonts w:hint="eastAsia"/>
                <w:bCs/>
                <w:sz w:val="20"/>
                <w:szCs w:val="20"/>
                <w:lang w:val="en-US" w:eastAsia="zh-CN"/>
              </w:rPr>
              <w:t>拉毛、刷呢、剪毛、烫光和摇粒废气由布袋除尘处理，定型和蒸呢废气由水喷淋+静电净化处理</w:t>
            </w:r>
          </w:p>
        </w:tc>
        <w:tc>
          <w:tcPr>
            <w:tcW w:w="1877" w:type="dxa"/>
            <w:tcMar>
              <w:left w:w="28" w:type="dxa"/>
              <w:right w:w="28" w:type="dxa"/>
            </w:tcMar>
            <w:vAlign w:val="center"/>
          </w:tcPr>
          <w:p>
            <w:pPr>
              <w:adjustRightInd w:val="0"/>
              <w:snapToGrid w:val="0"/>
              <w:jc w:val="center"/>
              <w:rPr>
                <w:rFonts w:hint="eastAsia" w:eastAsia="宋体"/>
                <w:color w:val="auto"/>
                <w:sz w:val="20"/>
                <w:szCs w:val="20"/>
                <w:lang w:val="en-US" w:eastAsia="zh-CN"/>
              </w:rPr>
            </w:pPr>
            <w:r>
              <w:rPr>
                <w:rFonts w:hint="eastAsia"/>
                <w:bCs/>
                <w:sz w:val="20"/>
                <w:szCs w:val="20"/>
              </w:rPr>
              <w:t>DB32/4041-202</w:t>
            </w:r>
            <w:r>
              <w:rPr>
                <w:rFonts w:hint="eastAsia"/>
                <w:bCs/>
                <w:sz w:val="20"/>
                <w:szCs w:val="20"/>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5" w:type="dxa"/>
            <w:vMerge w:val="continue"/>
            <w:tcMar>
              <w:left w:w="28" w:type="dxa"/>
              <w:right w:w="28" w:type="dxa"/>
            </w:tcMar>
            <w:vAlign w:val="center"/>
          </w:tcPr>
          <w:p>
            <w:pPr>
              <w:adjustRightInd w:val="0"/>
              <w:snapToGrid w:val="0"/>
              <w:jc w:val="center"/>
              <w:rPr>
                <w:color w:val="auto"/>
                <w:sz w:val="20"/>
                <w:szCs w:val="20"/>
              </w:rPr>
            </w:pPr>
          </w:p>
        </w:tc>
        <w:tc>
          <w:tcPr>
            <w:tcW w:w="1241" w:type="dxa"/>
            <w:tcMar>
              <w:left w:w="28" w:type="dxa"/>
              <w:right w:w="28" w:type="dxa"/>
            </w:tcMar>
            <w:vAlign w:val="center"/>
          </w:tcPr>
          <w:p>
            <w:pPr>
              <w:pStyle w:val="372"/>
              <w:keepNext w:val="0"/>
              <w:keepLines w:val="0"/>
              <w:pageBreakBefore w:val="0"/>
              <w:kinsoku/>
              <w:wordWrap/>
              <w:overflowPunct/>
              <w:topLinePunct w:val="0"/>
              <w:autoSpaceDE/>
              <w:autoSpaceDN/>
              <w:bidi w:val="0"/>
              <w:spacing w:line="240" w:lineRule="auto"/>
              <w:textAlignment w:val="auto"/>
              <w:rPr>
                <w:color w:val="auto"/>
                <w:sz w:val="20"/>
                <w:szCs w:val="20"/>
              </w:rPr>
            </w:pPr>
            <w:r>
              <w:rPr>
                <w:rFonts w:hint="eastAsia" w:ascii="Times New Roman" w:hAnsi="Times New Roman" w:cs="Times New Roman"/>
                <w:color w:val="auto"/>
                <w:sz w:val="20"/>
                <w:szCs w:val="20"/>
                <w:lang w:val="en-US" w:eastAsia="zh-CN"/>
              </w:rPr>
              <w:t>DA002</w:t>
            </w:r>
          </w:p>
        </w:tc>
        <w:tc>
          <w:tcPr>
            <w:tcW w:w="2011" w:type="dxa"/>
            <w:tcMar>
              <w:left w:w="28" w:type="dxa"/>
              <w:right w:w="28" w:type="dxa"/>
            </w:tcMar>
            <w:vAlign w:val="center"/>
          </w:tcPr>
          <w:p>
            <w:pPr>
              <w:pStyle w:val="372"/>
              <w:keepNext w:val="0"/>
              <w:keepLines w:val="0"/>
              <w:pageBreakBefore w:val="0"/>
              <w:kinsoku/>
              <w:wordWrap/>
              <w:overflowPunct/>
              <w:topLinePunct w:val="0"/>
              <w:autoSpaceDE/>
              <w:autoSpaceDN/>
              <w:bidi w:val="0"/>
              <w:spacing w:line="240" w:lineRule="auto"/>
              <w:textAlignment w:val="auto"/>
              <w:rPr>
                <w:color w:val="auto"/>
                <w:sz w:val="20"/>
                <w:szCs w:val="20"/>
              </w:rPr>
            </w:pPr>
            <w:r>
              <w:rPr>
                <w:rFonts w:hint="eastAsia" w:ascii="Times New Roman" w:hAnsi="Times New Roman" w:cs="Times New Roman"/>
                <w:color w:val="auto"/>
                <w:sz w:val="20"/>
                <w:szCs w:val="20"/>
                <w:lang w:val="en-US" w:eastAsia="zh-CN"/>
              </w:rPr>
              <w:t>颗粒物、SO</w:t>
            </w:r>
            <w:r>
              <w:rPr>
                <w:rFonts w:hint="eastAsia" w:ascii="Times New Roman" w:hAnsi="Times New Roman" w:cs="Times New Roman"/>
                <w:color w:val="auto"/>
                <w:sz w:val="20"/>
                <w:szCs w:val="20"/>
                <w:vertAlign w:val="subscript"/>
                <w:lang w:val="en-US" w:eastAsia="zh-CN"/>
              </w:rPr>
              <w:t>2</w:t>
            </w:r>
            <w:r>
              <w:rPr>
                <w:rFonts w:hint="eastAsia" w:ascii="Times New Roman" w:hAnsi="Times New Roman" w:cs="Times New Roman"/>
                <w:color w:val="auto"/>
                <w:sz w:val="20"/>
                <w:szCs w:val="20"/>
                <w:lang w:val="en-US" w:eastAsia="zh-CN"/>
              </w:rPr>
              <w:t>、NO</w:t>
            </w:r>
            <w:r>
              <w:rPr>
                <w:rFonts w:hint="eastAsia" w:ascii="Times New Roman" w:hAnsi="Times New Roman" w:cs="Times New Roman"/>
                <w:color w:val="auto"/>
                <w:sz w:val="20"/>
                <w:szCs w:val="20"/>
                <w:vertAlign w:val="subscript"/>
                <w:lang w:val="en-US" w:eastAsia="zh-CN"/>
              </w:rPr>
              <w:t>x</w:t>
            </w:r>
            <w:r>
              <w:rPr>
                <w:rFonts w:hint="eastAsia" w:ascii="Times New Roman" w:hAnsi="Times New Roman" w:cs="Times New Roman"/>
                <w:color w:val="auto"/>
                <w:sz w:val="20"/>
                <w:szCs w:val="20"/>
                <w:lang w:val="en-US" w:eastAsia="zh-CN"/>
              </w:rPr>
              <w:t>、汞及其化合物</w:t>
            </w:r>
          </w:p>
        </w:tc>
        <w:tc>
          <w:tcPr>
            <w:tcW w:w="2373" w:type="dxa"/>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rPr>
                <w:color w:val="auto"/>
                <w:kern w:val="0"/>
                <w:sz w:val="20"/>
                <w:szCs w:val="20"/>
              </w:rPr>
            </w:pPr>
            <w:r>
              <w:rPr>
                <w:rFonts w:hint="eastAsia" w:cs="Times New Roman"/>
                <w:kern w:val="0"/>
                <w:sz w:val="20"/>
                <w:szCs w:val="20"/>
                <w:lang w:val="en-US" w:eastAsia="zh-CN" w:bidi="ar"/>
              </w:rPr>
              <w:t>低</w:t>
            </w:r>
            <w:r>
              <w:rPr>
                <w:rFonts w:hint="eastAsia" w:ascii="Times New Roman" w:hAnsi="Times New Roman" w:eastAsia="宋体" w:cs="Times New Roman"/>
                <w:kern w:val="0"/>
                <w:sz w:val="20"/>
                <w:szCs w:val="20"/>
                <w:lang w:val="en-US" w:eastAsia="zh-CN" w:bidi="ar"/>
              </w:rPr>
              <w:t>氮燃烧+SNCR+石灰喷雾干燥+</w:t>
            </w:r>
            <w:r>
              <w:rPr>
                <w:rFonts w:hint="eastAsia" w:cs="Times New Roman"/>
                <w:kern w:val="0"/>
                <w:sz w:val="20"/>
                <w:szCs w:val="20"/>
                <w:lang w:val="en-US" w:eastAsia="zh-CN" w:bidi="ar"/>
              </w:rPr>
              <w:t>余热回收+旋风除尘+布袋除尘+水幕除尘</w:t>
            </w:r>
          </w:p>
        </w:tc>
        <w:tc>
          <w:tcPr>
            <w:tcW w:w="1877" w:type="dxa"/>
            <w:tcMar>
              <w:left w:w="28" w:type="dxa"/>
              <w:right w:w="28" w:type="dxa"/>
            </w:tcMar>
            <w:vAlign w:val="center"/>
          </w:tcPr>
          <w:p>
            <w:pPr>
              <w:adjustRightInd w:val="0"/>
              <w:snapToGrid w:val="0"/>
              <w:jc w:val="center"/>
              <w:rPr>
                <w:color w:val="auto"/>
                <w:sz w:val="20"/>
                <w:szCs w:val="20"/>
              </w:rPr>
            </w:pPr>
            <w:r>
              <w:rPr>
                <w:rFonts w:hint="eastAsia"/>
                <w:sz w:val="20"/>
                <w:szCs w:val="20"/>
              </w:rPr>
              <w:t>DB32/4385-2022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245" w:type="dxa"/>
            <w:vMerge w:val="continue"/>
            <w:tcMar>
              <w:left w:w="28" w:type="dxa"/>
              <w:right w:w="28" w:type="dxa"/>
            </w:tcMar>
            <w:vAlign w:val="center"/>
          </w:tcPr>
          <w:p>
            <w:pPr>
              <w:adjustRightInd w:val="0"/>
              <w:snapToGrid w:val="0"/>
              <w:jc w:val="center"/>
            </w:pPr>
          </w:p>
        </w:tc>
        <w:tc>
          <w:tcPr>
            <w:tcW w:w="1241" w:type="dxa"/>
            <w:shd w:val="clear" w:color="auto" w:fill="auto"/>
            <w:tcMar>
              <w:left w:w="28" w:type="dxa"/>
              <w:right w:w="28" w:type="dxa"/>
            </w:tcMar>
            <w:vAlign w:val="center"/>
          </w:tcPr>
          <w:p>
            <w:pPr>
              <w:pStyle w:val="372"/>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Cs/>
                <w:color w:val="auto"/>
                <w:kern w:val="0"/>
                <w:sz w:val="20"/>
                <w:szCs w:val="20"/>
                <w:lang w:val="en-US" w:eastAsia="zh-CN" w:bidi="ar-SA"/>
              </w:rPr>
            </w:pPr>
            <w:r>
              <w:rPr>
                <w:rFonts w:hint="eastAsia" w:ascii="Times New Roman" w:hAnsi="Times New Roman" w:cs="Times New Roman"/>
                <w:color w:val="auto"/>
                <w:sz w:val="20"/>
                <w:szCs w:val="20"/>
                <w:lang w:val="en-US" w:eastAsia="zh-CN"/>
              </w:rPr>
              <w:t>DA003</w:t>
            </w:r>
          </w:p>
        </w:tc>
        <w:tc>
          <w:tcPr>
            <w:tcW w:w="2011" w:type="dxa"/>
            <w:shd w:val="clear" w:color="auto" w:fill="auto"/>
            <w:tcMar>
              <w:left w:w="28" w:type="dxa"/>
              <w:right w:w="28" w:type="dxa"/>
            </w:tcMar>
            <w:vAlign w:val="center"/>
          </w:tcPr>
          <w:p>
            <w:pPr>
              <w:pStyle w:val="372"/>
              <w:keepNext w:val="0"/>
              <w:keepLines w:val="0"/>
              <w:pageBreakBefore w:val="0"/>
              <w:kinsoku/>
              <w:wordWrap/>
              <w:overflowPunct/>
              <w:topLinePunct w:val="0"/>
              <w:autoSpaceDE/>
              <w:autoSpaceDN/>
              <w:bidi w:val="0"/>
              <w:spacing w:line="240" w:lineRule="auto"/>
              <w:textAlignment w:val="auto"/>
              <w:rPr>
                <w:rFonts w:hint="eastAsia" w:ascii="宋体" w:hAnsi="宋体" w:eastAsia="宋体" w:cs="宋体"/>
                <w:bCs/>
                <w:color w:val="auto"/>
                <w:kern w:val="0"/>
                <w:sz w:val="20"/>
                <w:szCs w:val="20"/>
                <w:lang w:val="en-US" w:eastAsia="zh-CN" w:bidi="ar-SA"/>
              </w:rPr>
            </w:pPr>
            <w:r>
              <w:rPr>
                <w:rFonts w:hint="eastAsia" w:ascii="Times New Roman" w:hAnsi="Times New Roman" w:cs="Times New Roman"/>
                <w:color w:val="auto"/>
                <w:sz w:val="20"/>
                <w:szCs w:val="20"/>
                <w:lang w:val="en-US" w:eastAsia="zh-CN"/>
              </w:rPr>
              <w:t>颗粒物、SO</w:t>
            </w:r>
            <w:r>
              <w:rPr>
                <w:rFonts w:hint="eastAsia" w:ascii="Times New Roman" w:hAnsi="Times New Roman" w:cs="Times New Roman"/>
                <w:color w:val="auto"/>
                <w:sz w:val="20"/>
                <w:szCs w:val="20"/>
                <w:vertAlign w:val="subscript"/>
                <w:lang w:val="en-US" w:eastAsia="zh-CN"/>
              </w:rPr>
              <w:t>2</w:t>
            </w:r>
            <w:r>
              <w:rPr>
                <w:rFonts w:hint="eastAsia" w:ascii="Times New Roman" w:hAnsi="Times New Roman" w:cs="Times New Roman"/>
                <w:color w:val="auto"/>
                <w:sz w:val="20"/>
                <w:szCs w:val="20"/>
                <w:lang w:val="en-US" w:eastAsia="zh-CN"/>
              </w:rPr>
              <w:t>、NO</w:t>
            </w:r>
            <w:r>
              <w:rPr>
                <w:rFonts w:hint="eastAsia" w:ascii="Times New Roman" w:hAnsi="Times New Roman" w:cs="Times New Roman"/>
                <w:color w:val="auto"/>
                <w:sz w:val="20"/>
                <w:szCs w:val="20"/>
                <w:vertAlign w:val="subscript"/>
                <w:lang w:val="en-US" w:eastAsia="zh-CN"/>
              </w:rPr>
              <w:t>x</w:t>
            </w:r>
            <w:r>
              <w:rPr>
                <w:rFonts w:hint="eastAsia" w:ascii="Times New Roman" w:hAnsi="Times New Roman" w:cs="Times New Roman"/>
                <w:color w:val="auto"/>
                <w:sz w:val="20"/>
                <w:szCs w:val="20"/>
                <w:lang w:val="en-US" w:eastAsia="zh-CN"/>
              </w:rPr>
              <w:t>、汞及其化合物</w:t>
            </w:r>
          </w:p>
        </w:tc>
        <w:tc>
          <w:tcPr>
            <w:tcW w:w="2373" w:type="dxa"/>
            <w:shd w:val="clear" w:color="auto" w:fill="auto"/>
            <w:tcMar>
              <w:left w:w="28" w:type="dxa"/>
              <w:right w:w="28" w:type="dxa"/>
            </w:tcMar>
            <w:vAlign w:val="center"/>
          </w:tcPr>
          <w:p>
            <w:pPr>
              <w:keepNext w:val="0"/>
              <w:keepLines w:val="0"/>
              <w:pageBreakBefore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kern w:val="0"/>
                <w:sz w:val="20"/>
                <w:szCs w:val="20"/>
                <w:lang w:val="en-US" w:eastAsia="zh-CN" w:bidi="ar-SA"/>
              </w:rPr>
            </w:pPr>
            <w:r>
              <w:rPr>
                <w:rFonts w:hint="eastAsia" w:cs="Times New Roman"/>
                <w:kern w:val="0"/>
                <w:sz w:val="20"/>
                <w:szCs w:val="20"/>
                <w:lang w:val="en-US" w:eastAsia="zh-CN" w:bidi="ar"/>
              </w:rPr>
              <w:t>低</w:t>
            </w:r>
            <w:r>
              <w:rPr>
                <w:rFonts w:hint="eastAsia" w:ascii="Times New Roman" w:hAnsi="Times New Roman" w:eastAsia="宋体" w:cs="Times New Roman"/>
                <w:kern w:val="0"/>
                <w:sz w:val="20"/>
                <w:szCs w:val="20"/>
                <w:lang w:val="en-US" w:eastAsia="zh-CN" w:bidi="ar"/>
              </w:rPr>
              <w:t>氮燃烧+SNCR+石灰喷雾干燥+</w:t>
            </w:r>
            <w:r>
              <w:rPr>
                <w:rFonts w:hint="eastAsia" w:cs="Times New Roman"/>
                <w:kern w:val="0"/>
                <w:sz w:val="20"/>
                <w:szCs w:val="20"/>
                <w:lang w:val="en-US" w:eastAsia="zh-CN" w:bidi="ar"/>
              </w:rPr>
              <w:t>余热回收+旋风除尘+布袋除尘+水幕除尘</w:t>
            </w:r>
          </w:p>
        </w:tc>
        <w:tc>
          <w:tcPr>
            <w:tcW w:w="1877" w:type="dxa"/>
            <w:shd w:val="clear" w:color="auto" w:fill="auto"/>
            <w:tcMar>
              <w:left w:w="28" w:type="dxa"/>
              <w:right w:w="28" w:type="dxa"/>
            </w:tcMar>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sz w:val="20"/>
                <w:szCs w:val="20"/>
              </w:rPr>
              <w:t>DB32/4385-2022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45" w:type="dxa"/>
            <w:vMerge w:val="continue"/>
            <w:tcMar>
              <w:left w:w="28" w:type="dxa"/>
              <w:right w:w="28" w:type="dxa"/>
            </w:tcMar>
            <w:vAlign w:val="center"/>
          </w:tcPr>
          <w:p>
            <w:pPr>
              <w:adjustRightInd w:val="0"/>
              <w:snapToGrid w:val="0"/>
              <w:jc w:val="center"/>
              <w:rPr>
                <w:color w:val="auto"/>
                <w:sz w:val="20"/>
                <w:szCs w:val="20"/>
              </w:rPr>
            </w:pPr>
          </w:p>
        </w:tc>
        <w:tc>
          <w:tcPr>
            <w:tcW w:w="1241" w:type="dxa"/>
            <w:tcMar>
              <w:left w:w="28" w:type="dxa"/>
              <w:right w:w="28" w:type="dxa"/>
            </w:tcMar>
            <w:vAlign w:val="center"/>
          </w:tcPr>
          <w:p>
            <w:pPr>
              <w:adjustRightInd w:val="0"/>
              <w:snapToGrid w:val="0"/>
              <w:jc w:val="center"/>
              <w:rPr>
                <w:color w:val="auto"/>
                <w:sz w:val="20"/>
                <w:szCs w:val="20"/>
              </w:rPr>
            </w:pPr>
            <w:r>
              <w:rPr>
                <w:color w:val="auto"/>
                <w:sz w:val="20"/>
                <w:szCs w:val="20"/>
              </w:rPr>
              <w:t>厂界无组织</w:t>
            </w:r>
          </w:p>
        </w:tc>
        <w:tc>
          <w:tcPr>
            <w:tcW w:w="2011" w:type="dxa"/>
            <w:tcMar>
              <w:left w:w="28" w:type="dxa"/>
              <w:right w:w="28" w:type="dxa"/>
            </w:tcMar>
            <w:vAlign w:val="center"/>
          </w:tcPr>
          <w:p>
            <w:pPr>
              <w:adjustRightInd w:val="0"/>
              <w:snapToGrid w:val="0"/>
              <w:jc w:val="center"/>
              <w:rPr>
                <w:rFonts w:hint="default"/>
                <w:color w:val="auto"/>
                <w:sz w:val="20"/>
                <w:szCs w:val="20"/>
                <w:lang w:val="en-US"/>
              </w:rPr>
            </w:pPr>
            <w:r>
              <w:rPr>
                <w:rFonts w:hint="default" w:ascii="Times New Roman" w:hAnsi="Times New Roman" w:cs="Times New Roman"/>
                <w:color w:val="auto"/>
                <w:kern w:val="0"/>
                <w:sz w:val="20"/>
                <w:szCs w:val="20"/>
              </w:rPr>
              <w:t>颗粒物</w:t>
            </w:r>
            <w:r>
              <w:rPr>
                <w:rFonts w:hint="eastAsia" w:ascii="Times New Roman" w:hAnsi="Times New Roman" w:cs="Times New Roman"/>
                <w:color w:val="auto"/>
                <w:kern w:val="0"/>
                <w:sz w:val="20"/>
                <w:szCs w:val="20"/>
                <w:lang w:eastAsia="zh-CN"/>
              </w:rPr>
              <w:t>、</w:t>
            </w:r>
            <w:r>
              <w:rPr>
                <w:rFonts w:hint="default" w:ascii="Times New Roman" w:hAnsi="Times New Roman" w:cs="Times New Roman"/>
                <w:color w:val="auto"/>
                <w:sz w:val="20"/>
                <w:szCs w:val="20"/>
              </w:rPr>
              <w:t>非甲烷总烃</w:t>
            </w:r>
            <w:r>
              <w:rPr>
                <w:rFonts w:hint="default" w:ascii="Times New Roman" w:hAnsi="Times New Roman" w:cs="Times New Roman"/>
                <w:color w:val="auto"/>
                <w:kern w:val="0"/>
                <w:sz w:val="20"/>
                <w:szCs w:val="20"/>
              </w:rPr>
              <w:t>、</w:t>
            </w:r>
            <w:r>
              <w:rPr>
                <w:rFonts w:hint="eastAsia" w:ascii="Times New Roman" w:hAnsi="Times New Roman" w:cs="Times New Roman"/>
                <w:color w:val="auto"/>
                <w:sz w:val="20"/>
                <w:szCs w:val="20"/>
                <w:lang w:val="en-US" w:eastAsia="zh-CN"/>
              </w:rPr>
              <w:t>SO</w:t>
            </w:r>
            <w:r>
              <w:rPr>
                <w:rFonts w:hint="eastAsia" w:ascii="Times New Roman" w:hAnsi="Times New Roman" w:cs="Times New Roman"/>
                <w:color w:val="auto"/>
                <w:sz w:val="20"/>
                <w:szCs w:val="20"/>
                <w:vertAlign w:val="subscript"/>
                <w:lang w:val="en-US" w:eastAsia="zh-CN"/>
              </w:rPr>
              <w:t>2</w:t>
            </w:r>
            <w:r>
              <w:rPr>
                <w:rFonts w:hint="eastAsia" w:ascii="Times New Roman" w:hAnsi="Times New Roman" w:cs="Times New Roman"/>
                <w:color w:val="auto"/>
                <w:sz w:val="20"/>
                <w:szCs w:val="20"/>
                <w:lang w:val="en-US" w:eastAsia="zh-CN"/>
              </w:rPr>
              <w:t>、NO</w:t>
            </w:r>
            <w:r>
              <w:rPr>
                <w:rFonts w:hint="eastAsia" w:ascii="Times New Roman" w:hAnsi="Times New Roman" w:cs="Times New Roman"/>
                <w:color w:val="auto"/>
                <w:sz w:val="20"/>
                <w:szCs w:val="20"/>
                <w:vertAlign w:val="subscript"/>
                <w:lang w:val="en-US" w:eastAsia="zh-CN"/>
              </w:rPr>
              <w:t>x</w:t>
            </w:r>
            <w:r>
              <w:rPr>
                <w:rFonts w:hint="eastAsia" w:ascii="Times New Roman" w:hAnsi="Times New Roman" w:cs="Times New Roman"/>
                <w:color w:val="auto"/>
                <w:sz w:val="20"/>
                <w:szCs w:val="20"/>
                <w:lang w:val="en-US" w:eastAsia="zh-CN"/>
              </w:rPr>
              <w:t>、汞及其化合物</w:t>
            </w:r>
            <w:r>
              <w:rPr>
                <w:rFonts w:hint="default" w:ascii="Times New Roman" w:hAnsi="Times New Roman" w:cs="Times New Roman"/>
                <w:color w:val="auto"/>
                <w:sz w:val="20"/>
                <w:szCs w:val="20"/>
              </w:rPr>
              <w:t>、</w:t>
            </w:r>
            <w:r>
              <w:rPr>
                <w:rFonts w:hint="eastAsia" w:ascii="Times New Roman" w:hAnsi="Times New Roman" w:cs="Times New Roman"/>
                <w:color w:val="auto"/>
                <w:sz w:val="20"/>
                <w:szCs w:val="20"/>
                <w:lang w:val="en-US" w:eastAsia="zh-CN"/>
              </w:rPr>
              <w:t>臭气浓度、氨</w:t>
            </w:r>
          </w:p>
        </w:tc>
        <w:tc>
          <w:tcPr>
            <w:tcW w:w="2373" w:type="dxa"/>
            <w:tcMar>
              <w:left w:w="28" w:type="dxa"/>
              <w:right w:w="28" w:type="dxa"/>
            </w:tcMar>
            <w:vAlign w:val="center"/>
          </w:tcPr>
          <w:p>
            <w:pPr>
              <w:adjustRightInd w:val="0"/>
              <w:snapToGrid w:val="0"/>
              <w:jc w:val="center"/>
              <w:rPr>
                <w:color w:val="auto"/>
                <w:sz w:val="20"/>
                <w:szCs w:val="20"/>
              </w:rPr>
            </w:pPr>
            <w:r>
              <w:rPr>
                <w:color w:val="auto"/>
                <w:sz w:val="20"/>
                <w:szCs w:val="20"/>
              </w:rPr>
              <w:t>-</w:t>
            </w:r>
          </w:p>
        </w:tc>
        <w:tc>
          <w:tcPr>
            <w:tcW w:w="1877" w:type="dxa"/>
            <w:tcMar>
              <w:left w:w="28" w:type="dxa"/>
              <w:right w:w="28" w:type="dxa"/>
            </w:tcMar>
            <w:vAlign w:val="center"/>
          </w:tcPr>
          <w:p>
            <w:pPr>
              <w:adjustRightInd w:val="0"/>
              <w:snapToGrid w:val="0"/>
              <w:jc w:val="center"/>
              <w:rPr>
                <w:rFonts w:ascii="Times New Roman" w:hAnsi="Times New Roman" w:eastAsia="宋体" w:cs="Times New Roman"/>
                <w:color w:val="auto"/>
                <w:sz w:val="20"/>
                <w:szCs w:val="20"/>
              </w:rPr>
            </w:pPr>
            <w:r>
              <w:rPr>
                <w:rFonts w:hint="eastAsia" w:ascii="Times New Roman" w:hAnsi="Times New Roman" w:eastAsia="宋体" w:cs="Times New Roman"/>
                <w:color w:val="auto"/>
                <w:sz w:val="20"/>
                <w:szCs w:val="20"/>
              </w:rPr>
              <w:t>DB32/3728-2020</w:t>
            </w:r>
            <w:r>
              <w:rPr>
                <w:rFonts w:hint="eastAsia" w:ascii="Times New Roman" w:hAnsi="Times New Roman" w:eastAsia="宋体" w:cs="Times New Roman"/>
                <w:color w:val="auto"/>
                <w:sz w:val="20"/>
                <w:szCs w:val="20"/>
                <w:lang w:eastAsia="zh-CN"/>
              </w:rPr>
              <w:t>、</w:t>
            </w:r>
            <w:r>
              <w:rPr>
                <w:rFonts w:ascii="Times New Roman" w:hAnsi="Times New Roman" w:eastAsia="宋体" w:cs="Times New Roman"/>
                <w:color w:val="auto"/>
                <w:sz w:val="20"/>
                <w:szCs w:val="20"/>
              </w:rPr>
              <w:t>GB14554-93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vMerge w:val="continue"/>
            <w:tcMar>
              <w:left w:w="28" w:type="dxa"/>
              <w:right w:w="28" w:type="dxa"/>
            </w:tcMar>
            <w:vAlign w:val="center"/>
          </w:tcPr>
          <w:p>
            <w:pPr>
              <w:adjustRightInd w:val="0"/>
              <w:snapToGrid w:val="0"/>
              <w:jc w:val="center"/>
              <w:rPr>
                <w:color w:val="auto"/>
                <w:sz w:val="20"/>
                <w:szCs w:val="20"/>
              </w:rPr>
            </w:pPr>
          </w:p>
        </w:tc>
        <w:tc>
          <w:tcPr>
            <w:tcW w:w="1241" w:type="dxa"/>
            <w:tcMar>
              <w:left w:w="28" w:type="dxa"/>
              <w:right w:w="28" w:type="dxa"/>
            </w:tcMar>
            <w:vAlign w:val="center"/>
          </w:tcPr>
          <w:p>
            <w:pPr>
              <w:adjustRightInd w:val="0"/>
              <w:snapToGrid w:val="0"/>
              <w:jc w:val="center"/>
              <w:rPr>
                <w:color w:val="auto"/>
                <w:sz w:val="20"/>
                <w:szCs w:val="20"/>
              </w:rPr>
            </w:pPr>
            <w:r>
              <w:rPr>
                <w:color w:val="auto"/>
                <w:sz w:val="20"/>
                <w:szCs w:val="20"/>
              </w:rPr>
              <w:t>厂区内</w:t>
            </w:r>
          </w:p>
        </w:tc>
        <w:tc>
          <w:tcPr>
            <w:tcW w:w="2011" w:type="dxa"/>
            <w:tcMar>
              <w:left w:w="28" w:type="dxa"/>
              <w:right w:w="28" w:type="dxa"/>
            </w:tcMar>
            <w:vAlign w:val="center"/>
          </w:tcPr>
          <w:p>
            <w:pPr>
              <w:adjustRightInd w:val="0"/>
              <w:snapToGrid w:val="0"/>
              <w:jc w:val="center"/>
              <w:rPr>
                <w:color w:val="auto"/>
                <w:sz w:val="20"/>
                <w:szCs w:val="20"/>
              </w:rPr>
            </w:pPr>
            <w:r>
              <w:rPr>
                <w:color w:val="auto"/>
                <w:sz w:val="20"/>
                <w:szCs w:val="20"/>
              </w:rPr>
              <w:t>非甲烷总烃</w:t>
            </w:r>
          </w:p>
        </w:tc>
        <w:tc>
          <w:tcPr>
            <w:tcW w:w="2373" w:type="dxa"/>
            <w:tcMar>
              <w:left w:w="28" w:type="dxa"/>
              <w:right w:w="28" w:type="dxa"/>
            </w:tcMar>
            <w:vAlign w:val="center"/>
          </w:tcPr>
          <w:p>
            <w:pPr>
              <w:adjustRightInd w:val="0"/>
              <w:snapToGrid w:val="0"/>
              <w:jc w:val="center"/>
              <w:rPr>
                <w:color w:val="auto"/>
                <w:sz w:val="20"/>
                <w:szCs w:val="20"/>
              </w:rPr>
            </w:pPr>
            <w:r>
              <w:rPr>
                <w:color w:val="auto"/>
                <w:sz w:val="20"/>
                <w:szCs w:val="20"/>
              </w:rPr>
              <w:t>-</w:t>
            </w:r>
          </w:p>
        </w:tc>
        <w:tc>
          <w:tcPr>
            <w:tcW w:w="1877" w:type="dxa"/>
            <w:tcMar>
              <w:left w:w="28" w:type="dxa"/>
              <w:right w:w="28" w:type="dxa"/>
            </w:tcMar>
            <w:vAlign w:val="center"/>
          </w:tcPr>
          <w:p>
            <w:pPr>
              <w:adjustRightInd w:val="0"/>
              <w:snapToGrid w:val="0"/>
              <w:jc w:val="center"/>
              <w:rPr>
                <w:rFonts w:ascii="Times New Roman" w:hAnsi="Times New Roman" w:eastAsia="宋体" w:cs="Times New Roman"/>
                <w:color w:val="auto"/>
                <w:sz w:val="20"/>
                <w:szCs w:val="20"/>
              </w:rPr>
            </w:pPr>
            <w:r>
              <w:rPr>
                <w:rFonts w:ascii="Times New Roman" w:hAnsi="Times New Roman" w:eastAsia="宋体" w:cs="Times New Roman"/>
                <w:color w:val="auto"/>
                <w:sz w:val="20"/>
                <w:szCs w:val="20"/>
              </w:rPr>
              <w:t>DB32/4041-2021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vMerge w:val="restart"/>
            <w:tcMar>
              <w:left w:w="28" w:type="dxa"/>
              <w:right w:w="28" w:type="dxa"/>
            </w:tcMar>
            <w:vAlign w:val="center"/>
          </w:tcPr>
          <w:p>
            <w:pPr>
              <w:adjustRightInd w:val="0"/>
              <w:snapToGrid w:val="0"/>
              <w:jc w:val="center"/>
              <w:rPr>
                <w:color w:val="auto"/>
                <w:sz w:val="20"/>
                <w:szCs w:val="20"/>
              </w:rPr>
            </w:pPr>
            <w:r>
              <w:rPr>
                <w:color w:val="auto"/>
                <w:sz w:val="20"/>
                <w:szCs w:val="20"/>
              </w:rPr>
              <w:t>地表水环境</w:t>
            </w:r>
          </w:p>
        </w:tc>
        <w:tc>
          <w:tcPr>
            <w:tcW w:w="1241" w:type="dxa"/>
            <w:tcMar>
              <w:left w:w="28" w:type="dxa"/>
              <w:right w:w="28" w:type="dxa"/>
            </w:tcMar>
            <w:vAlign w:val="center"/>
          </w:tcPr>
          <w:p>
            <w:pPr>
              <w:adjustRightInd w:val="0"/>
              <w:snapToGrid w:val="0"/>
              <w:jc w:val="center"/>
              <w:rPr>
                <w:color w:val="auto"/>
                <w:sz w:val="20"/>
                <w:szCs w:val="20"/>
              </w:rPr>
            </w:pPr>
            <w:r>
              <w:rPr>
                <w:color w:val="auto"/>
                <w:sz w:val="20"/>
                <w:szCs w:val="20"/>
              </w:rPr>
              <w:t>DW00</w:t>
            </w:r>
            <w:r>
              <w:rPr>
                <w:rFonts w:hint="eastAsia"/>
                <w:color w:val="auto"/>
                <w:sz w:val="20"/>
                <w:szCs w:val="20"/>
              </w:rPr>
              <w:t>1</w:t>
            </w:r>
            <w:r>
              <w:rPr>
                <w:color w:val="auto"/>
                <w:sz w:val="20"/>
                <w:szCs w:val="20"/>
              </w:rPr>
              <w:t>污水总排口</w:t>
            </w:r>
          </w:p>
        </w:tc>
        <w:tc>
          <w:tcPr>
            <w:tcW w:w="2011" w:type="dxa"/>
            <w:tcMar>
              <w:left w:w="28" w:type="dxa"/>
              <w:right w:w="28" w:type="dxa"/>
            </w:tcMar>
            <w:vAlign w:val="center"/>
          </w:tcPr>
          <w:p>
            <w:pPr>
              <w:adjustRightInd w:val="0"/>
              <w:snapToGrid w:val="0"/>
              <w:jc w:val="center"/>
              <w:rPr>
                <w:color w:val="auto"/>
                <w:sz w:val="20"/>
                <w:szCs w:val="20"/>
              </w:rPr>
            </w:pPr>
            <w:r>
              <w:rPr>
                <w:color w:val="auto"/>
                <w:sz w:val="20"/>
                <w:szCs w:val="20"/>
              </w:rPr>
              <w:t>pH、COD、SS、</w:t>
            </w:r>
            <w:r>
              <w:rPr>
                <w:rFonts w:hint="eastAsia"/>
                <w:color w:val="auto"/>
                <w:sz w:val="20"/>
                <w:szCs w:val="20"/>
              </w:rPr>
              <w:t>氨氮、</w:t>
            </w:r>
            <w:r>
              <w:rPr>
                <w:color w:val="auto"/>
                <w:sz w:val="20"/>
                <w:szCs w:val="20"/>
              </w:rPr>
              <w:t>总磷</w:t>
            </w:r>
            <w:r>
              <w:rPr>
                <w:rFonts w:hint="eastAsia"/>
                <w:color w:val="auto"/>
                <w:sz w:val="20"/>
                <w:szCs w:val="20"/>
              </w:rPr>
              <w:t>、</w:t>
            </w:r>
            <w:r>
              <w:rPr>
                <w:color w:val="auto"/>
                <w:sz w:val="20"/>
                <w:szCs w:val="20"/>
              </w:rPr>
              <w:t>总氮</w:t>
            </w:r>
            <w:r>
              <w:rPr>
                <w:rFonts w:hint="eastAsia"/>
                <w:color w:val="auto"/>
                <w:sz w:val="20"/>
                <w:szCs w:val="20"/>
              </w:rPr>
              <w:t>等</w:t>
            </w:r>
          </w:p>
        </w:tc>
        <w:tc>
          <w:tcPr>
            <w:tcW w:w="2373" w:type="dxa"/>
            <w:tcMar>
              <w:left w:w="28" w:type="dxa"/>
              <w:right w:w="28" w:type="dxa"/>
            </w:tcMar>
            <w:vAlign w:val="center"/>
          </w:tcPr>
          <w:p>
            <w:pPr>
              <w:adjustRightInd w:val="0"/>
              <w:snapToGrid w:val="0"/>
              <w:jc w:val="center"/>
              <w:rPr>
                <w:color w:val="auto"/>
                <w:sz w:val="20"/>
                <w:szCs w:val="20"/>
              </w:rPr>
            </w:pPr>
            <w:r>
              <w:rPr>
                <w:color w:val="auto"/>
                <w:sz w:val="20"/>
                <w:szCs w:val="20"/>
              </w:rPr>
              <w:t>依托</w:t>
            </w:r>
            <w:r>
              <w:rPr>
                <w:rFonts w:hint="eastAsia"/>
                <w:color w:val="auto"/>
                <w:sz w:val="20"/>
                <w:szCs w:val="20"/>
                <w:lang w:val="en-US" w:eastAsia="zh-CN"/>
              </w:rPr>
              <w:t>华胜公司</w:t>
            </w:r>
            <w:r>
              <w:rPr>
                <w:color w:val="auto"/>
                <w:sz w:val="20"/>
                <w:szCs w:val="20"/>
              </w:rPr>
              <w:t>现有污水处理站</w:t>
            </w:r>
          </w:p>
        </w:tc>
        <w:tc>
          <w:tcPr>
            <w:tcW w:w="1877" w:type="dxa"/>
            <w:tcMar>
              <w:left w:w="28" w:type="dxa"/>
              <w:right w:w="28" w:type="dxa"/>
            </w:tcMar>
            <w:vAlign w:val="center"/>
          </w:tcPr>
          <w:p>
            <w:pPr>
              <w:adjustRightInd w:val="0"/>
              <w:snapToGrid w:val="0"/>
              <w:jc w:val="center"/>
              <w:rPr>
                <w:rFonts w:hint="eastAsia" w:ascii="Times New Roman" w:hAnsi="Times New Roman" w:eastAsia="宋体" w:cs="Times New Roman"/>
                <w:color w:val="auto"/>
                <w:sz w:val="20"/>
                <w:szCs w:val="20"/>
                <w:lang w:val="en-US"/>
              </w:rPr>
            </w:pPr>
            <w:r>
              <w:rPr>
                <w:rFonts w:hint="eastAsia" w:ascii="Times New Roman" w:hAnsi="Times New Roman" w:eastAsia="宋体" w:cs="Times New Roman"/>
                <w:color w:val="auto"/>
                <w:sz w:val="20"/>
                <w:szCs w:val="20"/>
                <w:lang w:val="en-US" w:eastAsia="zh-CN"/>
              </w:rPr>
              <w:t>GB8978-1996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vMerge w:val="continue"/>
            <w:tcMar>
              <w:left w:w="28" w:type="dxa"/>
              <w:right w:w="28" w:type="dxa"/>
            </w:tcMar>
            <w:vAlign w:val="center"/>
          </w:tcPr>
          <w:p>
            <w:pPr>
              <w:adjustRightInd w:val="0"/>
              <w:snapToGrid w:val="0"/>
              <w:jc w:val="center"/>
              <w:rPr>
                <w:color w:val="auto"/>
                <w:sz w:val="20"/>
                <w:szCs w:val="20"/>
              </w:rPr>
            </w:pPr>
          </w:p>
        </w:tc>
        <w:tc>
          <w:tcPr>
            <w:tcW w:w="1241" w:type="dxa"/>
            <w:tcMar>
              <w:left w:w="28" w:type="dxa"/>
              <w:right w:w="28" w:type="dxa"/>
            </w:tcMar>
            <w:vAlign w:val="center"/>
          </w:tcPr>
          <w:p>
            <w:pPr>
              <w:adjustRightInd w:val="0"/>
              <w:snapToGrid w:val="0"/>
              <w:jc w:val="center"/>
              <w:rPr>
                <w:rFonts w:hint="default" w:eastAsia="宋体"/>
                <w:color w:val="auto"/>
                <w:sz w:val="20"/>
                <w:szCs w:val="20"/>
                <w:lang w:val="en-US" w:eastAsia="zh-CN"/>
              </w:rPr>
            </w:pPr>
            <w:r>
              <w:rPr>
                <w:color w:val="auto"/>
                <w:sz w:val="20"/>
                <w:szCs w:val="20"/>
              </w:rPr>
              <w:t>DW00</w:t>
            </w:r>
            <w:r>
              <w:rPr>
                <w:rFonts w:hint="eastAsia"/>
                <w:color w:val="auto"/>
                <w:sz w:val="20"/>
                <w:szCs w:val="20"/>
                <w:lang w:val="en-US" w:eastAsia="zh-CN"/>
              </w:rPr>
              <w:t>2雨水排口</w:t>
            </w:r>
          </w:p>
        </w:tc>
        <w:tc>
          <w:tcPr>
            <w:tcW w:w="2011" w:type="dxa"/>
            <w:tcMar>
              <w:left w:w="28" w:type="dxa"/>
              <w:right w:w="28" w:type="dxa"/>
            </w:tcMar>
            <w:vAlign w:val="center"/>
          </w:tcPr>
          <w:p>
            <w:pPr>
              <w:adjustRightInd w:val="0"/>
              <w:snapToGrid w:val="0"/>
              <w:jc w:val="center"/>
              <w:rPr>
                <w:rFonts w:hint="default" w:eastAsia="宋体"/>
                <w:color w:val="auto"/>
                <w:sz w:val="20"/>
                <w:szCs w:val="20"/>
                <w:lang w:val="en-US" w:eastAsia="zh-CN"/>
              </w:rPr>
            </w:pPr>
            <w:r>
              <w:rPr>
                <w:color w:val="auto"/>
                <w:sz w:val="20"/>
                <w:szCs w:val="20"/>
              </w:rPr>
              <w:t>pH、COD、SS</w:t>
            </w:r>
            <w:r>
              <w:rPr>
                <w:rFonts w:hint="eastAsia"/>
                <w:color w:val="auto"/>
                <w:sz w:val="20"/>
                <w:szCs w:val="20"/>
                <w:lang w:eastAsia="zh-CN"/>
              </w:rPr>
              <w:t>、</w:t>
            </w:r>
            <w:r>
              <w:rPr>
                <w:rFonts w:hint="eastAsia"/>
                <w:color w:val="auto"/>
                <w:sz w:val="20"/>
                <w:szCs w:val="20"/>
                <w:lang w:val="en-US" w:eastAsia="zh-CN"/>
              </w:rPr>
              <w:t>石油类</w:t>
            </w:r>
          </w:p>
        </w:tc>
        <w:tc>
          <w:tcPr>
            <w:tcW w:w="2373" w:type="dxa"/>
            <w:shd w:val="clear" w:color="auto" w:fill="auto"/>
            <w:tcMar>
              <w:left w:w="28" w:type="dxa"/>
              <w:right w:w="28" w:type="dxa"/>
            </w:tcMar>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color w:val="auto"/>
                <w:sz w:val="20"/>
                <w:szCs w:val="20"/>
                <w:lang w:val="en-US" w:eastAsia="zh-CN"/>
              </w:rPr>
              <w:t>/</w:t>
            </w:r>
          </w:p>
        </w:tc>
        <w:tc>
          <w:tcPr>
            <w:tcW w:w="1877" w:type="dxa"/>
            <w:shd w:val="clear" w:color="auto" w:fill="auto"/>
            <w:tcMar>
              <w:left w:w="28" w:type="dxa"/>
              <w:right w:w="28" w:type="dxa"/>
            </w:tcMar>
            <w:vAlign w:val="center"/>
          </w:tcPr>
          <w:p>
            <w:pPr>
              <w:adjustRightInd w:val="0"/>
              <w:snapToGrid w:val="0"/>
              <w:jc w:val="center"/>
              <w:rPr>
                <w:rFonts w:hint="eastAsia"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rPr>
              <w:t>GB3838-2002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tcMar>
              <w:left w:w="28" w:type="dxa"/>
              <w:right w:w="28" w:type="dxa"/>
            </w:tcMar>
            <w:vAlign w:val="center"/>
          </w:tcPr>
          <w:p>
            <w:pPr>
              <w:adjustRightInd w:val="0"/>
              <w:snapToGrid w:val="0"/>
              <w:jc w:val="center"/>
              <w:rPr>
                <w:color w:val="auto"/>
                <w:sz w:val="20"/>
                <w:szCs w:val="20"/>
              </w:rPr>
            </w:pPr>
            <w:r>
              <w:rPr>
                <w:color w:val="auto"/>
                <w:sz w:val="20"/>
                <w:szCs w:val="20"/>
              </w:rPr>
              <w:t>声环境</w:t>
            </w:r>
          </w:p>
        </w:tc>
        <w:tc>
          <w:tcPr>
            <w:tcW w:w="1241" w:type="dxa"/>
            <w:tcMar>
              <w:left w:w="28" w:type="dxa"/>
              <w:right w:w="28" w:type="dxa"/>
            </w:tcMar>
            <w:vAlign w:val="center"/>
          </w:tcPr>
          <w:p>
            <w:pPr>
              <w:adjustRightInd w:val="0"/>
              <w:snapToGrid w:val="0"/>
              <w:jc w:val="center"/>
              <w:rPr>
                <w:color w:val="auto"/>
                <w:sz w:val="20"/>
                <w:szCs w:val="20"/>
              </w:rPr>
            </w:pPr>
            <w:r>
              <w:rPr>
                <w:color w:val="auto"/>
                <w:sz w:val="20"/>
                <w:szCs w:val="20"/>
              </w:rPr>
              <w:t>各类</w:t>
            </w:r>
            <w:r>
              <w:rPr>
                <w:rFonts w:hint="eastAsia"/>
                <w:color w:val="auto"/>
                <w:sz w:val="20"/>
                <w:szCs w:val="20"/>
              </w:rPr>
              <w:t>高噪声</w:t>
            </w:r>
            <w:r>
              <w:rPr>
                <w:color w:val="auto"/>
                <w:sz w:val="20"/>
                <w:szCs w:val="20"/>
              </w:rPr>
              <w:t>设备</w:t>
            </w:r>
          </w:p>
        </w:tc>
        <w:tc>
          <w:tcPr>
            <w:tcW w:w="2011" w:type="dxa"/>
            <w:tcMar>
              <w:left w:w="28" w:type="dxa"/>
              <w:right w:w="28" w:type="dxa"/>
            </w:tcMar>
            <w:vAlign w:val="center"/>
          </w:tcPr>
          <w:p>
            <w:pPr>
              <w:adjustRightInd w:val="0"/>
              <w:snapToGrid w:val="0"/>
              <w:jc w:val="center"/>
              <w:rPr>
                <w:color w:val="auto"/>
                <w:sz w:val="20"/>
                <w:szCs w:val="20"/>
              </w:rPr>
            </w:pPr>
            <w:r>
              <w:rPr>
                <w:color w:val="auto"/>
                <w:sz w:val="20"/>
                <w:szCs w:val="20"/>
              </w:rPr>
              <w:t>Leq(A)</w:t>
            </w:r>
          </w:p>
        </w:tc>
        <w:tc>
          <w:tcPr>
            <w:tcW w:w="2373" w:type="dxa"/>
            <w:tcMar>
              <w:left w:w="28" w:type="dxa"/>
              <w:right w:w="28" w:type="dxa"/>
            </w:tcMar>
            <w:vAlign w:val="center"/>
          </w:tcPr>
          <w:p>
            <w:pPr>
              <w:adjustRightInd w:val="0"/>
              <w:snapToGrid w:val="0"/>
              <w:jc w:val="center"/>
              <w:rPr>
                <w:color w:val="auto"/>
                <w:sz w:val="20"/>
                <w:szCs w:val="20"/>
              </w:rPr>
            </w:pPr>
            <w:r>
              <w:rPr>
                <w:color w:val="auto"/>
                <w:sz w:val="20"/>
                <w:szCs w:val="20"/>
              </w:rPr>
              <w:t>合理布局、选用低噪声设备、设备减振、加强管理等</w:t>
            </w:r>
          </w:p>
        </w:tc>
        <w:tc>
          <w:tcPr>
            <w:tcW w:w="1877" w:type="dxa"/>
            <w:tcMar>
              <w:left w:w="28" w:type="dxa"/>
              <w:right w:w="28" w:type="dxa"/>
            </w:tcMar>
            <w:vAlign w:val="center"/>
          </w:tcPr>
          <w:p>
            <w:pPr>
              <w:adjustRightInd w:val="0"/>
              <w:snapToGrid w:val="0"/>
              <w:jc w:val="center"/>
              <w:rPr>
                <w:color w:val="auto"/>
                <w:sz w:val="20"/>
                <w:szCs w:val="20"/>
              </w:rPr>
            </w:pPr>
            <w:r>
              <w:rPr>
                <w:color w:val="auto"/>
                <w:sz w:val="20"/>
                <w:szCs w:val="20"/>
              </w:rPr>
              <w:t>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tcMar>
              <w:left w:w="28" w:type="dxa"/>
              <w:right w:w="28" w:type="dxa"/>
            </w:tcMar>
            <w:vAlign w:val="center"/>
          </w:tcPr>
          <w:p>
            <w:pPr>
              <w:adjustRightInd w:val="0"/>
              <w:snapToGrid w:val="0"/>
              <w:jc w:val="center"/>
              <w:rPr>
                <w:color w:val="auto"/>
                <w:sz w:val="20"/>
                <w:szCs w:val="20"/>
              </w:rPr>
            </w:pPr>
            <w:r>
              <w:rPr>
                <w:color w:val="auto"/>
                <w:sz w:val="20"/>
                <w:szCs w:val="20"/>
              </w:rPr>
              <w:t>电磁辐射</w:t>
            </w:r>
          </w:p>
        </w:tc>
        <w:tc>
          <w:tcPr>
            <w:tcW w:w="1241" w:type="dxa"/>
            <w:tcMar>
              <w:left w:w="28" w:type="dxa"/>
              <w:right w:w="28" w:type="dxa"/>
            </w:tcMar>
            <w:vAlign w:val="center"/>
          </w:tcPr>
          <w:p>
            <w:pPr>
              <w:adjustRightInd w:val="0"/>
              <w:snapToGrid w:val="0"/>
              <w:jc w:val="center"/>
              <w:rPr>
                <w:color w:val="auto"/>
                <w:sz w:val="20"/>
                <w:szCs w:val="20"/>
              </w:rPr>
            </w:pPr>
            <w:r>
              <w:rPr>
                <w:color w:val="auto"/>
                <w:sz w:val="20"/>
                <w:szCs w:val="20"/>
              </w:rPr>
              <w:t>-</w:t>
            </w:r>
          </w:p>
        </w:tc>
        <w:tc>
          <w:tcPr>
            <w:tcW w:w="2011" w:type="dxa"/>
            <w:tcMar>
              <w:left w:w="28" w:type="dxa"/>
              <w:right w:w="28" w:type="dxa"/>
            </w:tcMar>
            <w:vAlign w:val="center"/>
          </w:tcPr>
          <w:p>
            <w:pPr>
              <w:adjustRightInd w:val="0"/>
              <w:snapToGrid w:val="0"/>
              <w:jc w:val="center"/>
              <w:rPr>
                <w:color w:val="auto"/>
                <w:sz w:val="20"/>
                <w:szCs w:val="20"/>
              </w:rPr>
            </w:pPr>
            <w:r>
              <w:rPr>
                <w:color w:val="auto"/>
                <w:sz w:val="20"/>
                <w:szCs w:val="20"/>
              </w:rPr>
              <w:t>-</w:t>
            </w:r>
          </w:p>
        </w:tc>
        <w:tc>
          <w:tcPr>
            <w:tcW w:w="2373" w:type="dxa"/>
            <w:tcMar>
              <w:left w:w="28" w:type="dxa"/>
              <w:right w:w="28" w:type="dxa"/>
            </w:tcMar>
            <w:vAlign w:val="center"/>
          </w:tcPr>
          <w:p>
            <w:pPr>
              <w:adjustRightInd w:val="0"/>
              <w:snapToGrid w:val="0"/>
              <w:jc w:val="center"/>
              <w:rPr>
                <w:color w:val="auto"/>
                <w:sz w:val="20"/>
                <w:szCs w:val="20"/>
              </w:rPr>
            </w:pPr>
            <w:r>
              <w:rPr>
                <w:color w:val="auto"/>
                <w:sz w:val="20"/>
                <w:szCs w:val="20"/>
              </w:rPr>
              <w:t>-</w:t>
            </w:r>
          </w:p>
        </w:tc>
        <w:tc>
          <w:tcPr>
            <w:tcW w:w="1877" w:type="dxa"/>
            <w:tcMar>
              <w:left w:w="28" w:type="dxa"/>
              <w:right w:w="28" w:type="dxa"/>
            </w:tcMar>
            <w:vAlign w:val="center"/>
          </w:tcPr>
          <w:p>
            <w:pPr>
              <w:adjustRightInd w:val="0"/>
              <w:snapToGrid w:val="0"/>
              <w:jc w:val="center"/>
              <w:rPr>
                <w:color w:val="auto"/>
                <w:sz w:val="20"/>
                <w:szCs w:val="20"/>
              </w:rPr>
            </w:pPr>
            <w:r>
              <w:rPr>
                <w:color w:val="auto"/>
                <w:sz w:val="20"/>
                <w:szCs w:val="20"/>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vMerge w:val="restart"/>
            <w:tcMar>
              <w:left w:w="28" w:type="dxa"/>
              <w:right w:w="28" w:type="dxa"/>
            </w:tcMar>
            <w:vAlign w:val="center"/>
          </w:tcPr>
          <w:p>
            <w:pPr>
              <w:adjustRightInd w:val="0"/>
              <w:snapToGrid w:val="0"/>
              <w:jc w:val="center"/>
              <w:rPr>
                <w:color w:val="auto"/>
                <w:sz w:val="20"/>
                <w:szCs w:val="20"/>
              </w:rPr>
            </w:pPr>
            <w:r>
              <w:rPr>
                <w:color w:val="auto"/>
                <w:sz w:val="20"/>
                <w:szCs w:val="20"/>
              </w:rPr>
              <w:t>固体废物</w:t>
            </w:r>
          </w:p>
        </w:tc>
        <w:tc>
          <w:tcPr>
            <w:tcW w:w="1241" w:type="dxa"/>
            <w:tcMar>
              <w:left w:w="28" w:type="dxa"/>
              <w:right w:w="28" w:type="dxa"/>
            </w:tcMar>
            <w:vAlign w:val="center"/>
          </w:tcPr>
          <w:p>
            <w:pPr>
              <w:widowControl/>
              <w:jc w:val="center"/>
              <w:rPr>
                <w:color w:val="auto"/>
                <w:kern w:val="0"/>
                <w:sz w:val="20"/>
                <w:szCs w:val="20"/>
              </w:rPr>
            </w:pPr>
            <w:r>
              <w:rPr>
                <w:color w:val="auto"/>
                <w:kern w:val="0"/>
                <w:sz w:val="20"/>
                <w:szCs w:val="20"/>
              </w:rPr>
              <w:t>一般工业固废</w:t>
            </w:r>
          </w:p>
        </w:tc>
        <w:tc>
          <w:tcPr>
            <w:tcW w:w="2011" w:type="dxa"/>
            <w:tcMar>
              <w:left w:w="28" w:type="dxa"/>
              <w:right w:w="28" w:type="dxa"/>
            </w:tcMar>
            <w:vAlign w:val="center"/>
          </w:tcPr>
          <w:p>
            <w:pPr>
              <w:adjustRightInd w:val="0"/>
              <w:snapToGrid w:val="0"/>
              <w:jc w:val="center"/>
              <w:rPr>
                <w:color w:val="auto"/>
                <w:sz w:val="20"/>
                <w:szCs w:val="20"/>
              </w:rPr>
            </w:pPr>
            <w:r>
              <w:rPr>
                <w:color w:val="auto"/>
                <w:sz w:val="20"/>
                <w:szCs w:val="20"/>
              </w:rPr>
              <w:t>废</w:t>
            </w:r>
            <w:r>
              <w:rPr>
                <w:rFonts w:hint="eastAsia"/>
                <w:color w:val="auto"/>
                <w:sz w:val="20"/>
                <w:szCs w:val="20"/>
                <w:lang w:val="en-US" w:eastAsia="zh-CN"/>
              </w:rPr>
              <w:t>布料</w:t>
            </w:r>
            <w:r>
              <w:rPr>
                <w:rFonts w:hint="eastAsia"/>
                <w:color w:val="auto"/>
                <w:sz w:val="20"/>
                <w:szCs w:val="20"/>
              </w:rPr>
              <w:t>、不合格品等</w:t>
            </w:r>
          </w:p>
        </w:tc>
        <w:tc>
          <w:tcPr>
            <w:tcW w:w="2373" w:type="dxa"/>
            <w:tcMar>
              <w:left w:w="28" w:type="dxa"/>
              <w:right w:w="28" w:type="dxa"/>
            </w:tcMar>
            <w:vAlign w:val="center"/>
          </w:tcPr>
          <w:p>
            <w:pPr>
              <w:adjustRightInd w:val="0"/>
              <w:snapToGrid w:val="0"/>
              <w:jc w:val="center"/>
              <w:rPr>
                <w:color w:val="auto"/>
                <w:sz w:val="20"/>
                <w:szCs w:val="20"/>
              </w:rPr>
            </w:pPr>
            <w:r>
              <w:rPr>
                <w:color w:val="auto"/>
                <w:sz w:val="20"/>
                <w:szCs w:val="20"/>
              </w:rPr>
              <w:t>分类收集</w:t>
            </w:r>
            <w:r>
              <w:rPr>
                <w:rFonts w:hint="eastAsia"/>
                <w:color w:val="auto"/>
                <w:sz w:val="20"/>
                <w:szCs w:val="20"/>
              </w:rPr>
              <w:t>、暂存后委外</w:t>
            </w:r>
            <w:r>
              <w:rPr>
                <w:color w:val="auto"/>
                <w:sz w:val="20"/>
                <w:szCs w:val="20"/>
              </w:rPr>
              <w:t xml:space="preserve">处置 </w:t>
            </w:r>
          </w:p>
        </w:tc>
        <w:tc>
          <w:tcPr>
            <w:tcW w:w="1877" w:type="dxa"/>
            <w:tcMar>
              <w:left w:w="28" w:type="dxa"/>
              <w:right w:w="28" w:type="dxa"/>
            </w:tcMar>
            <w:vAlign w:val="center"/>
          </w:tcPr>
          <w:p>
            <w:pPr>
              <w:adjustRightInd w:val="0"/>
              <w:snapToGrid w:val="0"/>
              <w:jc w:val="center"/>
              <w:rPr>
                <w:color w:val="auto"/>
                <w:sz w:val="20"/>
                <w:szCs w:val="20"/>
              </w:rPr>
            </w:pPr>
            <w:r>
              <w:rPr>
                <w:color w:val="auto"/>
                <w:sz w:val="20"/>
                <w:szCs w:val="20"/>
              </w:rPr>
              <w:t>零排放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245" w:type="dxa"/>
            <w:vMerge w:val="continue"/>
            <w:tcMar>
              <w:left w:w="28" w:type="dxa"/>
              <w:right w:w="28" w:type="dxa"/>
            </w:tcMar>
            <w:vAlign w:val="center"/>
          </w:tcPr>
          <w:p>
            <w:pPr>
              <w:adjustRightInd w:val="0"/>
              <w:snapToGrid w:val="0"/>
              <w:jc w:val="center"/>
              <w:rPr>
                <w:color w:val="auto"/>
                <w:sz w:val="20"/>
                <w:szCs w:val="20"/>
              </w:rPr>
            </w:pPr>
          </w:p>
        </w:tc>
        <w:tc>
          <w:tcPr>
            <w:tcW w:w="1241" w:type="dxa"/>
            <w:tcMar>
              <w:left w:w="28" w:type="dxa"/>
              <w:right w:w="28" w:type="dxa"/>
            </w:tcMar>
            <w:vAlign w:val="center"/>
          </w:tcPr>
          <w:p>
            <w:pPr>
              <w:widowControl/>
              <w:jc w:val="center"/>
              <w:rPr>
                <w:color w:val="auto"/>
                <w:kern w:val="0"/>
                <w:sz w:val="20"/>
                <w:szCs w:val="20"/>
              </w:rPr>
            </w:pPr>
            <w:r>
              <w:rPr>
                <w:rFonts w:hint="eastAsia"/>
                <w:color w:val="auto"/>
                <w:kern w:val="0"/>
                <w:sz w:val="20"/>
                <w:szCs w:val="20"/>
              </w:rPr>
              <w:t>危废</w:t>
            </w:r>
          </w:p>
        </w:tc>
        <w:tc>
          <w:tcPr>
            <w:tcW w:w="2011" w:type="dxa"/>
            <w:tcMar>
              <w:left w:w="28" w:type="dxa"/>
              <w:right w:w="28" w:type="dxa"/>
            </w:tcMar>
            <w:vAlign w:val="center"/>
          </w:tcPr>
          <w:p>
            <w:pPr>
              <w:adjustRightInd w:val="0"/>
              <w:snapToGrid w:val="0"/>
              <w:jc w:val="center"/>
              <w:rPr>
                <w:color w:val="auto"/>
                <w:sz w:val="20"/>
                <w:szCs w:val="20"/>
              </w:rPr>
            </w:pPr>
            <w:r>
              <w:rPr>
                <w:rFonts w:hint="eastAsia"/>
                <w:color w:val="auto"/>
                <w:sz w:val="20"/>
                <w:szCs w:val="20"/>
              </w:rPr>
              <w:t>有</w:t>
            </w:r>
            <w:r>
              <w:rPr>
                <w:rFonts w:hint="eastAsia"/>
                <w:color w:val="auto"/>
                <w:sz w:val="20"/>
                <w:szCs w:val="20"/>
                <w:lang w:val="en-US" w:eastAsia="zh-CN"/>
              </w:rPr>
              <w:t>包装桶</w:t>
            </w:r>
            <w:r>
              <w:rPr>
                <w:rFonts w:hint="eastAsia"/>
                <w:color w:val="auto"/>
                <w:sz w:val="20"/>
                <w:szCs w:val="20"/>
              </w:rPr>
              <w:t>、废</w:t>
            </w:r>
            <w:r>
              <w:rPr>
                <w:rFonts w:hint="eastAsia"/>
                <w:color w:val="auto"/>
                <w:sz w:val="20"/>
                <w:szCs w:val="20"/>
                <w:lang w:val="en-US" w:eastAsia="zh-CN"/>
              </w:rPr>
              <w:t>油</w:t>
            </w:r>
            <w:r>
              <w:rPr>
                <w:rFonts w:hint="eastAsia"/>
                <w:color w:val="auto"/>
                <w:sz w:val="20"/>
                <w:szCs w:val="20"/>
              </w:rPr>
              <w:t>等</w:t>
            </w:r>
          </w:p>
        </w:tc>
        <w:tc>
          <w:tcPr>
            <w:tcW w:w="2373" w:type="dxa"/>
            <w:tcMar>
              <w:left w:w="28" w:type="dxa"/>
              <w:right w:w="28" w:type="dxa"/>
            </w:tcMar>
            <w:vAlign w:val="center"/>
          </w:tcPr>
          <w:p>
            <w:pPr>
              <w:adjustRightInd w:val="0"/>
              <w:snapToGrid w:val="0"/>
              <w:jc w:val="center"/>
              <w:rPr>
                <w:color w:val="auto"/>
                <w:sz w:val="20"/>
                <w:szCs w:val="20"/>
              </w:rPr>
            </w:pPr>
            <w:r>
              <w:rPr>
                <w:rFonts w:hint="eastAsia"/>
                <w:color w:val="auto"/>
                <w:sz w:val="20"/>
                <w:szCs w:val="20"/>
              </w:rPr>
              <w:t>妥善收集、暂存后委托资质单位处置</w:t>
            </w:r>
          </w:p>
        </w:tc>
        <w:tc>
          <w:tcPr>
            <w:tcW w:w="1877" w:type="dxa"/>
            <w:tcMar>
              <w:left w:w="28" w:type="dxa"/>
              <w:right w:w="28" w:type="dxa"/>
            </w:tcMar>
            <w:vAlign w:val="center"/>
          </w:tcPr>
          <w:p>
            <w:pPr>
              <w:adjustRightInd w:val="0"/>
              <w:snapToGrid w:val="0"/>
              <w:jc w:val="center"/>
              <w:rPr>
                <w:color w:val="auto"/>
                <w:sz w:val="20"/>
                <w:szCs w:val="20"/>
              </w:rPr>
            </w:pPr>
            <w:r>
              <w:rPr>
                <w:color w:val="auto"/>
                <w:sz w:val="20"/>
                <w:szCs w:val="20"/>
              </w:rPr>
              <w:t>零排放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 w:hRule="atLeast"/>
          <w:jc w:val="center"/>
        </w:trPr>
        <w:tc>
          <w:tcPr>
            <w:tcW w:w="1245" w:type="dxa"/>
            <w:tcMar>
              <w:left w:w="28" w:type="dxa"/>
              <w:right w:w="28" w:type="dxa"/>
            </w:tcMar>
            <w:vAlign w:val="center"/>
          </w:tcPr>
          <w:p>
            <w:pPr>
              <w:adjustRightInd w:val="0"/>
              <w:snapToGrid w:val="0"/>
              <w:jc w:val="center"/>
              <w:rPr>
                <w:color w:val="auto"/>
                <w:sz w:val="20"/>
                <w:szCs w:val="20"/>
              </w:rPr>
            </w:pPr>
            <w:r>
              <w:rPr>
                <w:color w:val="auto"/>
                <w:sz w:val="20"/>
                <w:szCs w:val="20"/>
              </w:rPr>
              <w:t>土壤及地下水</w:t>
            </w:r>
          </w:p>
          <w:p>
            <w:pPr>
              <w:adjustRightInd w:val="0"/>
              <w:snapToGrid w:val="0"/>
              <w:jc w:val="center"/>
              <w:rPr>
                <w:color w:val="auto"/>
                <w:sz w:val="20"/>
                <w:szCs w:val="20"/>
              </w:rPr>
            </w:pPr>
            <w:r>
              <w:rPr>
                <w:color w:val="auto"/>
                <w:sz w:val="20"/>
                <w:szCs w:val="20"/>
              </w:rPr>
              <w:t>污染防治措施</w:t>
            </w:r>
          </w:p>
        </w:tc>
        <w:tc>
          <w:tcPr>
            <w:tcW w:w="7502" w:type="dxa"/>
            <w:gridSpan w:val="4"/>
            <w:tcMar>
              <w:left w:w="28" w:type="dxa"/>
              <w:right w:w="28" w:type="dxa"/>
            </w:tcMar>
            <w:vAlign w:val="center"/>
          </w:tcPr>
          <w:p>
            <w:pPr>
              <w:adjustRightInd w:val="0"/>
              <w:snapToGrid w:val="0"/>
              <w:jc w:val="center"/>
              <w:rPr>
                <w:color w:val="auto"/>
                <w:sz w:val="20"/>
                <w:szCs w:val="20"/>
              </w:rPr>
            </w:pPr>
            <w:r>
              <w:rPr>
                <w:color w:val="auto"/>
                <w:sz w:val="20"/>
                <w:szCs w:val="20"/>
              </w:rPr>
              <w:t>源头控制、分区防控、污染监控、应急响应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45" w:type="dxa"/>
            <w:tcMar>
              <w:left w:w="28" w:type="dxa"/>
              <w:right w:w="28" w:type="dxa"/>
            </w:tcMar>
            <w:vAlign w:val="center"/>
          </w:tcPr>
          <w:p>
            <w:pPr>
              <w:adjustRightInd w:val="0"/>
              <w:snapToGrid w:val="0"/>
              <w:jc w:val="center"/>
              <w:rPr>
                <w:color w:val="auto"/>
                <w:sz w:val="20"/>
                <w:szCs w:val="20"/>
              </w:rPr>
            </w:pPr>
            <w:r>
              <w:rPr>
                <w:color w:val="auto"/>
                <w:sz w:val="20"/>
                <w:szCs w:val="20"/>
              </w:rPr>
              <w:t>生态保护措施</w:t>
            </w:r>
          </w:p>
        </w:tc>
        <w:tc>
          <w:tcPr>
            <w:tcW w:w="7502" w:type="dxa"/>
            <w:gridSpan w:val="4"/>
            <w:tcMar>
              <w:left w:w="28" w:type="dxa"/>
              <w:right w:w="28" w:type="dxa"/>
            </w:tcMar>
            <w:vAlign w:val="center"/>
          </w:tcPr>
          <w:p>
            <w:pPr>
              <w:adjustRightInd w:val="0"/>
              <w:snapToGrid w:val="0"/>
              <w:jc w:val="center"/>
              <w:rPr>
                <w:color w:val="auto"/>
                <w:sz w:val="20"/>
                <w:szCs w:val="20"/>
              </w:rPr>
            </w:pPr>
            <w:r>
              <w:rPr>
                <w:rFonts w:hint="eastAsia"/>
                <w:color w:val="auto"/>
                <w:sz w:val="20"/>
                <w:szCs w:val="20"/>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245" w:type="dxa"/>
            <w:tcMar>
              <w:left w:w="28" w:type="dxa"/>
              <w:right w:w="28" w:type="dxa"/>
            </w:tcMar>
            <w:vAlign w:val="center"/>
          </w:tcPr>
          <w:p>
            <w:pPr>
              <w:adjustRightInd w:val="0"/>
              <w:snapToGrid w:val="0"/>
              <w:jc w:val="center"/>
              <w:rPr>
                <w:color w:val="auto"/>
                <w:spacing w:val="-8"/>
                <w:sz w:val="20"/>
                <w:szCs w:val="20"/>
              </w:rPr>
            </w:pPr>
            <w:r>
              <w:rPr>
                <w:color w:val="auto"/>
                <w:spacing w:val="-8"/>
                <w:sz w:val="20"/>
                <w:szCs w:val="20"/>
              </w:rPr>
              <w:t>环境风险</w:t>
            </w:r>
          </w:p>
          <w:p>
            <w:pPr>
              <w:adjustRightInd w:val="0"/>
              <w:snapToGrid w:val="0"/>
              <w:jc w:val="center"/>
              <w:rPr>
                <w:color w:val="auto"/>
                <w:spacing w:val="-8"/>
                <w:sz w:val="20"/>
                <w:szCs w:val="20"/>
              </w:rPr>
            </w:pPr>
            <w:r>
              <w:rPr>
                <w:color w:val="auto"/>
                <w:spacing w:val="-8"/>
                <w:sz w:val="20"/>
                <w:szCs w:val="20"/>
              </w:rPr>
              <w:t>防范措施</w:t>
            </w:r>
          </w:p>
        </w:tc>
        <w:tc>
          <w:tcPr>
            <w:tcW w:w="7502" w:type="dxa"/>
            <w:gridSpan w:val="4"/>
            <w:tcMar>
              <w:left w:w="28" w:type="dxa"/>
              <w:right w:w="28" w:type="dxa"/>
            </w:tcMar>
            <w:vAlign w:val="center"/>
          </w:tcPr>
          <w:p>
            <w:pPr>
              <w:autoSpaceDE w:val="0"/>
              <w:autoSpaceDN w:val="0"/>
              <w:adjustRightInd w:val="0"/>
              <w:snapToGrid w:val="0"/>
              <w:rPr>
                <w:color w:val="auto"/>
                <w:kern w:val="0"/>
                <w:sz w:val="20"/>
                <w:szCs w:val="20"/>
              </w:rPr>
            </w:pPr>
            <w:r>
              <w:rPr>
                <w:rFonts w:hint="eastAsia" w:ascii="宋体" w:hAnsi="宋体" w:cs="宋体"/>
                <w:color w:val="auto"/>
                <w:kern w:val="0"/>
                <w:sz w:val="20"/>
                <w:szCs w:val="20"/>
              </w:rPr>
              <w:t>①</w:t>
            </w:r>
            <w:r>
              <w:rPr>
                <w:color w:val="auto"/>
                <w:kern w:val="0"/>
                <w:sz w:val="20"/>
                <w:szCs w:val="20"/>
              </w:rPr>
              <w:t>建立安全环保管理机构，配备管理人员，通过技能培训，承担企业的环保安全工作。建立健全各种有关消防与安全生产的规章制度，建立岗位责任制。仓库、生产车间严禁明火。生产车间、公用工程、仓库等场所配置足量的泡沫、干粉等灭火器，并保持完好状态。</w:t>
            </w:r>
          </w:p>
          <w:p>
            <w:pPr>
              <w:autoSpaceDE w:val="0"/>
              <w:autoSpaceDN w:val="0"/>
              <w:adjustRightInd w:val="0"/>
              <w:snapToGrid w:val="0"/>
              <w:rPr>
                <w:color w:val="auto"/>
                <w:kern w:val="0"/>
                <w:sz w:val="20"/>
                <w:szCs w:val="20"/>
              </w:rPr>
            </w:pPr>
            <w:r>
              <w:rPr>
                <w:rFonts w:hint="eastAsia" w:ascii="宋体" w:hAnsi="宋体" w:cs="宋体"/>
                <w:color w:val="auto"/>
                <w:kern w:val="0"/>
                <w:sz w:val="20"/>
                <w:szCs w:val="20"/>
              </w:rPr>
              <w:t>②</w:t>
            </w:r>
            <w:r>
              <w:rPr>
                <w:color w:val="auto"/>
                <w:kern w:val="0"/>
                <w:sz w:val="20"/>
                <w:szCs w:val="20"/>
              </w:rPr>
              <w:t>厂区留有足够的消防通道。生产车间、仓库设置消防给水管道和消防栓。厂部要组织义务消防员，并进行定期的培训和训练。对有火灾危险的场所设置自动报警系统，一旦发生火灾，立即做出应急反应。</w:t>
            </w:r>
          </w:p>
          <w:p>
            <w:pPr>
              <w:autoSpaceDE w:val="0"/>
              <w:autoSpaceDN w:val="0"/>
              <w:adjustRightInd w:val="0"/>
              <w:snapToGrid w:val="0"/>
              <w:rPr>
                <w:color w:val="auto"/>
                <w:kern w:val="0"/>
                <w:sz w:val="20"/>
                <w:szCs w:val="20"/>
              </w:rPr>
            </w:pPr>
            <w:r>
              <w:rPr>
                <w:rFonts w:hint="eastAsia" w:ascii="宋体" w:hAnsi="宋体" w:cs="宋体"/>
                <w:color w:val="auto"/>
                <w:kern w:val="0"/>
                <w:sz w:val="20"/>
                <w:szCs w:val="20"/>
              </w:rPr>
              <w:t>③</w:t>
            </w:r>
            <w:r>
              <w:rPr>
                <w:color w:val="auto"/>
                <w:kern w:val="0"/>
                <w:sz w:val="20"/>
                <w:szCs w:val="20"/>
              </w:rPr>
              <w:t>定期或不定期对消防设备进行检查，及时发现及时采取更换或维修。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245" w:type="dxa"/>
            <w:tcMar>
              <w:left w:w="28" w:type="dxa"/>
              <w:right w:w="28" w:type="dxa"/>
            </w:tcMar>
            <w:vAlign w:val="center"/>
          </w:tcPr>
          <w:p>
            <w:pPr>
              <w:adjustRightInd w:val="0"/>
              <w:snapToGrid w:val="0"/>
              <w:jc w:val="center"/>
              <w:rPr>
                <w:color w:val="auto"/>
                <w:spacing w:val="-8"/>
                <w:sz w:val="20"/>
                <w:szCs w:val="20"/>
              </w:rPr>
            </w:pPr>
            <w:r>
              <w:rPr>
                <w:color w:val="auto"/>
                <w:spacing w:val="-8"/>
                <w:sz w:val="20"/>
                <w:szCs w:val="20"/>
              </w:rPr>
              <w:t>其他环境</w:t>
            </w:r>
          </w:p>
          <w:p>
            <w:pPr>
              <w:adjustRightInd w:val="0"/>
              <w:snapToGrid w:val="0"/>
              <w:jc w:val="center"/>
              <w:rPr>
                <w:color w:val="auto"/>
                <w:spacing w:val="-8"/>
                <w:sz w:val="20"/>
                <w:szCs w:val="20"/>
              </w:rPr>
            </w:pPr>
            <w:r>
              <w:rPr>
                <w:color w:val="auto"/>
                <w:spacing w:val="-8"/>
                <w:sz w:val="20"/>
                <w:szCs w:val="20"/>
              </w:rPr>
              <w:t>管理要求</w:t>
            </w:r>
          </w:p>
        </w:tc>
        <w:tc>
          <w:tcPr>
            <w:tcW w:w="7502" w:type="dxa"/>
            <w:gridSpan w:val="4"/>
            <w:tcMar>
              <w:left w:w="28" w:type="dxa"/>
              <w:right w:w="28" w:type="dxa"/>
            </w:tcMar>
            <w:vAlign w:val="center"/>
          </w:tcPr>
          <w:p>
            <w:pPr>
              <w:adjustRightInd w:val="0"/>
              <w:snapToGrid w:val="0"/>
              <w:rPr>
                <w:color w:val="auto"/>
                <w:sz w:val="20"/>
                <w:szCs w:val="20"/>
              </w:rPr>
            </w:pPr>
            <w:r>
              <w:rPr>
                <w:rFonts w:hint="eastAsia" w:ascii="宋体" w:hAnsi="宋体" w:cs="宋体"/>
                <w:color w:val="auto"/>
                <w:sz w:val="20"/>
                <w:szCs w:val="20"/>
              </w:rPr>
              <w:t>①</w:t>
            </w:r>
            <w:r>
              <w:rPr>
                <w:color w:val="auto"/>
                <w:sz w:val="20"/>
                <w:szCs w:val="20"/>
              </w:rPr>
              <w:t>严格执行“三同时”制度在项目筹备、设计和施工建设不同阶段，均应严格执行“三同时”制度，确保污染处理设施能够与生产工艺设施“同时设计、同时施工、同时竣工”。</w:t>
            </w:r>
          </w:p>
          <w:p>
            <w:pPr>
              <w:adjustRightInd w:val="0"/>
              <w:snapToGrid w:val="0"/>
              <w:rPr>
                <w:color w:val="auto"/>
                <w:sz w:val="20"/>
                <w:szCs w:val="20"/>
              </w:rPr>
            </w:pPr>
            <w:r>
              <w:rPr>
                <w:rFonts w:hint="eastAsia" w:ascii="宋体" w:hAnsi="宋体" w:cs="宋体"/>
                <w:color w:val="auto"/>
                <w:sz w:val="20"/>
                <w:szCs w:val="20"/>
              </w:rPr>
              <w:t>②</w:t>
            </w:r>
            <w:r>
              <w:rPr>
                <w:color w:val="auto"/>
                <w:sz w:val="20"/>
                <w:szCs w:val="20"/>
              </w:rPr>
              <w:t>建立环境报告制度，应按有关法规的要求，严格执行排污申报制度；此外，在项目工程排污发生重大变化、污染治理设施发生重大改变或拟实施新、改、扩建项目时必须及时向相关环保行政主管部门申报。</w:t>
            </w:r>
          </w:p>
          <w:p>
            <w:pPr>
              <w:adjustRightInd w:val="0"/>
              <w:snapToGrid w:val="0"/>
              <w:rPr>
                <w:color w:val="auto"/>
                <w:sz w:val="20"/>
                <w:szCs w:val="20"/>
              </w:rPr>
            </w:pPr>
            <w:r>
              <w:rPr>
                <w:rFonts w:hint="eastAsia" w:ascii="宋体" w:hAnsi="宋体" w:cs="宋体"/>
                <w:color w:val="auto"/>
                <w:sz w:val="20"/>
                <w:szCs w:val="20"/>
              </w:rPr>
              <w:t>③</w:t>
            </w:r>
            <w:r>
              <w:rPr>
                <w:color w:val="auto"/>
                <w:sz w:val="20"/>
                <w:szCs w:val="20"/>
              </w:rPr>
              <w:t>健全污染治理设施管理制度建立健全污染治理设施的运行、检修、维护保养的作业规程和管理制度，将污染治理设施的管理与生产经营管理一同纳入公司日常管理工作的范畴，落实责任人，建立管理台账。避免擅自拆除或闲置现有的污染处理设施现象的发生，严禁故意不正常使用污染处理设施。</w:t>
            </w:r>
          </w:p>
          <w:p>
            <w:pPr>
              <w:adjustRightInd w:val="0"/>
              <w:snapToGrid w:val="0"/>
              <w:rPr>
                <w:color w:val="auto"/>
                <w:sz w:val="20"/>
                <w:szCs w:val="20"/>
              </w:rPr>
            </w:pPr>
            <w:r>
              <w:rPr>
                <w:rFonts w:hint="eastAsia" w:ascii="宋体" w:hAnsi="宋体" w:cs="宋体"/>
                <w:color w:val="auto"/>
                <w:sz w:val="20"/>
                <w:szCs w:val="20"/>
              </w:rPr>
              <w:t>④</w:t>
            </w:r>
            <w:r>
              <w:rPr>
                <w:color w:val="auto"/>
                <w:sz w:val="20"/>
                <w:szCs w:val="20"/>
              </w:rPr>
              <w:t>建立环境目标管理责任制和奖惩条例，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pPr>
              <w:adjustRightInd w:val="0"/>
              <w:snapToGrid w:val="0"/>
              <w:rPr>
                <w:color w:val="auto"/>
                <w:sz w:val="20"/>
                <w:szCs w:val="20"/>
              </w:rPr>
            </w:pPr>
            <w:r>
              <w:rPr>
                <w:rFonts w:hint="eastAsia" w:ascii="宋体" w:hAnsi="宋体" w:cs="宋体"/>
                <w:color w:val="auto"/>
                <w:sz w:val="20"/>
                <w:szCs w:val="20"/>
              </w:rPr>
              <w:t>⑤</w:t>
            </w:r>
            <w:r>
              <w:rPr>
                <w:color w:val="auto"/>
                <w:sz w:val="20"/>
                <w:szCs w:val="20"/>
              </w:rPr>
              <w:t>在“江苏省危险废物动态管理信息系统”进行危险废物申报登记。将危险废物的实际产生、贮存、利用、处置等情况纳入生产记录，建立危险废物管理台账和企业内部产生和收集、贮存、转移等部门危险废物交接制度。</w:t>
            </w:r>
          </w:p>
          <w:p>
            <w:pPr>
              <w:adjustRightInd w:val="0"/>
              <w:snapToGrid w:val="0"/>
              <w:rPr>
                <w:color w:val="auto"/>
                <w:sz w:val="20"/>
                <w:szCs w:val="20"/>
              </w:rPr>
            </w:pPr>
            <w:r>
              <w:rPr>
                <w:rFonts w:hint="eastAsia" w:ascii="宋体" w:hAnsi="宋体" w:cs="宋体"/>
                <w:color w:val="auto"/>
                <w:sz w:val="20"/>
                <w:szCs w:val="20"/>
              </w:rPr>
              <w:t>⑥</w:t>
            </w:r>
            <w:r>
              <w:rPr>
                <w:color w:val="auto"/>
                <w:sz w:val="20"/>
                <w:szCs w:val="20"/>
              </w:rPr>
              <w:t>建立风险管理及应急救援体系，执行环境监测计划、转移联单管理制度及国家和省有关转移管理的相关规定、处置过程安全操作规程、人员培训考核制度、档案管理制度、处置全过程管理制度。</w:t>
            </w:r>
          </w:p>
          <w:p>
            <w:pPr>
              <w:adjustRightInd w:val="0"/>
              <w:snapToGrid w:val="0"/>
              <w:rPr>
                <w:color w:val="auto"/>
                <w:sz w:val="20"/>
                <w:szCs w:val="20"/>
              </w:rPr>
            </w:pPr>
            <w:r>
              <w:rPr>
                <w:rFonts w:hint="eastAsia" w:ascii="宋体" w:hAnsi="宋体" w:cs="宋体"/>
                <w:color w:val="auto"/>
                <w:sz w:val="20"/>
                <w:szCs w:val="20"/>
              </w:rPr>
              <w:t>⑦</w:t>
            </w:r>
            <w:r>
              <w:rPr>
                <w:color w:val="auto"/>
                <w:sz w:val="20"/>
                <w:szCs w:val="20"/>
              </w:rPr>
              <w:t>按照要求设置警告标志，危废包装、容器和贮存场所应按照《危险废物识别标志设置技术规范》（HJ1276-2022）要求张贴标识。</w:t>
            </w:r>
          </w:p>
          <w:p>
            <w:pPr>
              <w:adjustRightInd w:val="0"/>
              <w:snapToGrid w:val="0"/>
              <w:rPr>
                <w:color w:val="auto"/>
                <w:sz w:val="20"/>
                <w:szCs w:val="20"/>
              </w:rPr>
            </w:pPr>
            <w:r>
              <w:rPr>
                <w:rFonts w:hint="eastAsia" w:ascii="宋体" w:hAnsi="宋体" w:cs="宋体"/>
                <w:color w:val="auto"/>
                <w:sz w:val="20"/>
                <w:szCs w:val="20"/>
              </w:rPr>
              <w:t>⑧</w:t>
            </w:r>
            <w:r>
              <w:rPr>
                <w:color w:val="auto"/>
                <w:sz w:val="20"/>
                <w:szCs w:val="20"/>
              </w:rPr>
              <w:t>根据《环境信息公开办法（试行）》《企业事业单位环境信息公开办法》要求向社会公开相关信息，具体包括：基础信息，包括单位名称、组织机构代码、法定代表人、生产地址、联系方式，以及生产经营和管理服务的主要内容、产品及规模；排污信息，包括主要污染物及特征污染物的名称、排放方式、排放口数量和分布情况、排放浓度和总量、超标情况，以及执行的污染物排放标准、核定的排放总量；防治污染设施的建设和运行情况；建设项目环境影响评价及其他环境保护行政许可情况；突发环境事件应急预案；其他应当公开的环境信息。此外，企业应通过网站、广播、电视、报纸等便于公众知晓的媒介公开自行监测信息（包括基础信息、自行监测方案、自行监测结果、未开展自行监测的原因和污染源监测年度报告等）。同时，在省、市环保部门统一建立的公布平台上公开自行监测信息，并至少保存一年。</w:t>
            </w:r>
          </w:p>
          <w:p>
            <w:pPr>
              <w:adjustRightInd w:val="0"/>
              <w:snapToGrid w:val="0"/>
              <w:rPr>
                <w:color w:val="auto"/>
                <w:sz w:val="20"/>
                <w:szCs w:val="20"/>
              </w:rPr>
            </w:pPr>
            <w:r>
              <w:rPr>
                <w:rFonts w:hint="eastAsia" w:ascii="宋体" w:hAnsi="宋体" w:cs="宋体"/>
                <w:color w:val="auto"/>
                <w:sz w:val="20"/>
                <w:szCs w:val="20"/>
              </w:rPr>
              <w:t>⑨</w:t>
            </w:r>
            <w:r>
              <w:rPr>
                <w:color w:val="auto"/>
                <w:kern w:val="0"/>
                <w:sz w:val="20"/>
                <w:szCs w:val="20"/>
              </w:rPr>
              <w:t>对照《固定污染源排污许可分类管理名录》（2019年版），企业现为排污许可重点管理，本项目建成后企业仍为重点管理。</w:t>
            </w:r>
            <w:r>
              <w:rPr>
                <w:color w:val="auto"/>
                <w:sz w:val="20"/>
                <w:szCs w:val="20"/>
              </w:rPr>
              <w:t>企业应在启动生产设施或者在实际排污之前在全国排污许可证管理信息平台重新申请排污许可证。</w:t>
            </w:r>
          </w:p>
        </w:tc>
      </w:tr>
    </w:tbl>
    <w:p>
      <w:pPr>
        <w:pStyle w:val="82"/>
        <w:jc w:val="center"/>
        <w:outlineLvl w:val="0"/>
        <w:rPr>
          <w:rFonts w:ascii="Times New Roman" w:hAnsi="Times New Roman"/>
          <w:snapToGrid w:val="0"/>
          <w:color w:val="auto"/>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82"/>
        <w:jc w:val="center"/>
        <w:outlineLvl w:val="0"/>
        <w:rPr>
          <w:rFonts w:ascii="Times New Roman" w:hAnsi="Times New Roman"/>
          <w:snapToGrid w:val="0"/>
          <w:color w:val="auto"/>
          <w:sz w:val="30"/>
          <w:szCs w:val="30"/>
        </w:rPr>
      </w:pPr>
      <w:r>
        <w:rPr>
          <w:rFonts w:ascii="Times New Roman" w:hAnsi="Times New Roman"/>
          <w:snapToGrid w:val="0"/>
          <w:color w:val="auto"/>
          <w:sz w:val="30"/>
          <w:szCs w:val="30"/>
        </w:rPr>
        <w:t>六、结论</w:t>
      </w:r>
    </w:p>
    <w:tbl>
      <w:tblPr>
        <w:tblStyle w:val="9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utoSpaceDE w:val="0"/>
              <w:autoSpaceDN w:val="0"/>
              <w:adjustRightInd w:val="0"/>
              <w:snapToGrid w:val="0"/>
              <w:spacing w:line="400" w:lineRule="exact"/>
              <w:ind w:firstLine="420" w:firstLineChars="200"/>
              <w:rPr>
                <w:color w:val="auto"/>
                <w:sz w:val="24"/>
              </w:rPr>
            </w:pPr>
            <w:r>
              <w:rPr>
                <w:rFonts w:hint="eastAsia"/>
                <w:color w:val="auto"/>
                <w:kern w:val="0"/>
                <w:szCs w:val="21"/>
              </w:rPr>
              <w:t>本报告认为</w:t>
            </w:r>
            <w:r>
              <w:rPr>
                <w:color w:val="auto"/>
                <w:kern w:val="0"/>
                <w:szCs w:val="21"/>
              </w:rPr>
              <w:t>，</w:t>
            </w:r>
            <w:r>
              <w:rPr>
                <w:rFonts w:hint="eastAsia"/>
                <w:color w:val="auto"/>
                <w:kern w:val="0"/>
                <w:szCs w:val="21"/>
              </w:rPr>
              <w:t>在认真落实各项污染防治措施，确保污染物稳定达标的前提下，从环境保护角度，本项目建设可行。</w:t>
            </w:r>
          </w:p>
        </w:tc>
      </w:tr>
    </w:tbl>
    <w:p>
      <w:pPr>
        <w:rPr>
          <w:color w:val="auto"/>
        </w:rPr>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47"/>
          <w:cols w:space="720" w:num="1"/>
          <w:docGrid w:linePitch="312" w:charSpace="0"/>
        </w:sectPr>
      </w:pPr>
    </w:p>
    <w:p>
      <w:pPr>
        <w:pStyle w:val="82"/>
        <w:adjustRightInd w:val="0"/>
        <w:snapToGrid w:val="0"/>
        <w:spacing w:before="0" w:beforeAutospacing="0" w:after="0" w:afterAutospacing="0" w:line="400" w:lineRule="exact"/>
        <w:outlineLvl w:val="0"/>
        <w:rPr>
          <w:rFonts w:ascii="Times New Roman" w:hAnsi="Times New Roman"/>
          <w:snapToGrid w:val="0"/>
          <w:color w:val="auto"/>
          <w:sz w:val="30"/>
          <w:szCs w:val="30"/>
        </w:rPr>
      </w:pPr>
      <w:r>
        <w:rPr>
          <w:rFonts w:ascii="Times New Roman" w:hAnsi="Times New Roman"/>
          <w:snapToGrid w:val="0"/>
          <w:color w:val="auto"/>
          <w:sz w:val="30"/>
          <w:szCs w:val="30"/>
        </w:rPr>
        <w:t>附表</w:t>
      </w:r>
    </w:p>
    <w:p>
      <w:pPr>
        <w:adjustRightInd w:val="0"/>
        <w:snapToGrid w:val="0"/>
        <w:spacing w:line="500" w:lineRule="exact"/>
        <w:jc w:val="center"/>
        <w:rPr>
          <w:b/>
          <w:bCs/>
          <w:color w:val="auto"/>
          <w:sz w:val="32"/>
          <w:szCs w:val="32"/>
          <w:highlight w:val="none"/>
        </w:rPr>
      </w:pPr>
      <w:r>
        <w:rPr>
          <w:b/>
          <w:bCs/>
          <w:color w:val="auto"/>
          <w:sz w:val="32"/>
          <w:szCs w:val="32"/>
          <w:highlight w:val="none"/>
        </w:rPr>
        <w:t>建设项目污染物排放量汇总表</w:t>
      </w:r>
    </w:p>
    <w:tbl>
      <w:tblPr>
        <w:tblStyle w:val="90"/>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2330"/>
        <w:gridCol w:w="1656"/>
        <w:gridCol w:w="1437"/>
        <w:gridCol w:w="1546"/>
        <w:gridCol w:w="1548"/>
        <w:gridCol w:w="1546"/>
        <w:gridCol w:w="1734"/>
        <w:gridCol w:w="13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tcBorders>
              <w:tl2br w:val="single" w:color="auto" w:sz="4" w:space="0"/>
            </w:tcBorders>
            <w:tcMar>
              <w:left w:w="28" w:type="dxa"/>
              <w:right w:w="28" w:type="dxa"/>
            </w:tcMar>
            <w:vAlign w:val="center"/>
          </w:tcPr>
          <w:p>
            <w:pPr>
              <w:pStyle w:val="167"/>
              <w:spacing w:beforeLines="0" w:afterLines="0" w:line="240" w:lineRule="auto"/>
              <w:jc w:val="right"/>
              <w:rPr>
                <w:rFonts w:ascii="Times New Roman"/>
                <w:snapToGrid w:val="0"/>
                <w:color w:val="auto"/>
                <w:spacing w:val="-6"/>
                <w:kern w:val="21"/>
                <w:sz w:val="20"/>
                <w:lang w:val="en-US"/>
              </w:rPr>
            </w:pPr>
            <w:r>
              <w:rPr>
                <w:rFonts w:ascii="Times New Roman"/>
                <w:snapToGrid w:val="0"/>
                <w:color w:val="auto"/>
                <w:spacing w:val="-6"/>
                <w:kern w:val="21"/>
                <w:sz w:val="20"/>
                <w:lang w:val="en-US"/>
              </w:rPr>
              <w:t>项目</w:t>
            </w:r>
          </w:p>
          <w:p>
            <w:pPr>
              <w:pStyle w:val="167"/>
              <w:spacing w:beforeLines="0" w:afterLines="0" w:line="240" w:lineRule="auto"/>
              <w:jc w:val="left"/>
              <w:rPr>
                <w:rFonts w:ascii="Times New Roman"/>
                <w:snapToGrid w:val="0"/>
                <w:color w:val="auto"/>
                <w:spacing w:val="-6"/>
                <w:kern w:val="21"/>
                <w:sz w:val="20"/>
                <w:lang w:val="en-US"/>
              </w:rPr>
            </w:pPr>
            <w:r>
              <w:rPr>
                <w:rFonts w:ascii="Times New Roman"/>
                <w:snapToGrid w:val="0"/>
                <w:color w:val="auto"/>
                <w:spacing w:val="-6"/>
                <w:kern w:val="21"/>
                <w:sz w:val="20"/>
                <w:lang w:val="en-US"/>
              </w:rPr>
              <w:t>分类</w:t>
            </w:r>
          </w:p>
        </w:tc>
        <w:tc>
          <w:tcPr>
            <w:tcW w:w="2330" w:type="dxa"/>
            <w:tcMar>
              <w:left w:w="28" w:type="dxa"/>
              <w:right w:w="28" w:type="dxa"/>
            </w:tcMar>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污染物名称</w:t>
            </w:r>
          </w:p>
        </w:tc>
        <w:tc>
          <w:tcPr>
            <w:tcW w:w="1656" w:type="dxa"/>
            <w:tcMar>
              <w:left w:w="28" w:type="dxa"/>
              <w:right w:w="28" w:type="dxa"/>
            </w:tcMar>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现有工程排放量（固体废物产生量）</w:t>
            </w:r>
            <w:r>
              <w:rPr>
                <w:rFonts w:ascii="Times New Roman"/>
                <w:snapToGrid w:val="0"/>
                <w:color w:val="auto"/>
                <w:spacing w:val="-6"/>
                <w:kern w:val="21"/>
                <w:sz w:val="20"/>
                <w:lang w:val="en-US"/>
              </w:rPr>
              <w:fldChar w:fldCharType="begin"/>
            </w:r>
            <w:r>
              <w:rPr>
                <w:rFonts w:ascii="Times New Roman"/>
                <w:snapToGrid w:val="0"/>
                <w:color w:val="auto"/>
                <w:spacing w:val="-6"/>
                <w:kern w:val="21"/>
                <w:sz w:val="20"/>
                <w:lang w:val="en-US"/>
              </w:rPr>
              <w:instrText xml:space="preserve"> = 1 \* GB3 \* MERGEFORMAT </w:instrText>
            </w:r>
            <w:r>
              <w:rPr>
                <w:rFonts w:ascii="Times New Roman"/>
                <w:snapToGrid w:val="0"/>
                <w:color w:val="auto"/>
                <w:spacing w:val="-6"/>
                <w:kern w:val="21"/>
                <w:sz w:val="20"/>
                <w:lang w:val="en-US"/>
              </w:rPr>
              <w:fldChar w:fldCharType="separate"/>
            </w:r>
            <w:r>
              <w:rPr>
                <w:rFonts w:hint="eastAsia" w:hAnsi="宋体" w:cs="宋体"/>
                <w:color w:val="auto"/>
                <w:kern w:val="2"/>
                <w:sz w:val="20"/>
                <w:lang w:val="en-US"/>
              </w:rPr>
              <w:t>①</w:t>
            </w:r>
            <w:r>
              <w:rPr>
                <w:rFonts w:ascii="Times New Roman"/>
                <w:snapToGrid w:val="0"/>
                <w:color w:val="auto"/>
                <w:spacing w:val="-6"/>
                <w:kern w:val="21"/>
                <w:sz w:val="20"/>
                <w:lang w:val="en-US"/>
              </w:rPr>
              <w:fldChar w:fldCharType="end"/>
            </w:r>
          </w:p>
        </w:tc>
        <w:tc>
          <w:tcPr>
            <w:tcW w:w="1437" w:type="dxa"/>
            <w:tcMar>
              <w:left w:w="28" w:type="dxa"/>
              <w:right w:w="28" w:type="dxa"/>
            </w:tcMar>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现有工程许可排放量</w:t>
            </w:r>
            <w:r>
              <w:rPr>
                <w:rFonts w:ascii="Times New Roman"/>
                <w:snapToGrid w:val="0"/>
                <w:color w:val="auto"/>
                <w:spacing w:val="-6"/>
                <w:kern w:val="21"/>
                <w:sz w:val="20"/>
                <w:lang w:val="en-US"/>
              </w:rPr>
              <w:fldChar w:fldCharType="begin"/>
            </w:r>
            <w:r>
              <w:rPr>
                <w:rFonts w:ascii="Times New Roman"/>
                <w:snapToGrid w:val="0"/>
                <w:color w:val="auto"/>
                <w:spacing w:val="-6"/>
                <w:kern w:val="21"/>
                <w:sz w:val="20"/>
                <w:lang w:val="en-US"/>
              </w:rPr>
              <w:instrText xml:space="preserve"> = 2 \* GB3 \* MERGEFORMAT </w:instrText>
            </w:r>
            <w:r>
              <w:rPr>
                <w:rFonts w:ascii="Times New Roman"/>
                <w:snapToGrid w:val="0"/>
                <w:color w:val="auto"/>
                <w:spacing w:val="-6"/>
                <w:kern w:val="21"/>
                <w:sz w:val="20"/>
                <w:lang w:val="en-US"/>
              </w:rPr>
              <w:fldChar w:fldCharType="separate"/>
            </w:r>
            <w:r>
              <w:rPr>
                <w:rFonts w:hint="eastAsia" w:hAnsi="宋体" w:cs="宋体"/>
                <w:snapToGrid w:val="0"/>
                <w:color w:val="auto"/>
                <w:spacing w:val="-6"/>
                <w:kern w:val="21"/>
                <w:sz w:val="20"/>
                <w:lang w:val="en-US"/>
              </w:rPr>
              <w:t>②</w:t>
            </w:r>
            <w:r>
              <w:rPr>
                <w:rFonts w:ascii="Times New Roman"/>
                <w:snapToGrid w:val="0"/>
                <w:color w:val="auto"/>
                <w:spacing w:val="-6"/>
                <w:kern w:val="21"/>
                <w:sz w:val="20"/>
                <w:lang w:val="en-US"/>
              </w:rPr>
              <w:fldChar w:fldCharType="end"/>
            </w:r>
          </w:p>
        </w:tc>
        <w:tc>
          <w:tcPr>
            <w:tcW w:w="1546" w:type="dxa"/>
            <w:tcMar>
              <w:left w:w="28" w:type="dxa"/>
              <w:right w:w="28" w:type="dxa"/>
            </w:tcMar>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在建工程排放量（固体废物产生量）</w:t>
            </w:r>
            <w:r>
              <w:rPr>
                <w:rFonts w:ascii="Times New Roman"/>
                <w:snapToGrid w:val="0"/>
                <w:color w:val="auto"/>
                <w:spacing w:val="-6"/>
                <w:kern w:val="21"/>
                <w:sz w:val="20"/>
                <w:lang w:val="en-US"/>
              </w:rPr>
              <w:fldChar w:fldCharType="begin"/>
            </w:r>
            <w:r>
              <w:rPr>
                <w:rFonts w:ascii="Times New Roman"/>
                <w:snapToGrid w:val="0"/>
                <w:color w:val="auto"/>
                <w:spacing w:val="-6"/>
                <w:kern w:val="21"/>
                <w:sz w:val="20"/>
                <w:lang w:val="en-US"/>
              </w:rPr>
              <w:instrText xml:space="preserve"> = 3 \* GB3 \* MERGEFORMAT </w:instrText>
            </w:r>
            <w:r>
              <w:rPr>
                <w:rFonts w:ascii="Times New Roman"/>
                <w:snapToGrid w:val="0"/>
                <w:color w:val="auto"/>
                <w:spacing w:val="-6"/>
                <w:kern w:val="21"/>
                <w:sz w:val="20"/>
                <w:lang w:val="en-US"/>
              </w:rPr>
              <w:fldChar w:fldCharType="separate"/>
            </w:r>
            <w:r>
              <w:rPr>
                <w:rFonts w:hint="eastAsia" w:hAnsi="宋体" w:cs="宋体"/>
                <w:color w:val="auto"/>
                <w:kern w:val="2"/>
                <w:sz w:val="20"/>
                <w:lang w:val="en-US"/>
              </w:rPr>
              <w:t>③</w:t>
            </w:r>
            <w:r>
              <w:rPr>
                <w:rFonts w:ascii="Times New Roman"/>
                <w:snapToGrid w:val="0"/>
                <w:color w:val="auto"/>
                <w:spacing w:val="-6"/>
                <w:kern w:val="21"/>
                <w:sz w:val="20"/>
                <w:lang w:val="en-US"/>
              </w:rPr>
              <w:fldChar w:fldCharType="end"/>
            </w:r>
          </w:p>
        </w:tc>
        <w:tc>
          <w:tcPr>
            <w:tcW w:w="1548" w:type="dxa"/>
            <w:tcMar>
              <w:left w:w="28" w:type="dxa"/>
              <w:right w:w="28" w:type="dxa"/>
            </w:tcMar>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本项目排放量（固体废物产生量）</w:t>
            </w:r>
            <w:r>
              <w:rPr>
                <w:rFonts w:ascii="Times New Roman"/>
                <w:snapToGrid w:val="0"/>
                <w:color w:val="auto"/>
                <w:spacing w:val="-6"/>
                <w:kern w:val="21"/>
                <w:sz w:val="20"/>
                <w:lang w:val="en-US"/>
              </w:rPr>
              <w:fldChar w:fldCharType="begin"/>
            </w:r>
            <w:r>
              <w:rPr>
                <w:rFonts w:ascii="Times New Roman"/>
                <w:snapToGrid w:val="0"/>
                <w:color w:val="auto"/>
                <w:spacing w:val="-6"/>
                <w:kern w:val="21"/>
                <w:sz w:val="20"/>
                <w:lang w:val="en-US"/>
              </w:rPr>
              <w:instrText xml:space="preserve"> = 4 \* GB3 \* MERGEFORMAT </w:instrText>
            </w:r>
            <w:r>
              <w:rPr>
                <w:rFonts w:ascii="Times New Roman"/>
                <w:snapToGrid w:val="0"/>
                <w:color w:val="auto"/>
                <w:spacing w:val="-6"/>
                <w:kern w:val="21"/>
                <w:sz w:val="20"/>
                <w:lang w:val="en-US"/>
              </w:rPr>
              <w:fldChar w:fldCharType="separate"/>
            </w:r>
            <w:r>
              <w:rPr>
                <w:rFonts w:hint="eastAsia" w:hAnsi="宋体" w:cs="宋体"/>
                <w:color w:val="auto"/>
                <w:kern w:val="2"/>
                <w:sz w:val="20"/>
                <w:lang w:val="en-US"/>
              </w:rPr>
              <w:t>④</w:t>
            </w:r>
            <w:r>
              <w:rPr>
                <w:rFonts w:ascii="Times New Roman"/>
                <w:snapToGrid w:val="0"/>
                <w:color w:val="auto"/>
                <w:spacing w:val="-6"/>
                <w:kern w:val="21"/>
                <w:sz w:val="20"/>
                <w:lang w:val="en-US"/>
              </w:rPr>
              <w:fldChar w:fldCharType="end"/>
            </w:r>
          </w:p>
        </w:tc>
        <w:tc>
          <w:tcPr>
            <w:tcW w:w="1546" w:type="dxa"/>
            <w:tcMar>
              <w:left w:w="28" w:type="dxa"/>
              <w:right w:w="28" w:type="dxa"/>
            </w:tcMar>
            <w:vAlign w:val="center"/>
          </w:tcPr>
          <w:p>
            <w:pPr>
              <w:pStyle w:val="167"/>
              <w:spacing w:beforeLines="0" w:afterLines="0" w:line="240" w:lineRule="auto"/>
              <w:rPr>
                <w:rFonts w:ascii="Times New Roman"/>
                <w:snapToGrid w:val="0"/>
                <w:color w:val="auto"/>
                <w:spacing w:val="-16"/>
                <w:kern w:val="21"/>
                <w:sz w:val="20"/>
                <w:lang w:val="en-US"/>
              </w:rPr>
            </w:pPr>
            <w:r>
              <w:rPr>
                <w:rFonts w:ascii="Times New Roman"/>
                <w:snapToGrid w:val="0"/>
                <w:color w:val="auto"/>
                <w:spacing w:val="-6"/>
                <w:kern w:val="21"/>
                <w:sz w:val="20"/>
                <w:lang w:val="en-US"/>
              </w:rPr>
              <w:t>以新带老削减量（新建项目不填）</w:t>
            </w:r>
            <w:r>
              <w:rPr>
                <w:rFonts w:ascii="Times New Roman"/>
                <w:snapToGrid w:val="0"/>
                <w:color w:val="auto"/>
                <w:spacing w:val="-16"/>
                <w:kern w:val="21"/>
                <w:sz w:val="20"/>
                <w:lang w:val="en-US"/>
              </w:rPr>
              <w:fldChar w:fldCharType="begin"/>
            </w:r>
            <w:r>
              <w:rPr>
                <w:rFonts w:ascii="Times New Roman"/>
                <w:snapToGrid w:val="0"/>
                <w:color w:val="auto"/>
                <w:spacing w:val="-16"/>
                <w:kern w:val="21"/>
                <w:sz w:val="20"/>
                <w:lang w:val="en-US"/>
              </w:rPr>
              <w:instrText xml:space="preserve"> = 5 \* GB3 \* MERGEFORMAT </w:instrText>
            </w:r>
            <w:r>
              <w:rPr>
                <w:rFonts w:ascii="Times New Roman"/>
                <w:snapToGrid w:val="0"/>
                <w:color w:val="auto"/>
                <w:spacing w:val="-16"/>
                <w:kern w:val="21"/>
                <w:sz w:val="20"/>
                <w:lang w:val="en-US"/>
              </w:rPr>
              <w:fldChar w:fldCharType="separate"/>
            </w:r>
            <w:r>
              <w:rPr>
                <w:rFonts w:hint="eastAsia" w:hAnsi="宋体" w:cs="宋体"/>
                <w:color w:val="auto"/>
                <w:kern w:val="2"/>
                <w:sz w:val="20"/>
                <w:lang w:val="en-US"/>
              </w:rPr>
              <w:t>⑤</w:t>
            </w:r>
            <w:r>
              <w:rPr>
                <w:rFonts w:ascii="Times New Roman"/>
                <w:snapToGrid w:val="0"/>
                <w:color w:val="auto"/>
                <w:spacing w:val="-16"/>
                <w:kern w:val="21"/>
                <w:sz w:val="20"/>
                <w:lang w:val="en-US"/>
              </w:rPr>
              <w:fldChar w:fldCharType="end"/>
            </w:r>
          </w:p>
        </w:tc>
        <w:tc>
          <w:tcPr>
            <w:tcW w:w="1734" w:type="dxa"/>
            <w:tcMar>
              <w:left w:w="28" w:type="dxa"/>
              <w:right w:w="28" w:type="dxa"/>
            </w:tcMar>
            <w:vAlign w:val="center"/>
          </w:tcPr>
          <w:p>
            <w:pPr>
              <w:pStyle w:val="167"/>
              <w:spacing w:beforeLines="0" w:afterLines="0" w:line="240" w:lineRule="auto"/>
              <w:rPr>
                <w:rFonts w:ascii="Times New Roman"/>
                <w:snapToGrid w:val="0"/>
                <w:color w:val="auto"/>
                <w:spacing w:val="-16"/>
                <w:kern w:val="21"/>
                <w:sz w:val="20"/>
                <w:lang w:val="en-US"/>
              </w:rPr>
            </w:pPr>
            <w:r>
              <w:rPr>
                <w:rFonts w:ascii="Times New Roman"/>
                <w:snapToGrid w:val="0"/>
                <w:color w:val="auto"/>
                <w:spacing w:val="-6"/>
                <w:kern w:val="21"/>
                <w:sz w:val="20"/>
                <w:lang w:val="en-US"/>
              </w:rPr>
              <w:t>本项目建成后全厂排放量（固体废物产生量）</w:t>
            </w:r>
            <w:r>
              <w:rPr>
                <w:rFonts w:ascii="Times New Roman"/>
                <w:snapToGrid w:val="0"/>
                <w:color w:val="auto"/>
                <w:spacing w:val="-16"/>
                <w:kern w:val="21"/>
                <w:sz w:val="20"/>
                <w:lang w:val="en-US"/>
              </w:rPr>
              <w:fldChar w:fldCharType="begin"/>
            </w:r>
            <w:r>
              <w:rPr>
                <w:rFonts w:ascii="Times New Roman"/>
                <w:snapToGrid w:val="0"/>
                <w:color w:val="auto"/>
                <w:spacing w:val="-16"/>
                <w:kern w:val="21"/>
                <w:sz w:val="20"/>
                <w:lang w:val="en-US"/>
              </w:rPr>
              <w:instrText xml:space="preserve"> = 6 \* GB3 \* MERGEFORMAT </w:instrText>
            </w:r>
            <w:r>
              <w:rPr>
                <w:rFonts w:ascii="Times New Roman"/>
                <w:snapToGrid w:val="0"/>
                <w:color w:val="auto"/>
                <w:spacing w:val="-16"/>
                <w:kern w:val="21"/>
                <w:sz w:val="20"/>
                <w:lang w:val="en-US"/>
              </w:rPr>
              <w:fldChar w:fldCharType="separate"/>
            </w:r>
            <w:r>
              <w:rPr>
                <w:rFonts w:hint="eastAsia" w:hAnsi="宋体" w:cs="宋体"/>
                <w:color w:val="auto"/>
                <w:kern w:val="2"/>
                <w:sz w:val="20"/>
                <w:lang w:val="en-US"/>
              </w:rPr>
              <w:t>⑥</w:t>
            </w:r>
            <w:r>
              <w:rPr>
                <w:rFonts w:ascii="Times New Roman"/>
                <w:snapToGrid w:val="0"/>
                <w:color w:val="auto"/>
                <w:spacing w:val="-16"/>
                <w:kern w:val="21"/>
                <w:sz w:val="20"/>
                <w:lang w:val="en-US"/>
              </w:rPr>
              <w:fldChar w:fldCharType="end"/>
            </w:r>
          </w:p>
        </w:tc>
        <w:tc>
          <w:tcPr>
            <w:tcW w:w="1361" w:type="dxa"/>
            <w:tcMar>
              <w:left w:w="28" w:type="dxa"/>
              <w:right w:w="28" w:type="dxa"/>
            </w:tcMar>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变化量</w:t>
            </w:r>
          </w:p>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fldChar w:fldCharType="begin"/>
            </w:r>
            <w:r>
              <w:rPr>
                <w:rFonts w:ascii="Times New Roman"/>
                <w:snapToGrid w:val="0"/>
                <w:color w:val="auto"/>
                <w:spacing w:val="-6"/>
                <w:kern w:val="21"/>
                <w:sz w:val="20"/>
                <w:lang w:val="en-US"/>
              </w:rPr>
              <w:instrText xml:space="preserve"> = 7 \* GB3 \* MERGEFORMAT </w:instrText>
            </w:r>
            <w:r>
              <w:rPr>
                <w:rFonts w:ascii="Times New Roman"/>
                <w:snapToGrid w:val="0"/>
                <w:color w:val="auto"/>
                <w:spacing w:val="-6"/>
                <w:kern w:val="21"/>
                <w:sz w:val="20"/>
                <w:lang w:val="en-US"/>
              </w:rPr>
              <w:fldChar w:fldCharType="separate"/>
            </w:r>
            <w:r>
              <w:rPr>
                <w:rFonts w:hint="eastAsia" w:hAnsi="宋体" w:cs="宋体"/>
                <w:color w:val="auto"/>
                <w:kern w:val="2"/>
                <w:sz w:val="20"/>
                <w:lang w:val="en-US"/>
              </w:rPr>
              <w:t>⑦</w:t>
            </w:r>
            <w:r>
              <w:rPr>
                <w:rFonts w:ascii="Times New Roman"/>
                <w:snapToGrid w:val="0"/>
                <w:color w:val="auto"/>
                <w:spacing w:val="-6"/>
                <w:kern w:val="21"/>
                <w:sz w:val="20"/>
                <w:lang w:val="en-US"/>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restart"/>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废气</w:t>
            </w:r>
          </w:p>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（有组织）</w:t>
            </w:r>
          </w:p>
        </w:tc>
        <w:tc>
          <w:tcPr>
            <w:tcW w:w="2330" w:type="dxa"/>
            <w:vAlign w:val="center"/>
          </w:tcPr>
          <w:p>
            <w:pPr>
              <w:adjustRightInd w:val="0"/>
              <w:snapToGrid w:val="0"/>
              <w:jc w:val="center"/>
              <w:rPr>
                <w:rFonts w:ascii="Times New Roman"/>
                <w:snapToGrid w:val="0"/>
                <w:color w:val="auto"/>
                <w:spacing w:val="-6"/>
                <w:kern w:val="21"/>
                <w:sz w:val="18"/>
                <w:szCs w:val="22"/>
                <w:lang w:val="en-US"/>
              </w:rPr>
            </w:pPr>
            <w:r>
              <w:rPr>
                <w:rFonts w:hint="eastAsia"/>
                <w:color w:val="auto"/>
                <w:sz w:val="20"/>
                <w:szCs w:val="20"/>
              </w:rPr>
              <w:t>非甲烷总烃</w:t>
            </w:r>
          </w:p>
        </w:tc>
        <w:tc>
          <w:tcPr>
            <w:tcW w:w="1656" w:type="dxa"/>
            <w:vAlign w:val="center"/>
          </w:tcPr>
          <w:p>
            <w:pPr>
              <w:jc w:val="center"/>
              <w:rPr>
                <w:snapToGrid w:val="0"/>
                <w:color w:val="auto"/>
                <w:spacing w:val="-6"/>
                <w:kern w:val="21"/>
                <w:sz w:val="20"/>
                <w:szCs w:val="20"/>
              </w:rPr>
            </w:pPr>
            <w:r>
              <w:rPr>
                <w:rFonts w:ascii="Times New Roman"/>
                <w:color w:val="auto"/>
                <w:sz w:val="20"/>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8"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0.308</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0.308</w:t>
            </w:r>
          </w:p>
        </w:tc>
        <w:tc>
          <w:tcPr>
            <w:tcW w:w="1361"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+0.308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spacing w:val="-6"/>
                <w:kern w:val="21"/>
                <w:sz w:val="20"/>
                <w:lang w:val="en-US"/>
              </w:rPr>
            </w:pPr>
          </w:p>
        </w:tc>
        <w:tc>
          <w:tcPr>
            <w:tcW w:w="2330" w:type="dxa"/>
            <w:vAlign w:val="center"/>
          </w:tcPr>
          <w:p>
            <w:pPr>
              <w:adjustRightInd w:val="0"/>
              <w:snapToGrid w:val="0"/>
              <w:jc w:val="center"/>
              <w:rPr>
                <w:rFonts w:ascii="Times New Roman"/>
                <w:snapToGrid w:val="0"/>
                <w:color w:val="auto"/>
                <w:spacing w:val="-6"/>
                <w:kern w:val="21"/>
                <w:sz w:val="18"/>
                <w:szCs w:val="22"/>
                <w:lang w:val="en-US"/>
              </w:rPr>
            </w:pPr>
            <w:r>
              <w:rPr>
                <w:rFonts w:hint="eastAsia"/>
                <w:color w:val="auto"/>
                <w:sz w:val="20"/>
                <w:szCs w:val="20"/>
                <w:lang w:val="en-US" w:eastAsia="zh-CN"/>
              </w:rPr>
              <w:t>颗粒物</w:t>
            </w:r>
          </w:p>
        </w:tc>
        <w:tc>
          <w:tcPr>
            <w:tcW w:w="1656" w:type="dxa"/>
            <w:vAlign w:val="center"/>
          </w:tcPr>
          <w:p>
            <w:pPr>
              <w:jc w:val="center"/>
              <w:rPr>
                <w:snapToGrid w:val="0"/>
                <w:color w:val="auto"/>
                <w:spacing w:val="-6"/>
                <w:kern w:val="21"/>
                <w:sz w:val="20"/>
                <w:szCs w:val="20"/>
              </w:rPr>
            </w:pPr>
            <w:r>
              <w:rPr>
                <w:rFonts w:ascii="Times New Roman"/>
                <w:color w:val="auto"/>
                <w:sz w:val="20"/>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8"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0.137</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0.137</w:t>
            </w:r>
          </w:p>
        </w:tc>
        <w:tc>
          <w:tcPr>
            <w:tcW w:w="1361"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+0.137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spacing w:val="-6"/>
                <w:kern w:val="21"/>
                <w:sz w:val="20"/>
                <w:lang w:val="en-US"/>
              </w:rPr>
            </w:pPr>
          </w:p>
        </w:tc>
        <w:tc>
          <w:tcPr>
            <w:tcW w:w="2330" w:type="dxa"/>
            <w:vAlign w:val="center"/>
          </w:tcPr>
          <w:p>
            <w:pPr>
              <w:adjustRightInd w:val="0"/>
              <w:snapToGrid w:val="0"/>
              <w:jc w:val="center"/>
              <w:rPr>
                <w:rFonts w:ascii="Times New Roman"/>
                <w:snapToGrid w:val="0"/>
                <w:color w:val="auto"/>
                <w:spacing w:val="-6"/>
                <w:kern w:val="21"/>
                <w:sz w:val="18"/>
                <w:szCs w:val="22"/>
                <w:lang w:val="en-US"/>
              </w:rPr>
            </w:pPr>
            <w:r>
              <w:rPr>
                <w:rFonts w:hint="eastAsia"/>
                <w:color w:val="auto"/>
                <w:sz w:val="20"/>
                <w:szCs w:val="20"/>
                <w:lang w:val="en-US" w:eastAsia="zh-CN"/>
              </w:rPr>
              <w:t>SO</w:t>
            </w:r>
            <w:r>
              <w:rPr>
                <w:rFonts w:hint="eastAsia"/>
                <w:color w:val="auto"/>
                <w:sz w:val="20"/>
                <w:szCs w:val="20"/>
                <w:vertAlign w:val="subscript"/>
                <w:lang w:val="en-US" w:eastAsia="zh-CN"/>
              </w:rPr>
              <w:t>2</w:t>
            </w:r>
          </w:p>
        </w:tc>
        <w:tc>
          <w:tcPr>
            <w:tcW w:w="1656" w:type="dxa"/>
            <w:vAlign w:val="center"/>
          </w:tcPr>
          <w:p>
            <w:pPr>
              <w:jc w:val="center"/>
              <w:rPr>
                <w:snapToGrid w:val="0"/>
                <w:color w:val="auto"/>
                <w:spacing w:val="-6"/>
                <w:kern w:val="21"/>
                <w:sz w:val="20"/>
                <w:szCs w:val="20"/>
              </w:rPr>
            </w:pPr>
            <w:r>
              <w:rPr>
                <w:rFonts w:ascii="Times New Roman"/>
                <w:color w:val="auto"/>
                <w:sz w:val="20"/>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8"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1.428</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1.428</w:t>
            </w:r>
          </w:p>
        </w:tc>
        <w:tc>
          <w:tcPr>
            <w:tcW w:w="1361"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+1.428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spacing w:val="-6"/>
                <w:kern w:val="21"/>
                <w:sz w:val="20"/>
                <w:lang w:val="en-US"/>
              </w:rPr>
            </w:pPr>
          </w:p>
        </w:tc>
        <w:tc>
          <w:tcPr>
            <w:tcW w:w="2330" w:type="dxa"/>
            <w:vAlign w:val="center"/>
          </w:tcPr>
          <w:p>
            <w:pPr>
              <w:adjustRightInd w:val="0"/>
              <w:snapToGrid w:val="0"/>
              <w:jc w:val="center"/>
              <w:rPr>
                <w:rFonts w:ascii="Times New Roman"/>
                <w:color w:val="auto"/>
                <w:sz w:val="18"/>
                <w:szCs w:val="22"/>
              </w:rPr>
            </w:pPr>
            <w:r>
              <w:rPr>
                <w:rFonts w:hint="eastAsia"/>
                <w:color w:val="auto"/>
                <w:sz w:val="20"/>
                <w:szCs w:val="20"/>
                <w:lang w:val="en-US" w:eastAsia="zh-CN"/>
              </w:rPr>
              <w:t>NO</w:t>
            </w:r>
            <w:r>
              <w:rPr>
                <w:rFonts w:hint="eastAsia"/>
                <w:color w:val="auto"/>
                <w:sz w:val="20"/>
                <w:szCs w:val="20"/>
                <w:vertAlign w:val="subscript"/>
                <w:lang w:val="en-US" w:eastAsia="zh-CN"/>
              </w:rPr>
              <w:t>x</w:t>
            </w:r>
          </w:p>
        </w:tc>
        <w:tc>
          <w:tcPr>
            <w:tcW w:w="1656" w:type="dxa"/>
            <w:vAlign w:val="center"/>
          </w:tcPr>
          <w:p>
            <w:pPr>
              <w:jc w:val="center"/>
              <w:rPr>
                <w:color w:val="auto"/>
                <w:sz w:val="20"/>
                <w:szCs w:val="20"/>
              </w:rPr>
            </w:pPr>
            <w:r>
              <w:rPr>
                <w:rFonts w:ascii="Times New Roman"/>
                <w:color w:val="auto"/>
                <w:sz w:val="20"/>
              </w:rPr>
              <w:t>/</w:t>
            </w:r>
          </w:p>
        </w:tc>
        <w:tc>
          <w:tcPr>
            <w:tcW w:w="1437" w:type="dxa"/>
            <w:vAlign w:val="center"/>
          </w:tcPr>
          <w:p>
            <w:pPr>
              <w:pStyle w:val="167"/>
              <w:spacing w:beforeLines="0" w:afterLines="0" w:line="240" w:lineRule="auto"/>
              <w:rPr>
                <w:rFonts w:ascii="Times New Roman"/>
                <w:color w:val="auto"/>
                <w:sz w:val="20"/>
              </w:rPr>
            </w:pPr>
            <w:r>
              <w:rPr>
                <w:rFonts w:ascii="Times New Roman"/>
                <w:color w:val="auto"/>
                <w:sz w:val="20"/>
              </w:rPr>
              <w:t>/</w:t>
            </w:r>
          </w:p>
        </w:tc>
        <w:tc>
          <w:tcPr>
            <w:tcW w:w="1546" w:type="dxa"/>
            <w:vAlign w:val="center"/>
          </w:tcPr>
          <w:p>
            <w:pPr>
              <w:widowControl/>
              <w:jc w:val="center"/>
              <w:rPr>
                <w:snapToGrid w:val="0"/>
                <w:color w:val="auto"/>
                <w:spacing w:val="-6"/>
                <w:kern w:val="21"/>
                <w:sz w:val="20"/>
                <w:szCs w:val="20"/>
              </w:rPr>
            </w:pPr>
            <w:r>
              <w:rPr>
                <w:color w:val="auto"/>
                <w:kern w:val="0"/>
                <w:sz w:val="20"/>
                <w:szCs w:val="20"/>
              </w:rPr>
              <w:t>/</w:t>
            </w:r>
          </w:p>
        </w:tc>
        <w:tc>
          <w:tcPr>
            <w:tcW w:w="1548"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1.988</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1.988</w:t>
            </w:r>
          </w:p>
        </w:tc>
        <w:tc>
          <w:tcPr>
            <w:tcW w:w="1361"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+1.988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spacing w:val="-6"/>
                <w:kern w:val="21"/>
                <w:sz w:val="20"/>
                <w:lang w:val="en-US"/>
              </w:rPr>
            </w:pPr>
          </w:p>
        </w:tc>
        <w:tc>
          <w:tcPr>
            <w:tcW w:w="2330" w:type="dxa"/>
            <w:vAlign w:val="center"/>
          </w:tcPr>
          <w:p>
            <w:pPr>
              <w:adjustRightInd w:val="0"/>
              <w:snapToGrid w:val="0"/>
              <w:jc w:val="center"/>
              <w:rPr>
                <w:rFonts w:ascii="Times New Roman"/>
                <w:color w:val="auto"/>
                <w:sz w:val="18"/>
                <w:szCs w:val="22"/>
              </w:rPr>
            </w:pPr>
            <w:r>
              <w:rPr>
                <w:rFonts w:hint="eastAsia"/>
                <w:color w:val="auto"/>
                <w:sz w:val="20"/>
                <w:szCs w:val="20"/>
                <w:lang w:val="en-US" w:eastAsia="zh-CN"/>
              </w:rPr>
              <w:t>汞及其化合物</w:t>
            </w:r>
          </w:p>
        </w:tc>
        <w:tc>
          <w:tcPr>
            <w:tcW w:w="1656" w:type="dxa"/>
            <w:vAlign w:val="center"/>
          </w:tcPr>
          <w:p>
            <w:pPr>
              <w:jc w:val="center"/>
              <w:rPr>
                <w:color w:val="auto"/>
                <w:sz w:val="20"/>
                <w:szCs w:val="20"/>
              </w:rPr>
            </w:pPr>
            <w:r>
              <w:rPr>
                <w:rFonts w:ascii="Times New Roman"/>
                <w:color w:val="auto"/>
                <w:sz w:val="20"/>
              </w:rPr>
              <w:t>/</w:t>
            </w:r>
          </w:p>
        </w:tc>
        <w:tc>
          <w:tcPr>
            <w:tcW w:w="1437" w:type="dxa"/>
            <w:vAlign w:val="center"/>
          </w:tcPr>
          <w:p>
            <w:pPr>
              <w:pStyle w:val="167"/>
              <w:spacing w:beforeLines="0" w:afterLines="0" w:line="240" w:lineRule="auto"/>
              <w:rPr>
                <w:rFonts w:ascii="Times New Roman"/>
                <w:color w:val="auto"/>
                <w:sz w:val="20"/>
              </w:rPr>
            </w:pPr>
            <w:r>
              <w:rPr>
                <w:rFonts w:ascii="Times New Roman"/>
                <w:color w:val="auto"/>
                <w:sz w:val="20"/>
              </w:rPr>
              <w:t>/</w:t>
            </w:r>
          </w:p>
        </w:tc>
        <w:tc>
          <w:tcPr>
            <w:tcW w:w="1546" w:type="dxa"/>
            <w:vAlign w:val="center"/>
          </w:tcPr>
          <w:p>
            <w:pPr>
              <w:widowControl/>
              <w:jc w:val="center"/>
              <w:rPr>
                <w:snapToGrid w:val="0"/>
                <w:color w:val="auto"/>
                <w:spacing w:val="-6"/>
                <w:kern w:val="21"/>
                <w:sz w:val="20"/>
                <w:szCs w:val="20"/>
              </w:rPr>
            </w:pPr>
            <w:r>
              <w:rPr>
                <w:color w:val="auto"/>
                <w:kern w:val="0"/>
                <w:sz w:val="20"/>
                <w:szCs w:val="20"/>
              </w:rPr>
              <w:t>/</w:t>
            </w:r>
          </w:p>
        </w:tc>
        <w:tc>
          <w:tcPr>
            <w:tcW w:w="1548" w:type="dxa"/>
            <w:vAlign w:val="center"/>
          </w:tcPr>
          <w:p>
            <w:pPr>
              <w:adjustRightInd w:val="0"/>
              <w:snapToGrid w:val="0"/>
              <w:jc w:val="center"/>
              <w:rPr>
                <w:color w:val="auto"/>
                <w:kern w:val="0"/>
                <w:sz w:val="20"/>
                <w:szCs w:val="20"/>
              </w:rPr>
            </w:pPr>
            <w:r>
              <w:rPr>
                <w:rFonts w:hint="eastAsia"/>
                <w:color w:val="auto"/>
                <w:sz w:val="20"/>
                <w:szCs w:val="20"/>
                <w:lang w:val="en-US" w:eastAsia="zh-CN"/>
              </w:rPr>
              <w:t>1.612kg</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adjustRightInd w:val="0"/>
              <w:snapToGrid w:val="0"/>
              <w:jc w:val="center"/>
              <w:rPr>
                <w:color w:val="auto"/>
                <w:sz w:val="20"/>
                <w:szCs w:val="20"/>
              </w:rPr>
            </w:pPr>
            <w:r>
              <w:rPr>
                <w:rFonts w:hint="eastAsia"/>
                <w:color w:val="auto"/>
                <w:sz w:val="20"/>
                <w:szCs w:val="20"/>
                <w:lang w:val="en-US" w:eastAsia="zh-CN"/>
              </w:rPr>
              <w:t>1.612kg</w:t>
            </w:r>
          </w:p>
        </w:tc>
        <w:tc>
          <w:tcPr>
            <w:tcW w:w="1361" w:type="dxa"/>
            <w:shd w:val="clear" w:color="auto" w:fill="auto"/>
            <w:vAlign w:val="center"/>
          </w:tcPr>
          <w:p>
            <w:pPr>
              <w:adjustRightInd w:val="0"/>
              <w:snapToGrid w:val="0"/>
              <w:jc w:val="center"/>
              <w:rPr>
                <w:rFonts w:ascii="Times New Roman" w:hAnsi="Times New Roman" w:eastAsia="宋体" w:cs="Times New Roman"/>
                <w:snapToGrid w:val="0"/>
                <w:color w:val="auto"/>
                <w:spacing w:val="-6"/>
                <w:kern w:val="21"/>
                <w:sz w:val="20"/>
                <w:szCs w:val="20"/>
                <w:lang w:val="en-US" w:eastAsia="zh-CN" w:bidi="ar-SA"/>
              </w:rPr>
            </w:pPr>
            <w:r>
              <w:rPr>
                <w:rFonts w:hint="eastAsia"/>
                <w:color w:val="auto"/>
                <w:sz w:val="20"/>
                <w:szCs w:val="20"/>
                <w:lang w:val="en-US" w:eastAsia="zh-CN"/>
              </w:rPr>
              <w:t>+1.612kg</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restart"/>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废气</w:t>
            </w:r>
          </w:p>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（无组织）</w:t>
            </w:r>
          </w:p>
        </w:tc>
        <w:tc>
          <w:tcPr>
            <w:tcW w:w="2330" w:type="dxa"/>
            <w:vAlign w:val="center"/>
          </w:tcPr>
          <w:p>
            <w:pPr>
              <w:adjustRightInd w:val="0"/>
              <w:snapToGrid w:val="0"/>
              <w:jc w:val="center"/>
              <w:rPr>
                <w:rFonts w:ascii="Times New Roman"/>
                <w:snapToGrid w:val="0"/>
                <w:color w:val="auto"/>
                <w:spacing w:val="-6"/>
                <w:kern w:val="21"/>
                <w:sz w:val="20"/>
                <w:lang w:val="en-US"/>
              </w:rPr>
            </w:pPr>
            <w:r>
              <w:rPr>
                <w:rFonts w:hint="eastAsia"/>
                <w:color w:val="auto"/>
                <w:sz w:val="20"/>
                <w:szCs w:val="20"/>
              </w:rPr>
              <w:t>非甲烷总烃</w:t>
            </w:r>
          </w:p>
        </w:tc>
        <w:tc>
          <w:tcPr>
            <w:tcW w:w="1656" w:type="dxa"/>
            <w:vAlign w:val="center"/>
          </w:tcPr>
          <w:p>
            <w:pPr>
              <w:pStyle w:val="167"/>
              <w:spacing w:beforeLines="0" w:afterLines="0" w:line="240" w:lineRule="auto"/>
              <w:rPr>
                <w:snapToGrid w:val="0"/>
                <w:color w:val="auto"/>
                <w:spacing w:val="-6"/>
                <w:kern w:val="21"/>
                <w:sz w:val="20"/>
                <w:szCs w:val="20"/>
              </w:rPr>
            </w:pPr>
            <w:r>
              <w:rPr>
                <w:rFonts w:ascii="Times New Roman"/>
                <w:color w:val="auto"/>
                <w:sz w:val="20"/>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8"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0.081</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0.081</w:t>
            </w:r>
          </w:p>
        </w:tc>
        <w:tc>
          <w:tcPr>
            <w:tcW w:w="1361" w:type="dxa"/>
            <w:shd w:val="clear" w:color="auto" w:fill="auto"/>
            <w:vAlign w:val="center"/>
          </w:tcPr>
          <w:p>
            <w:pPr>
              <w:adjustRightInd w:val="0"/>
              <w:snapToGrid w:val="0"/>
              <w:jc w:val="center"/>
              <w:rPr>
                <w:rFonts w:hint="default" w:ascii="Times New Roman" w:hAnsi="Times New Roman" w:eastAsia="宋体" w:cs="Times New Roman"/>
                <w:snapToGrid w:val="0"/>
                <w:color w:val="auto"/>
                <w:spacing w:val="-6"/>
                <w:kern w:val="21"/>
                <w:sz w:val="20"/>
                <w:szCs w:val="20"/>
                <w:lang w:val="en-US" w:eastAsia="zh-CN" w:bidi="ar-SA"/>
              </w:rPr>
            </w:pPr>
            <w:r>
              <w:rPr>
                <w:rFonts w:hint="eastAsia"/>
                <w:color w:val="auto"/>
                <w:sz w:val="20"/>
                <w:szCs w:val="20"/>
                <w:lang w:val="en-US" w:eastAsia="zh-CN"/>
              </w:rPr>
              <w:t>+0.081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spacing w:val="-6"/>
                <w:kern w:val="21"/>
                <w:sz w:val="20"/>
                <w:lang w:val="en-US"/>
              </w:rPr>
            </w:pPr>
          </w:p>
        </w:tc>
        <w:tc>
          <w:tcPr>
            <w:tcW w:w="2330" w:type="dxa"/>
            <w:vAlign w:val="center"/>
          </w:tcPr>
          <w:p>
            <w:pPr>
              <w:adjustRightInd w:val="0"/>
              <w:snapToGrid w:val="0"/>
              <w:jc w:val="center"/>
              <w:rPr>
                <w:rFonts w:ascii="Times New Roman"/>
                <w:color w:val="auto"/>
                <w:sz w:val="20"/>
              </w:rPr>
            </w:pPr>
            <w:r>
              <w:rPr>
                <w:rFonts w:hint="eastAsia"/>
                <w:color w:val="auto"/>
                <w:sz w:val="20"/>
                <w:szCs w:val="20"/>
                <w:lang w:val="en-US" w:eastAsia="zh-CN"/>
              </w:rPr>
              <w:t>颗粒物</w:t>
            </w:r>
          </w:p>
        </w:tc>
        <w:tc>
          <w:tcPr>
            <w:tcW w:w="1656" w:type="dxa"/>
            <w:vAlign w:val="center"/>
          </w:tcPr>
          <w:p>
            <w:pPr>
              <w:pStyle w:val="167"/>
              <w:spacing w:beforeLines="0" w:afterLines="0" w:line="240" w:lineRule="auto"/>
              <w:rPr>
                <w:color w:val="auto"/>
                <w:sz w:val="20"/>
                <w:szCs w:val="20"/>
              </w:rPr>
            </w:pPr>
            <w:r>
              <w:rPr>
                <w:rFonts w:ascii="Times New Roman"/>
                <w:color w:val="auto"/>
                <w:sz w:val="20"/>
              </w:rPr>
              <w:t>/</w:t>
            </w:r>
          </w:p>
        </w:tc>
        <w:tc>
          <w:tcPr>
            <w:tcW w:w="1437" w:type="dxa"/>
            <w:vAlign w:val="center"/>
          </w:tcPr>
          <w:p>
            <w:pPr>
              <w:pStyle w:val="167"/>
              <w:spacing w:beforeLines="0" w:afterLines="0" w:line="240" w:lineRule="auto"/>
              <w:rPr>
                <w:rFonts w:ascii="Times New Roman"/>
                <w:color w:val="auto"/>
                <w:sz w:val="20"/>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w:t>
            </w:r>
          </w:p>
        </w:tc>
        <w:tc>
          <w:tcPr>
            <w:tcW w:w="1548" w:type="dxa"/>
            <w:vAlign w:val="center"/>
          </w:tcPr>
          <w:p>
            <w:pPr>
              <w:adjustRightInd w:val="0"/>
              <w:snapToGrid w:val="0"/>
              <w:jc w:val="center"/>
              <w:rPr>
                <w:rFonts w:hint="default"/>
                <w:snapToGrid w:val="0"/>
                <w:color w:val="auto"/>
                <w:spacing w:val="-6"/>
                <w:kern w:val="21"/>
                <w:sz w:val="20"/>
                <w:szCs w:val="20"/>
                <w:lang w:val="en-US"/>
              </w:rPr>
            </w:pPr>
            <w:r>
              <w:rPr>
                <w:rFonts w:hint="eastAsia"/>
                <w:color w:val="auto"/>
                <w:sz w:val="20"/>
                <w:szCs w:val="20"/>
                <w:lang w:val="en-US" w:eastAsia="zh-CN"/>
              </w:rPr>
              <w:t>0.0795</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adjustRightInd w:val="0"/>
              <w:snapToGrid w:val="0"/>
              <w:jc w:val="center"/>
              <w:rPr>
                <w:snapToGrid w:val="0"/>
                <w:color w:val="auto"/>
                <w:spacing w:val="-6"/>
                <w:kern w:val="21"/>
                <w:sz w:val="20"/>
                <w:szCs w:val="20"/>
              </w:rPr>
            </w:pPr>
            <w:r>
              <w:rPr>
                <w:rFonts w:hint="eastAsia"/>
                <w:color w:val="auto"/>
                <w:sz w:val="20"/>
                <w:szCs w:val="20"/>
                <w:lang w:val="en-US" w:eastAsia="zh-CN"/>
              </w:rPr>
              <w:t>0.0795</w:t>
            </w:r>
          </w:p>
        </w:tc>
        <w:tc>
          <w:tcPr>
            <w:tcW w:w="1361" w:type="dxa"/>
            <w:shd w:val="clear" w:color="auto" w:fill="auto"/>
            <w:vAlign w:val="center"/>
          </w:tcPr>
          <w:p>
            <w:pPr>
              <w:adjustRightInd w:val="0"/>
              <w:snapToGrid w:val="0"/>
              <w:jc w:val="center"/>
              <w:rPr>
                <w:rFonts w:hint="default" w:ascii="Times New Roman" w:hAnsi="Times New Roman" w:eastAsia="宋体" w:cs="Times New Roman"/>
                <w:snapToGrid w:val="0"/>
                <w:color w:val="auto"/>
                <w:spacing w:val="-6"/>
                <w:kern w:val="21"/>
                <w:sz w:val="20"/>
                <w:szCs w:val="20"/>
                <w:lang w:val="en-US" w:eastAsia="zh-CN" w:bidi="ar-SA"/>
              </w:rPr>
            </w:pPr>
            <w:r>
              <w:rPr>
                <w:rFonts w:hint="eastAsia"/>
                <w:color w:val="auto"/>
                <w:sz w:val="20"/>
                <w:szCs w:val="20"/>
                <w:lang w:val="en-US" w:eastAsia="zh-CN"/>
              </w:rPr>
              <w:t>+0.0795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restart"/>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废水</w:t>
            </w:r>
          </w:p>
        </w:tc>
        <w:tc>
          <w:tcPr>
            <w:tcW w:w="2330" w:type="dxa"/>
            <w:shd w:val="clear" w:color="auto" w:fill="auto"/>
            <w:vAlign w:val="center"/>
          </w:tcPr>
          <w:p>
            <w:pPr>
              <w:adjustRightInd w:val="0"/>
              <w:snapToGrid w:val="0"/>
              <w:jc w:val="center"/>
              <w:rPr>
                <w:rFonts w:hint="eastAsia" w:ascii="Times New Roman" w:hAnsi="Times New Roman" w:eastAsia="宋体" w:cs="Times New Roman"/>
                <w:color w:val="auto"/>
                <w:kern w:val="2"/>
                <w:sz w:val="20"/>
                <w:szCs w:val="20"/>
                <w:lang w:val="en-US" w:eastAsia="zh-Hans" w:bidi="ar-SA"/>
              </w:rPr>
            </w:pPr>
            <w:r>
              <w:rPr>
                <w:rFonts w:hint="eastAsia"/>
                <w:color w:val="auto"/>
                <w:sz w:val="20"/>
                <w:szCs w:val="20"/>
                <w:lang w:eastAsia="zh-Hans"/>
              </w:rPr>
              <w:t>废水总量</w:t>
            </w:r>
          </w:p>
        </w:tc>
        <w:tc>
          <w:tcPr>
            <w:tcW w:w="1656" w:type="dxa"/>
            <w:vAlign w:val="center"/>
          </w:tcPr>
          <w:p>
            <w:pPr>
              <w:widowControl/>
              <w:jc w:val="center"/>
              <w:rPr>
                <w:snapToGrid w:val="0"/>
                <w:color w:val="auto"/>
                <w:spacing w:val="-6"/>
                <w:kern w:val="21"/>
                <w:sz w:val="20"/>
                <w:szCs w:val="20"/>
              </w:rPr>
            </w:pPr>
            <w:r>
              <w:rPr>
                <w:rFonts w:ascii="Times New Roman"/>
                <w:color w:val="auto"/>
                <w:sz w:val="20"/>
              </w:rPr>
              <w:t>/</w:t>
            </w:r>
          </w:p>
        </w:tc>
        <w:tc>
          <w:tcPr>
            <w:tcW w:w="1437"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vAlign w:val="center"/>
          </w:tcPr>
          <w:p>
            <w:pPr>
              <w:widowControl/>
              <w:jc w:val="center"/>
              <w:rPr>
                <w:rFonts w:hint="default" w:eastAsia="宋体"/>
                <w:snapToGrid w:val="0"/>
                <w:color w:val="auto"/>
                <w:spacing w:val="-6"/>
                <w:kern w:val="21"/>
                <w:sz w:val="20"/>
                <w:szCs w:val="20"/>
                <w:lang w:val="en-US" w:eastAsia="zh-CN"/>
              </w:rPr>
            </w:pPr>
            <w:r>
              <w:rPr>
                <w:rFonts w:hint="eastAsia"/>
                <w:snapToGrid w:val="0"/>
                <w:color w:val="auto"/>
                <w:spacing w:val="-6"/>
                <w:kern w:val="21"/>
                <w:sz w:val="20"/>
                <w:szCs w:val="20"/>
                <w:lang w:val="en-US" w:eastAsia="zh-CN"/>
              </w:rPr>
              <w:t>6394（6394）</w:t>
            </w:r>
          </w:p>
        </w:tc>
        <w:tc>
          <w:tcPr>
            <w:tcW w:w="1546" w:type="dxa"/>
            <w:vAlign w:val="center"/>
          </w:tcPr>
          <w:p>
            <w:pPr>
              <w:jc w:val="center"/>
              <w:rPr>
                <w:snapToGrid w:val="0"/>
                <w:color w:val="auto"/>
                <w:spacing w:val="-6"/>
                <w:kern w:val="21"/>
                <w:sz w:val="20"/>
                <w:szCs w:val="20"/>
              </w:rPr>
            </w:pPr>
            <w:r>
              <w:rPr>
                <w:color w:val="auto"/>
                <w:kern w:val="0"/>
                <w:sz w:val="20"/>
                <w:szCs w:val="20"/>
              </w:rPr>
              <w:t>/</w:t>
            </w:r>
          </w:p>
        </w:tc>
        <w:tc>
          <w:tcPr>
            <w:tcW w:w="1734" w:type="dxa"/>
            <w:vAlign w:val="center"/>
          </w:tcPr>
          <w:p>
            <w:pPr>
              <w:widowControl/>
              <w:jc w:val="center"/>
              <w:rPr>
                <w:snapToGrid w:val="0"/>
                <w:color w:val="auto"/>
                <w:spacing w:val="-6"/>
                <w:kern w:val="21"/>
                <w:sz w:val="20"/>
                <w:szCs w:val="20"/>
              </w:rPr>
            </w:pPr>
            <w:r>
              <w:rPr>
                <w:rFonts w:hint="eastAsia"/>
                <w:snapToGrid w:val="0"/>
                <w:color w:val="auto"/>
                <w:spacing w:val="-6"/>
                <w:kern w:val="21"/>
                <w:sz w:val="20"/>
                <w:szCs w:val="20"/>
                <w:lang w:val="en-US" w:eastAsia="zh-CN"/>
              </w:rPr>
              <w:t>6394（6394）</w:t>
            </w:r>
          </w:p>
        </w:tc>
        <w:tc>
          <w:tcPr>
            <w:tcW w:w="1361" w:type="dxa"/>
            <w:shd w:val="clear" w:color="auto" w:fill="auto"/>
            <w:vAlign w:val="center"/>
          </w:tcPr>
          <w:p>
            <w:pPr>
              <w:widowControl/>
              <w:jc w:val="center"/>
              <w:rPr>
                <w:rFonts w:hint="default" w:ascii="Times New Roman" w:hAnsi="Times New Roman" w:eastAsia="宋体" w:cs="Times New Roman"/>
                <w:snapToGrid w:val="0"/>
                <w:color w:val="auto"/>
                <w:spacing w:val="-6"/>
                <w:kern w:val="21"/>
                <w:sz w:val="20"/>
                <w:szCs w:val="20"/>
                <w:lang w:val="en-US" w:eastAsia="zh-CN" w:bidi="ar-SA"/>
              </w:rPr>
            </w:pPr>
            <w:r>
              <w:rPr>
                <w:rFonts w:hint="eastAsia"/>
                <w:color w:val="auto"/>
                <w:sz w:val="20"/>
                <w:szCs w:val="20"/>
                <w:lang w:val="en-US" w:eastAsia="zh-CN"/>
              </w:rPr>
              <w:t>+</w:t>
            </w:r>
            <w:r>
              <w:rPr>
                <w:rFonts w:hint="eastAsia"/>
                <w:snapToGrid w:val="0"/>
                <w:color w:val="auto"/>
                <w:spacing w:val="-6"/>
                <w:kern w:val="21"/>
                <w:sz w:val="20"/>
                <w:szCs w:val="20"/>
                <w:lang w:val="en-US" w:eastAsia="zh-CN"/>
              </w:rPr>
              <w:t>6394（</w:t>
            </w:r>
            <w:r>
              <w:rPr>
                <w:rFonts w:hint="eastAsia"/>
                <w:color w:val="auto"/>
                <w:sz w:val="20"/>
                <w:szCs w:val="20"/>
                <w:lang w:val="en-US" w:eastAsia="zh-CN"/>
              </w:rPr>
              <w:t>+</w:t>
            </w:r>
            <w:r>
              <w:rPr>
                <w:rFonts w:hint="eastAsia"/>
                <w:snapToGrid w:val="0"/>
                <w:color w:val="auto"/>
                <w:spacing w:val="-6"/>
                <w:kern w:val="21"/>
                <w:sz w:val="20"/>
                <w:szCs w:val="20"/>
                <w:lang w:val="en-US" w:eastAsia="zh-CN"/>
              </w:rPr>
              <w:t>6394）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eastAsia="宋体"/>
                <w:color w:val="auto"/>
                <w:sz w:val="20"/>
                <w:szCs w:val="20"/>
                <w:lang w:val="en-US" w:eastAsia="zh-CN"/>
              </w:rPr>
              <w:t>COD</w:t>
            </w:r>
          </w:p>
        </w:tc>
        <w:tc>
          <w:tcPr>
            <w:tcW w:w="1656" w:type="dxa"/>
            <w:vAlign w:val="center"/>
          </w:tcPr>
          <w:p>
            <w:pPr>
              <w:widowControl/>
              <w:jc w:val="center"/>
              <w:rPr>
                <w:snapToGrid w:val="0"/>
                <w:color w:val="auto"/>
                <w:spacing w:val="-6"/>
                <w:kern w:val="21"/>
                <w:sz w:val="20"/>
                <w:szCs w:val="20"/>
              </w:rPr>
            </w:pPr>
            <w:r>
              <w:rPr>
                <w:rFonts w:ascii="Times New Roman"/>
                <w:color w:val="auto"/>
                <w:sz w:val="20"/>
              </w:rPr>
              <w:t>/</w:t>
            </w:r>
          </w:p>
        </w:tc>
        <w:tc>
          <w:tcPr>
            <w:tcW w:w="1437"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vAlign w:val="center"/>
          </w:tcPr>
          <w:p>
            <w:pPr>
              <w:pStyle w:val="180"/>
              <w:rPr>
                <w:rFonts w:hint="default" w:eastAsia="宋体"/>
                <w:snapToGrid w:val="0"/>
                <w:color w:val="auto"/>
                <w:spacing w:val="-6"/>
                <w:kern w:val="21"/>
                <w:sz w:val="20"/>
                <w:szCs w:val="20"/>
                <w:lang w:val="en-US" w:eastAsia="zh-CN"/>
              </w:rPr>
            </w:pPr>
            <w:r>
              <w:rPr>
                <w:rFonts w:hint="eastAsia"/>
                <w:snapToGrid w:val="0"/>
                <w:color w:val="auto"/>
                <w:spacing w:val="-6"/>
                <w:kern w:val="21"/>
                <w:sz w:val="20"/>
                <w:szCs w:val="20"/>
                <w:lang w:val="en-US" w:eastAsia="zh-CN"/>
              </w:rPr>
              <w:t>0.3741（0.3197）</w:t>
            </w:r>
          </w:p>
        </w:tc>
        <w:tc>
          <w:tcPr>
            <w:tcW w:w="1546" w:type="dxa"/>
            <w:vAlign w:val="center"/>
          </w:tcPr>
          <w:p>
            <w:pPr>
              <w:widowControl/>
              <w:jc w:val="center"/>
              <w:rPr>
                <w:snapToGrid w:val="0"/>
                <w:color w:val="auto"/>
                <w:spacing w:val="-6"/>
                <w:kern w:val="21"/>
                <w:sz w:val="20"/>
                <w:szCs w:val="20"/>
              </w:rPr>
            </w:pPr>
            <w:r>
              <w:rPr>
                <w:color w:val="auto"/>
                <w:kern w:val="0"/>
                <w:sz w:val="20"/>
                <w:szCs w:val="20"/>
              </w:rPr>
              <w:t>/</w:t>
            </w:r>
          </w:p>
        </w:tc>
        <w:tc>
          <w:tcPr>
            <w:tcW w:w="1734" w:type="dxa"/>
            <w:vAlign w:val="center"/>
          </w:tcPr>
          <w:p>
            <w:pPr>
              <w:pStyle w:val="180"/>
              <w:rPr>
                <w:snapToGrid w:val="0"/>
                <w:color w:val="auto"/>
                <w:spacing w:val="-6"/>
                <w:kern w:val="21"/>
                <w:sz w:val="20"/>
                <w:szCs w:val="20"/>
              </w:rPr>
            </w:pPr>
            <w:r>
              <w:rPr>
                <w:rFonts w:hint="eastAsia"/>
                <w:snapToGrid w:val="0"/>
                <w:color w:val="auto"/>
                <w:spacing w:val="-6"/>
                <w:kern w:val="21"/>
                <w:sz w:val="20"/>
                <w:szCs w:val="20"/>
                <w:lang w:val="en-US" w:eastAsia="zh-CN"/>
              </w:rPr>
              <w:t>0.3741（0.3197）</w:t>
            </w:r>
          </w:p>
        </w:tc>
        <w:tc>
          <w:tcPr>
            <w:tcW w:w="1361" w:type="dxa"/>
            <w:shd w:val="clear" w:color="auto" w:fill="auto"/>
            <w:vAlign w:val="center"/>
          </w:tcPr>
          <w:p>
            <w:pPr>
              <w:pStyle w:val="180"/>
              <w:rPr>
                <w:rFonts w:ascii="Times New Roman" w:hAnsi="Times New Roman" w:eastAsia="宋体" w:cs="Times New Roman"/>
                <w:color w:val="auto"/>
                <w:kern w:val="0"/>
                <w:sz w:val="20"/>
                <w:szCs w:val="20"/>
                <w:lang w:val="en-US" w:eastAsia="zh-CN" w:bidi="ar-SA"/>
              </w:rPr>
            </w:pPr>
            <w:r>
              <w:rPr>
                <w:rFonts w:hint="eastAsia"/>
                <w:color w:val="auto"/>
                <w:sz w:val="20"/>
                <w:szCs w:val="20"/>
                <w:lang w:val="en-US" w:eastAsia="zh-CN"/>
              </w:rPr>
              <w:t>+</w:t>
            </w:r>
            <w:r>
              <w:rPr>
                <w:rFonts w:hint="eastAsia"/>
                <w:snapToGrid w:val="0"/>
                <w:color w:val="auto"/>
                <w:spacing w:val="-6"/>
                <w:kern w:val="21"/>
                <w:sz w:val="20"/>
                <w:szCs w:val="20"/>
                <w:lang w:val="en-US" w:eastAsia="zh-CN"/>
              </w:rPr>
              <w:t>0.3741（</w:t>
            </w:r>
            <w:r>
              <w:rPr>
                <w:rFonts w:hint="eastAsia"/>
                <w:color w:val="auto"/>
                <w:sz w:val="20"/>
                <w:szCs w:val="20"/>
                <w:lang w:val="en-US" w:eastAsia="zh-CN"/>
              </w:rPr>
              <w:t>+</w:t>
            </w:r>
            <w:r>
              <w:rPr>
                <w:rFonts w:hint="eastAsia"/>
                <w:snapToGrid w:val="0"/>
                <w:color w:val="auto"/>
                <w:spacing w:val="-6"/>
                <w:kern w:val="21"/>
                <w:sz w:val="20"/>
                <w:szCs w:val="20"/>
                <w:lang w:val="en-US" w:eastAsia="zh-CN"/>
              </w:rPr>
              <w:t>0.3197）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adjustRightInd w:val="0"/>
              <w:snapToGrid w:val="0"/>
              <w:jc w:val="center"/>
              <w:rPr>
                <w:rFonts w:hint="default" w:ascii="Times New Roman" w:hAnsi="Times New Roman" w:eastAsia="宋体" w:cs="Times New Roman"/>
                <w:color w:val="auto"/>
                <w:kern w:val="2"/>
                <w:sz w:val="20"/>
                <w:szCs w:val="20"/>
                <w:lang w:val="en-US" w:eastAsia="zh-CN" w:bidi="ar-SA"/>
              </w:rPr>
            </w:pPr>
            <w:r>
              <w:rPr>
                <w:rFonts w:hint="eastAsia" w:eastAsia="宋体"/>
                <w:color w:val="auto"/>
                <w:sz w:val="20"/>
                <w:szCs w:val="20"/>
                <w:lang w:val="en-US" w:eastAsia="zh-CN"/>
              </w:rPr>
              <w:t>SS</w:t>
            </w:r>
          </w:p>
        </w:tc>
        <w:tc>
          <w:tcPr>
            <w:tcW w:w="1656" w:type="dxa"/>
            <w:vAlign w:val="center"/>
          </w:tcPr>
          <w:p>
            <w:pPr>
              <w:widowControl/>
              <w:jc w:val="center"/>
              <w:rPr>
                <w:color w:val="auto"/>
                <w:sz w:val="20"/>
                <w:szCs w:val="20"/>
              </w:rPr>
            </w:pPr>
            <w:r>
              <w:rPr>
                <w:rFonts w:ascii="Times New Roman"/>
                <w:color w:val="auto"/>
                <w:sz w:val="20"/>
              </w:rPr>
              <w:t>/</w:t>
            </w:r>
          </w:p>
        </w:tc>
        <w:tc>
          <w:tcPr>
            <w:tcW w:w="1437" w:type="dxa"/>
            <w:vAlign w:val="center"/>
          </w:tcPr>
          <w:p>
            <w:pPr>
              <w:spacing w:beforeLines="0" w:afterLines="0" w:line="240" w:lineRule="auto"/>
              <w:jc w:val="center"/>
              <w:rPr>
                <w:rFonts w:ascii="Times New Roman"/>
                <w:color w:val="auto"/>
                <w:sz w:val="20"/>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vAlign w:val="center"/>
          </w:tcPr>
          <w:p>
            <w:pPr>
              <w:pStyle w:val="180"/>
              <w:rPr>
                <w:rFonts w:hint="default" w:eastAsia="宋体"/>
                <w:color w:val="auto"/>
                <w:sz w:val="20"/>
                <w:szCs w:val="20"/>
                <w:lang w:val="en-US" w:eastAsia="zh-CN"/>
              </w:rPr>
            </w:pPr>
            <w:r>
              <w:rPr>
                <w:rFonts w:hint="eastAsia"/>
                <w:color w:val="auto"/>
                <w:sz w:val="20"/>
                <w:szCs w:val="20"/>
                <w:lang w:val="en-US" w:eastAsia="zh-CN"/>
              </w:rPr>
              <w:t>0.2146（0.0639）</w:t>
            </w:r>
          </w:p>
        </w:tc>
        <w:tc>
          <w:tcPr>
            <w:tcW w:w="1546" w:type="dxa"/>
            <w:vAlign w:val="center"/>
          </w:tcPr>
          <w:p>
            <w:pPr>
              <w:widowControl/>
              <w:jc w:val="center"/>
              <w:rPr>
                <w:color w:val="auto"/>
                <w:kern w:val="0"/>
                <w:sz w:val="20"/>
                <w:szCs w:val="20"/>
              </w:rPr>
            </w:pPr>
            <w:r>
              <w:rPr>
                <w:color w:val="auto"/>
                <w:kern w:val="0"/>
                <w:sz w:val="20"/>
                <w:szCs w:val="20"/>
              </w:rPr>
              <w:t>/</w:t>
            </w:r>
          </w:p>
        </w:tc>
        <w:tc>
          <w:tcPr>
            <w:tcW w:w="1734" w:type="dxa"/>
            <w:vAlign w:val="center"/>
          </w:tcPr>
          <w:p>
            <w:pPr>
              <w:pStyle w:val="180"/>
              <w:rPr>
                <w:color w:val="auto"/>
                <w:kern w:val="0"/>
                <w:sz w:val="20"/>
                <w:szCs w:val="20"/>
              </w:rPr>
            </w:pPr>
            <w:r>
              <w:rPr>
                <w:rFonts w:hint="eastAsia"/>
                <w:color w:val="auto"/>
                <w:sz w:val="20"/>
                <w:szCs w:val="20"/>
                <w:lang w:val="en-US" w:eastAsia="zh-CN"/>
              </w:rPr>
              <w:t>0.2146（0.0639）</w:t>
            </w:r>
          </w:p>
        </w:tc>
        <w:tc>
          <w:tcPr>
            <w:tcW w:w="1361" w:type="dxa"/>
            <w:vAlign w:val="center"/>
          </w:tcPr>
          <w:p>
            <w:pPr>
              <w:pStyle w:val="180"/>
              <w:rPr>
                <w:color w:val="auto"/>
                <w:sz w:val="20"/>
                <w:szCs w:val="20"/>
              </w:rPr>
            </w:pPr>
            <w:r>
              <w:rPr>
                <w:rFonts w:hint="eastAsia"/>
                <w:color w:val="auto"/>
                <w:sz w:val="20"/>
                <w:szCs w:val="20"/>
                <w:lang w:val="en-US" w:eastAsia="zh-CN"/>
              </w:rPr>
              <w:t>+0.2146（+0.0639）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eastAsia="宋体"/>
                <w:color w:val="auto"/>
                <w:sz w:val="20"/>
                <w:szCs w:val="20"/>
                <w:lang w:val="en-US" w:eastAsia="zh-CN"/>
              </w:rPr>
              <w:t>氨氮</w:t>
            </w:r>
          </w:p>
        </w:tc>
        <w:tc>
          <w:tcPr>
            <w:tcW w:w="1656" w:type="dxa"/>
            <w:vAlign w:val="center"/>
          </w:tcPr>
          <w:p>
            <w:pPr>
              <w:widowControl/>
              <w:jc w:val="center"/>
              <w:rPr>
                <w:snapToGrid w:val="0"/>
                <w:color w:val="auto"/>
                <w:spacing w:val="-6"/>
                <w:kern w:val="21"/>
                <w:sz w:val="20"/>
                <w:szCs w:val="20"/>
              </w:rPr>
            </w:pPr>
            <w:r>
              <w:rPr>
                <w:rFonts w:ascii="Times New Roman"/>
                <w:color w:val="auto"/>
                <w:sz w:val="20"/>
              </w:rPr>
              <w:t>/</w:t>
            </w:r>
          </w:p>
        </w:tc>
        <w:tc>
          <w:tcPr>
            <w:tcW w:w="1437"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vAlign w:val="center"/>
          </w:tcPr>
          <w:p>
            <w:pPr>
              <w:widowControl/>
              <w:jc w:val="center"/>
              <w:rPr>
                <w:rFonts w:hint="eastAsia"/>
                <w:snapToGrid w:val="0"/>
                <w:color w:val="auto"/>
                <w:spacing w:val="-6"/>
                <w:kern w:val="21"/>
                <w:sz w:val="20"/>
                <w:szCs w:val="20"/>
                <w:lang w:val="en-US" w:eastAsia="zh-CN"/>
              </w:rPr>
            </w:pPr>
            <w:r>
              <w:rPr>
                <w:rFonts w:hint="eastAsia"/>
                <w:snapToGrid w:val="0"/>
                <w:color w:val="auto"/>
                <w:spacing w:val="-6"/>
                <w:kern w:val="21"/>
                <w:sz w:val="20"/>
                <w:szCs w:val="20"/>
                <w:lang w:val="en-US" w:eastAsia="zh-CN"/>
              </w:rPr>
              <w:t>0.0176</w:t>
            </w:r>
          </w:p>
          <w:p>
            <w:pPr>
              <w:widowControl/>
              <w:jc w:val="center"/>
              <w:rPr>
                <w:rFonts w:hint="default" w:eastAsia="宋体"/>
                <w:snapToGrid w:val="0"/>
                <w:color w:val="auto"/>
                <w:spacing w:val="-6"/>
                <w:kern w:val="21"/>
                <w:sz w:val="20"/>
                <w:szCs w:val="20"/>
                <w:lang w:val="en-US" w:eastAsia="zh-CN"/>
              </w:rPr>
            </w:pPr>
            <w:r>
              <w:rPr>
                <w:rFonts w:hint="eastAsia"/>
                <w:snapToGrid w:val="0"/>
                <w:color w:val="auto"/>
                <w:spacing w:val="-6"/>
                <w:kern w:val="21"/>
                <w:sz w:val="20"/>
                <w:szCs w:val="20"/>
                <w:lang w:val="en-US" w:eastAsia="zh-CN"/>
              </w:rPr>
              <w:t>（0.033）</w:t>
            </w:r>
          </w:p>
        </w:tc>
        <w:tc>
          <w:tcPr>
            <w:tcW w:w="1546" w:type="dxa"/>
            <w:vAlign w:val="center"/>
          </w:tcPr>
          <w:p>
            <w:pPr>
              <w:widowControl/>
              <w:jc w:val="center"/>
              <w:rPr>
                <w:snapToGrid w:val="0"/>
                <w:color w:val="auto"/>
                <w:spacing w:val="-6"/>
                <w:kern w:val="21"/>
                <w:sz w:val="20"/>
                <w:szCs w:val="20"/>
              </w:rPr>
            </w:pPr>
            <w:r>
              <w:rPr>
                <w:color w:val="auto"/>
                <w:kern w:val="0"/>
                <w:sz w:val="20"/>
                <w:szCs w:val="20"/>
              </w:rPr>
              <w:t>/</w:t>
            </w:r>
          </w:p>
        </w:tc>
        <w:tc>
          <w:tcPr>
            <w:tcW w:w="1734" w:type="dxa"/>
            <w:vAlign w:val="center"/>
          </w:tcPr>
          <w:p>
            <w:pPr>
              <w:widowControl/>
              <w:jc w:val="center"/>
              <w:rPr>
                <w:rFonts w:hint="eastAsia"/>
                <w:snapToGrid w:val="0"/>
                <w:color w:val="auto"/>
                <w:spacing w:val="-6"/>
                <w:kern w:val="21"/>
                <w:sz w:val="20"/>
                <w:szCs w:val="20"/>
                <w:lang w:val="en-US" w:eastAsia="zh-CN"/>
              </w:rPr>
            </w:pPr>
            <w:r>
              <w:rPr>
                <w:rFonts w:hint="eastAsia"/>
                <w:snapToGrid w:val="0"/>
                <w:color w:val="auto"/>
                <w:spacing w:val="-6"/>
                <w:kern w:val="21"/>
                <w:sz w:val="20"/>
                <w:szCs w:val="20"/>
                <w:lang w:val="en-US" w:eastAsia="zh-CN"/>
              </w:rPr>
              <w:t>0.0176</w:t>
            </w:r>
          </w:p>
          <w:p>
            <w:pPr>
              <w:widowControl/>
              <w:jc w:val="center"/>
              <w:rPr>
                <w:snapToGrid w:val="0"/>
                <w:color w:val="auto"/>
                <w:spacing w:val="-6"/>
                <w:kern w:val="21"/>
                <w:sz w:val="20"/>
                <w:szCs w:val="20"/>
              </w:rPr>
            </w:pPr>
            <w:r>
              <w:rPr>
                <w:rFonts w:hint="eastAsia"/>
                <w:snapToGrid w:val="0"/>
                <w:color w:val="auto"/>
                <w:spacing w:val="-6"/>
                <w:kern w:val="21"/>
                <w:sz w:val="20"/>
                <w:szCs w:val="20"/>
                <w:lang w:val="en-US" w:eastAsia="zh-CN"/>
              </w:rPr>
              <w:t>（0.033）</w:t>
            </w:r>
          </w:p>
        </w:tc>
        <w:tc>
          <w:tcPr>
            <w:tcW w:w="1361" w:type="dxa"/>
            <w:vAlign w:val="center"/>
          </w:tcPr>
          <w:p>
            <w:pPr>
              <w:widowControl/>
              <w:jc w:val="center"/>
              <w:rPr>
                <w:rFonts w:hint="eastAsia"/>
                <w:snapToGrid w:val="0"/>
                <w:color w:val="auto"/>
                <w:spacing w:val="-6"/>
                <w:kern w:val="21"/>
                <w:sz w:val="20"/>
                <w:szCs w:val="20"/>
                <w:lang w:val="en-US" w:eastAsia="zh-CN"/>
              </w:rPr>
            </w:pPr>
            <w:r>
              <w:rPr>
                <w:rFonts w:hint="eastAsia"/>
                <w:color w:val="auto"/>
                <w:sz w:val="20"/>
                <w:szCs w:val="20"/>
                <w:lang w:val="en-US" w:eastAsia="zh-CN"/>
              </w:rPr>
              <w:t>+</w:t>
            </w:r>
            <w:r>
              <w:rPr>
                <w:rFonts w:hint="eastAsia"/>
                <w:snapToGrid w:val="0"/>
                <w:color w:val="auto"/>
                <w:spacing w:val="-6"/>
                <w:kern w:val="21"/>
                <w:sz w:val="20"/>
                <w:szCs w:val="20"/>
                <w:lang w:val="en-US" w:eastAsia="zh-CN"/>
              </w:rPr>
              <w:t>0.0176</w:t>
            </w:r>
          </w:p>
          <w:p>
            <w:pPr>
              <w:widowControl/>
              <w:jc w:val="center"/>
              <w:rPr>
                <w:snapToGrid w:val="0"/>
                <w:color w:val="auto"/>
                <w:spacing w:val="-6"/>
                <w:kern w:val="21"/>
                <w:sz w:val="20"/>
                <w:szCs w:val="20"/>
              </w:rPr>
            </w:pPr>
            <w:r>
              <w:rPr>
                <w:rFonts w:hint="eastAsia"/>
                <w:snapToGrid w:val="0"/>
                <w:color w:val="auto"/>
                <w:spacing w:val="-6"/>
                <w:kern w:val="21"/>
                <w:sz w:val="20"/>
                <w:szCs w:val="20"/>
                <w:lang w:val="en-US" w:eastAsia="zh-CN"/>
              </w:rPr>
              <w:t>（</w:t>
            </w:r>
            <w:r>
              <w:rPr>
                <w:rFonts w:hint="eastAsia"/>
                <w:color w:val="auto"/>
                <w:sz w:val="20"/>
                <w:szCs w:val="20"/>
                <w:lang w:val="en-US" w:eastAsia="zh-CN"/>
              </w:rPr>
              <w:t>+</w:t>
            </w:r>
            <w:r>
              <w:rPr>
                <w:rFonts w:hint="eastAsia"/>
                <w:snapToGrid w:val="0"/>
                <w:color w:val="auto"/>
                <w:spacing w:val="-6"/>
                <w:kern w:val="21"/>
                <w:sz w:val="20"/>
                <w:szCs w:val="20"/>
                <w:lang w:val="en-US" w:eastAsia="zh-CN"/>
              </w:rPr>
              <w:t>0.033）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eastAsia="宋体"/>
                <w:color w:val="auto"/>
                <w:sz w:val="20"/>
                <w:szCs w:val="20"/>
                <w:lang w:val="en-US" w:eastAsia="zh-CN"/>
              </w:rPr>
              <w:t>总氮</w:t>
            </w:r>
          </w:p>
        </w:tc>
        <w:tc>
          <w:tcPr>
            <w:tcW w:w="1656" w:type="dxa"/>
            <w:vAlign w:val="center"/>
          </w:tcPr>
          <w:p>
            <w:pPr>
              <w:widowControl/>
              <w:jc w:val="center"/>
              <w:rPr>
                <w:color w:val="auto"/>
                <w:sz w:val="20"/>
                <w:szCs w:val="20"/>
              </w:rPr>
            </w:pPr>
            <w:r>
              <w:rPr>
                <w:rFonts w:ascii="Times New Roman"/>
                <w:color w:val="auto"/>
                <w:sz w:val="20"/>
              </w:rPr>
              <w:t>/</w:t>
            </w:r>
          </w:p>
        </w:tc>
        <w:tc>
          <w:tcPr>
            <w:tcW w:w="1437" w:type="dxa"/>
            <w:vAlign w:val="center"/>
          </w:tcPr>
          <w:p>
            <w:pPr>
              <w:spacing w:beforeLines="0" w:afterLines="0" w:line="240" w:lineRule="auto"/>
              <w:jc w:val="center"/>
              <w:rPr>
                <w:rFonts w:ascii="Times New Roman"/>
                <w:color w:val="auto"/>
                <w:sz w:val="20"/>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vAlign w:val="center"/>
          </w:tcPr>
          <w:p>
            <w:pPr>
              <w:widowControl/>
              <w:jc w:val="center"/>
              <w:rPr>
                <w:rFonts w:hint="default" w:eastAsia="宋体"/>
                <w:snapToGrid w:val="0"/>
                <w:color w:val="auto"/>
                <w:spacing w:val="-6"/>
                <w:kern w:val="21"/>
                <w:sz w:val="20"/>
                <w:szCs w:val="20"/>
                <w:lang w:val="en-US" w:eastAsia="zh-CN"/>
              </w:rPr>
            </w:pPr>
            <w:r>
              <w:rPr>
                <w:rFonts w:hint="eastAsia"/>
                <w:snapToGrid w:val="0"/>
                <w:color w:val="auto"/>
                <w:spacing w:val="-6"/>
                <w:kern w:val="21"/>
                <w:sz w:val="20"/>
                <w:szCs w:val="20"/>
                <w:lang w:val="en-US" w:eastAsia="zh-CN"/>
              </w:rPr>
              <w:t>0.0269（0.0879）</w:t>
            </w:r>
          </w:p>
        </w:tc>
        <w:tc>
          <w:tcPr>
            <w:tcW w:w="1546" w:type="dxa"/>
            <w:vAlign w:val="center"/>
          </w:tcPr>
          <w:p>
            <w:pPr>
              <w:widowControl/>
              <w:jc w:val="center"/>
              <w:rPr>
                <w:snapToGrid w:val="0"/>
                <w:color w:val="auto"/>
                <w:spacing w:val="-6"/>
                <w:kern w:val="21"/>
                <w:sz w:val="20"/>
                <w:szCs w:val="20"/>
              </w:rPr>
            </w:pPr>
            <w:r>
              <w:rPr>
                <w:color w:val="auto"/>
                <w:kern w:val="0"/>
                <w:sz w:val="20"/>
                <w:szCs w:val="20"/>
              </w:rPr>
              <w:t>/</w:t>
            </w:r>
          </w:p>
        </w:tc>
        <w:tc>
          <w:tcPr>
            <w:tcW w:w="1734" w:type="dxa"/>
            <w:vAlign w:val="center"/>
          </w:tcPr>
          <w:p>
            <w:pPr>
              <w:widowControl/>
              <w:jc w:val="center"/>
              <w:rPr>
                <w:snapToGrid w:val="0"/>
                <w:color w:val="auto"/>
                <w:spacing w:val="-6"/>
                <w:kern w:val="21"/>
                <w:sz w:val="20"/>
                <w:szCs w:val="20"/>
              </w:rPr>
            </w:pPr>
            <w:r>
              <w:rPr>
                <w:rFonts w:hint="eastAsia"/>
                <w:snapToGrid w:val="0"/>
                <w:color w:val="auto"/>
                <w:spacing w:val="-6"/>
                <w:kern w:val="21"/>
                <w:sz w:val="20"/>
                <w:szCs w:val="20"/>
                <w:lang w:val="en-US" w:eastAsia="zh-CN"/>
              </w:rPr>
              <w:t>0.0269（0.0879）</w:t>
            </w:r>
          </w:p>
        </w:tc>
        <w:tc>
          <w:tcPr>
            <w:tcW w:w="1361" w:type="dxa"/>
            <w:vAlign w:val="center"/>
          </w:tcPr>
          <w:p>
            <w:pPr>
              <w:widowControl/>
              <w:jc w:val="center"/>
              <w:rPr>
                <w:snapToGrid w:val="0"/>
                <w:color w:val="auto"/>
                <w:spacing w:val="-6"/>
                <w:kern w:val="21"/>
                <w:sz w:val="20"/>
                <w:szCs w:val="20"/>
              </w:rPr>
            </w:pPr>
            <w:r>
              <w:rPr>
                <w:rFonts w:hint="eastAsia"/>
                <w:color w:val="auto"/>
                <w:sz w:val="20"/>
                <w:szCs w:val="20"/>
                <w:lang w:val="en-US" w:eastAsia="zh-CN"/>
              </w:rPr>
              <w:t>+</w:t>
            </w:r>
            <w:r>
              <w:rPr>
                <w:rFonts w:hint="eastAsia"/>
                <w:snapToGrid w:val="0"/>
                <w:color w:val="auto"/>
                <w:spacing w:val="-6"/>
                <w:kern w:val="21"/>
                <w:sz w:val="20"/>
                <w:szCs w:val="20"/>
                <w:lang w:val="en-US" w:eastAsia="zh-CN"/>
              </w:rPr>
              <w:t>0.0269（</w:t>
            </w:r>
            <w:r>
              <w:rPr>
                <w:rFonts w:hint="eastAsia"/>
                <w:color w:val="auto"/>
                <w:sz w:val="20"/>
                <w:szCs w:val="20"/>
                <w:lang w:val="en-US" w:eastAsia="zh-CN"/>
              </w:rPr>
              <w:t>+</w:t>
            </w:r>
            <w:r>
              <w:rPr>
                <w:rFonts w:hint="eastAsia"/>
                <w:snapToGrid w:val="0"/>
                <w:color w:val="auto"/>
                <w:spacing w:val="-6"/>
                <w:kern w:val="21"/>
                <w:sz w:val="20"/>
                <w:szCs w:val="20"/>
                <w:lang w:val="en-US" w:eastAsia="zh-CN"/>
              </w:rPr>
              <w:t>0.0879）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adjustRightInd w:val="0"/>
              <w:snapToGrid w:val="0"/>
              <w:jc w:val="center"/>
              <w:rPr>
                <w:rFonts w:hint="eastAsia" w:ascii="Times New Roman" w:hAnsi="Times New Roman" w:eastAsia="宋体" w:cs="Times New Roman"/>
                <w:color w:val="auto"/>
                <w:kern w:val="2"/>
                <w:sz w:val="20"/>
                <w:szCs w:val="20"/>
                <w:lang w:val="en-US" w:eastAsia="zh-CN" w:bidi="ar-SA"/>
              </w:rPr>
            </w:pPr>
            <w:r>
              <w:rPr>
                <w:rFonts w:hint="eastAsia" w:eastAsia="宋体"/>
                <w:color w:val="auto"/>
                <w:sz w:val="20"/>
                <w:szCs w:val="20"/>
                <w:lang w:val="en-US" w:eastAsia="zh-CN"/>
              </w:rPr>
              <w:t>总磷</w:t>
            </w:r>
          </w:p>
        </w:tc>
        <w:tc>
          <w:tcPr>
            <w:tcW w:w="1656" w:type="dxa"/>
            <w:vAlign w:val="center"/>
          </w:tcPr>
          <w:p>
            <w:pPr>
              <w:widowControl/>
              <w:jc w:val="center"/>
              <w:rPr>
                <w:color w:val="auto"/>
                <w:sz w:val="20"/>
                <w:szCs w:val="20"/>
              </w:rPr>
            </w:pPr>
            <w:r>
              <w:rPr>
                <w:rFonts w:ascii="Times New Roman"/>
                <w:color w:val="auto"/>
                <w:sz w:val="20"/>
              </w:rPr>
              <w:t>/</w:t>
            </w:r>
          </w:p>
        </w:tc>
        <w:tc>
          <w:tcPr>
            <w:tcW w:w="1437" w:type="dxa"/>
            <w:vAlign w:val="center"/>
          </w:tcPr>
          <w:p>
            <w:pPr>
              <w:spacing w:beforeLines="0" w:afterLines="0" w:line="240" w:lineRule="auto"/>
              <w:jc w:val="center"/>
              <w:rPr>
                <w:rFonts w:ascii="Times New Roman"/>
                <w:color w:val="auto"/>
                <w:sz w:val="20"/>
              </w:rPr>
            </w:pPr>
            <w:r>
              <w:rPr>
                <w:rFonts w:ascii="Times New Roman"/>
                <w:color w:val="auto"/>
                <w:sz w:val="20"/>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vAlign w:val="center"/>
          </w:tcPr>
          <w:p>
            <w:pPr>
              <w:widowControl/>
              <w:jc w:val="center"/>
              <w:rPr>
                <w:rFonts w:hint="default" w:eastAsia="宋体"/>
                <w:snapToGrid w:val="0"/>
                <w:color w:val="auto"/>
                <w:spacing w:val="-6"/>
                <w:kern w:val="21"/>
                <w:sz w:val="20"/>
                <w:szCs w:val="20"/>
                <w:lang w:val="en-US" w:eastAsia="zh-CN"/>
              </w:rPr>
            </w:pPr>
            <w:r>
              <w:rPr>
                <w:rFonts w:hint="eastAsia"/>
                <w:snapToGrid w:val="0"/>
                <w:color w:val="auto"/>
                <w:spacing w:val="-6"/>
                <w:kern w:val="21"/>
                <w:sz w:val="20"/>
                <w:szCs w:val="20"/>
                <w:lang w:val="en-US" w:eastAsia="zh-CN"/>
              </w:rPr>
              <w:t>0.0026（0.0032）</w:t>
            </w:r>
          </w:p>
        </w:tc>
        <w:tc>
          <w:tcPr>
            <w:tcW w:w="1546" w:type="dxa"/>
            <w:vAlign w:val="center"/>
          </w:tcPr>
          <w:p>
            <w:pPr>
              <w:widowControl/>
              <w:jc w:val="center"/>
              <w:rPr>
                <w:snapToGrid w:val="0"/>
                <w:color w:val="auto"/>
                <w:spacing w:val="-6"/>
                <w:kern w:val="21"/>
                <w:sz w:val="20"/>
                <w:szCs w:val="20"/>
              </w:rPr>
            </w:pPr>
            <w:r>
              <w:rPr>
                <w:color w:val="auto"/>
                <w:kern w:val="0"/>
                <w:sz w:val="20"/>
                <w:szCs w:val="20"/>
              </w:rPr>
              <w:t>/</w:t>
            </w:r>
          </w:p>
        </w:tc>
        <w:tc>
          <w:tcPr>
            <w:tcW w:w="1734" w:type="dxa"/>
            <w:vAlign w:val="center"/>
          </w:tcPr>
          <w:p>
            <w:pPr>
              <w:widowControl/>
              <w:jc w:val="center"/>
              <w:rPr>
                <w:snapToGrid w:val="0"/>
                <w:color w:val="auto"/>
                <w:spacing w:val="-6"/>
                <w:kern w:val="21"/>
                <w:sz w:val="20"/>
                <w:szCs w:val="20"/>
              </w:rPr>
            </w:pPr>
            <w:r>
              <w:rPr>
                <w:rFonts w:hint="eastAsia"/>
                <w:snapToGrid w:val="0"/>
                <w:color w:val="auto"/>
                <w:spacing w:val="-6"/>
                <w:kern w:val="21"/>
                <w:sz w:val="20"/>
                <w:szCs w:val="20"/>
                <w:lang w:val="en-US" w:eastAsia="zh-CN"/>
              </w:rPr>
              <w:t>0.0026（0.0032）</w:t>
            </w:r>
          </w:p>
        </w:tc>
        <w:tc>
          <w:tcPr>
            <w:tcW w:w="1361" w:type="dxa"/>
            <w:vAlign w:val="center"/>
          </w:tcPr>
          <w:p>
            <w:pPr>
              <w:widowControl/>
              <w:jc w:val="center"/>
              <w:rPr>
                <w:snapToGrid w:val="0"/>
                <w:color w:val="auto"/>
                <w:spacing w:val="-6"/>
                <w:kern w:val="21"/>
                <w:sz w:val="20"/>
                <w:szCs w:val="20"/>
              </w:rPr>
            </w:pPr>
            <w:r>
              <w:rPr>
                <w:rFonts w:hint="eastAsia"/>
                <w:color w:val="auto"/>
                <w:sz w:val="20"/>
                <w:szCs w:val="20"/>
                <w:lang w:val="en-US" w:eastAsia="zh-CN"/>
              </w:rPr>
              <w:t>+</w:t>
            </w:r>
            <w:r>
              <w:rPr>
                <w:rFonts w:hint="eastAsia"/>
                <w:snapToGrid w:val="0"/>
                <w:color w:val="auto"/>
                <w:spacing w:val="-6"/>
                <w:kern w:val="21"/>
                <w:sz w:val="20"/>
                <w:szCs w:val="20"/>
                <w:lang w:val="en-US" w:eastAsia="zh-CN"/>
              </w:rPr>
              <w:t>0.0026（</w:t>
            </w:r>
            <w:r>
              <w:rPr>
                <w:rFonts w:hint="eastAsia"/>
                <w:color w:val="auto"/>
                <w:sz w:val="20"/>
                <w:szCs w:val="20"/>
                <w:lang w:val="en-US" w:eastAsia="zh-CN"/>
              </w:rPr>
              <w:t>+</w:t>
            </w:r>
            <w:r>
              <w:rPr>
                <w:rFonts w:hint="eastAsia"/>
                <w:snapToGrid w:val="0"/>
                <w:color w:val="auto"/>
                <w:spacing w:val="-6"/>
                <w:kern w:val="21"/>
                <w:sz w:val="20"/>
                <w:szCs w:val="20"/>
                <w:lang w:val="en-US" w:eastAsia="zh-CN"/>
              </w:rPr>
              <w:t>0.0032）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restart"/>
            <w:vAlign w:val="center"/>
          </w:tcPr>
          <w:p>
            <w:pPr>
              <w:pStyle w:val="167"/>
              <w:spacing w:beforeLines="0" w:afterLines="0" w:line="240" w:lineRule="auto"/>
              <w:rPr>
                <w:rFonts w:ascii="Times New Roman"/>
                <w:snapToGrid w:val="0"/>
                <w:color w:val="auto"/>
                <w:kern w:val="21"/>
                <w:sz w:val="20"/>
                <w:lang w:val="en-US"/>
              </w:rPr>
            </w:pPr>
            <w:r>
              <w:rPr>
                <w:rFonts w:ascii="Times New Roman"/>
                <w:snapToGrid w:val="0"/>
                <w:color w:val="auto"/>
                <w:spacing w:val="-6"/>
                <w:kern w:val="21"/>
                <w:sz w:val="20"/>
                <w:lang w:val="en-US"/>
              </w:rPr>
              <w:t>一般工业固体废物</w:t>
            </w:r>
          </w:p>
        </w:tc>
        <w:tc>
          <w:tcPr>
            <w:tcW w:w="2330" w:type="dxa"/>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废布料</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3.2</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3.2</w:t>
            </w:r>
          </w:p>
        </w:tc>
        <w:tc>
          <w:tcPr>
            <w:tcW w:w="1361"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eastAsiaTheme="minorEastAsia"/>
                <w:b w:val="0"/>
                <w:bCs w:val="0"/>
                <w:color w:val="auto"/>
                <w:sz w:val="20"/>
                <w:szCs w:val="20"/>
                <w:lang w:val="en-US" w:eastAsia="zh-CN"/>
              </w:rPr>
              <w:t>3.2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spacing w:val="-6"/>
                <w:kern w:val="21"/>
                <w:sz w:val="20"/>
                <w:lang w:val="en-US"/>
              </w:rPr>
            </w:pPr>
          </w:p>
        </w:tc>
        <w:tc>
          <w:tcPr>
            <w:tcW w:w="2330" w:type="dxa"/>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ascii="Times New Roman" w:hAnsi="Times New Roman" w:cs="Times New Roman"/>
                <w:b w:val="0"/>
                <w:color w:val="auto"/>
                <w:sz w:val="20"/>
                <w:szCs w:val="20"/>
              </w:rPr>
              <w:t>不合格品</w:t>
            </w:r>
          </w:p>
        </w:tc>
        <w:tc>
          <w:tcPr>
            <w:tcW w:w="1656" w:type="dxa"/>
            <w:vAlign w:val="center"/>
          </w:tcPr>
          <w:p>
            <w:pPr>
              <w:spacing w:beforeLines="0" w:afterLines="0" w:line="240" w:lineRule="auto"/>
              <w:jc w:val="center"/>
              <w:rPr>
                <w:rFonts w:ascii="Times New Roman"/>
                <w:color w:val="auto"/>
                <w:sz w:val="20"/>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3.08</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3.08</w:t>
            </w:r>
          </w:p>
        </w:tc>
        <w:tc>
          <w:tcPr>
            <w:tcW w:w="1361"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eastAsiaTheme="minorEastAsia"/>
                <w:b w:val="0"/>
                <w:bCs w:val="0"/>
                <w:color w:val="auto"/>
                <w:sz w:val="20"/>
                <w:szCs w:val="20"/>
                <w:lang w:val="en-US" w:eastAsia="zh-CN"/>
              </w:rPr>
              <w:t>3.08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pStyle w:val="33"/>
              <w:adjustRightInd w:val="0"/>
              <w:snapToGrid w:val="0"/>
              <w:rPr>
                <w:rFonts w:hint="eastAsia"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废炉渣</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140</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rPr>
              <w:t>/</w:t>
            </w:r>
          </w:p>
        </w:tc>
        <w:tc>
          <w:tcPr>
            <w:tcW w:w="1734"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140</w:t>
            </w:r>
          </w:p>
        </w:tc>
        <w:tc>
          <w:tcPr>
            <w:tcW w:w="1361"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eastAsiaTheme="minorEastAsia"/>
                <w:b w:val="0"/>
                <w:bCs w:val="0"/>
                <w:color w:val="auto"/>
                <w:sz w:val="20"/>
                <w:szCs w:val="20"/>
                <w:lang w:val="en-US" w:eastAsia="zh-CN"/>
              </w:rPr>
              <w:t>140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废粉尘</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6.998</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rPr>
              <w:t>/</w:t>
            </w:r>
          </w:p>
        </w:tc>
        <w:tc>
          <w:tcPr>
            <w:tcW w:w="1734"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ascii="Times New Roman" w:hAnsi="Times New Roman" w:cs="Times New Roman" w:eastAsiaTheme="minorEastAsia"/>
                <w:b w:val="0"/>
                <w:bCs w:val="0"/>
                <w:color w:val="auto"/>
                <w:sz w:val="20"/>
                <w:szCs w:val="20"/>
                <w:lang w:val="en-US" w:eastAsia="zh-CN"/>
              </w:rPr>
              <w:t>6.998</w:t>
            </w:r>
          </w:p>
        </w:tc>
        <w:tc>
          <w:tcPr>
            <w:tcW w:w="1361" w:type="dxa"/>
            <w:shd w:val="clear" w:color="auto" w:fill="auto"/>
            <w:vAlign w:val="center"/>
          </w:tcPr>
          <w:p>
            <w:pPr>
              <w:pStyle w:val="33"/>
              <w:adjustRightInd w:val="0"/>
              <w:snapToGrid w:val="0"/>
              <w:rPr>
                <w:rFonts w:hint="default" w:ascii="Times New Roman" w:hAnsi="Times New Roman" w:cs="Times New Roman" w:eastAsiaTheme="minorEastAsia"/>
                <w:b w:val="0"/>
                <w:bCs w:val="0"/>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eastAsiaTheme="minorEastAsia"/>
                <w:b w:val="0"/>
                <w:bCs w:val="0"/>
                <w:color w:val="auto"/>
                <w:sz w:val="20"/>
                <w:szCs w:val="20"/>
                <w:lang w:val="en-US" w:eastAsia="zh-CN"/>
              </w:rPr>
              <w:t>6.998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pStyle w:val="33"/>
              <w:adjustRightInd w:val="0"/>
              <w:snapToGrid w:val="0"/>
              <w:rPr>
                <w:rFonts w:hint="default"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纯水制备废滤芯</w:t>
            </w:r>
            <w:r>
              <w:rPr>
                <w:rFonts w:hint="eastAsia" w:ascii="Times New Roman" w:hAnsi="Times New Roman" w:cs="Times New Roman"/>
                <w:b w:val="0"/>
                <w:color w:val="auto"/>
                <w:sz w:val="20"/>
                <w:szCs w:val="20"/>
                <w:lang w:eastAsia="zh-CN"/>
              </w:rPr>
              <w:t>、</w:t>
            </w:r>
            <w:r>
              <w:rPr>
                <w:rFonts w:hint="eastAsia" w:ascii="Times New Roman" w:hAnsi="Times New Roman" w:cs="Times New Roman"/>
                <w:b w:val="0"/>
                <w:color w:val="auto"/>
                <w:sz w:val="20"/>
                <w:szCs w:val="20"/>
                <w:lang w:val="en-US" w:eastAsia="zh-CN"/>
              </w:rPr>
              <w:t>RO膜</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3</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rPr>
              <w:t>3</w:t>
            </w:r>
          </w:p>
        </w:tc>
        <w:tc>
          <w:tcPr>
            <w:tcW w:w="1361" w:type="dxa"/>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b w:val="0"/>
                <w:color w:val="auto"/>
                <w:sz w:val="20"/>
                <w:szCs w:val="20"/>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废滤网</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0.02</w:t>
            </w:r>
          </w:p>
        </w:tc>
        <w:tc>
          <w:tcPr>
            <w:tcW w:w="154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0.02</w:t>
            </w:r>
          </w:p>
        </w:tc>
        <w:tc>
          <w:tcPr>
            <w:tcW w:w="1361" w:type="dxa"/>
            <w:shd w:val="clear" w:color="auto" w:fill="auto"/>
            <w:vAlign w:val="center"/>
          </w:tcPr>
          <w:p>
            <w:pPr>
              <w:pStyle w:val="33"/>
              <w:adjustRightInd w:val="0"/>
              <w:snapToGrid w:val="0"/>
              <w:rPr>
                <w:rFonts w:hint="eastAsia" w:ascii="Times New Roman" w:hAnsi="Times New Roman" w:cs="Times New Roman"/>
                <w:b w:val="0"/>
                <w:color w:val="auto"/>
                <w:sz w:val="20"/>
                <w:szCs w:val="20"/>
                <w:lang w:val="en-US" w:eastAsia="zh-CN"/>
              </w:rPr>
            </w:pPr>
            <w:r>
              <w:rPr>
                <w:rFonts w:hint="eastAsia"/>
                <w:color w:val="auto"/>
                <w:sz w:val="20"/>
                <w:szCs w:val="20"/>
                <w:lang w:val="en-US" w:eastAsia="zh-CN"/>
              </w:rPr>
              <w:t>+</w:t>
            </w:r>
            <w:r>
              <w:rPr>
                <w:rFonts w:hint="eastAsia" w:ascii="Times New Roman" w:hAnsi="Times New Roman" w:cs="Times New Roman"/>
                <w:b w:val="0"/>
                <w:bCs w:val="0"/>
                <w:color w:val="auto"/>
                <w:sz w:val="20"/>
                <w:szCs w:val="20"/>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snapToGrid w:val="0"/>
                <w:color w:val="auto"/>
                <w:kern w:val="21"/>
                <w:sz w:val="20"/>
                <w:lang w:val="en-US"/>
              </w:rPr>
            </w:pPr>
          </w:p>
        </w:tc>
        <w:tc>
          <w:tcPr>
            <w:tcW w:w="2330" w:type="dxa"/>
            <w:shd w:val="clear" w:color="auto" w:fill="auto"/>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脱硫渣</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10</w:t>
            </w:r>
          </w:p>
        </w:tc>
        <w:tc>
          <w:tcPr>
            <w:tcW w:w="154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eastAsia" w:ascii="Times New Roman" w:hAnsi="Times New Roman" w:cs="Times New Roman"/>
                <w:b w:val="0"/>
                <w:color w:val="auto"/>
                <w:sz w:val="20"/>
                <w:szCs w:val="20"/>
              </w:rPr>
            </w:pPr>
            <w:r>
              <w:rPr>
                <w:rFonts w:hint="eastAsia" w:ascii="Times New Roman" w:hAnsi="Times New Roman" w:cs="Times New Roman"/>
                <w:b w:val="0"/>
                <w:bCs w:val="0"/>
                <w:color w:val="auto"/>
                <w:sz w:val="20"/>
                <w:szCs w:val="20"/>
                <w:lang w:val="en-US" w:eastAsia="zh-CN"/>
              </w:rPr>
              <w:t>10</w:t>
            </w:r>
          </w:p>
        </w:tc>
        <w:tc>
          <w:tcPr>
            <w:tcW w:w="1361" w:type="dxa"/>
            <w:shd w:val="clear" w:color="auto" w:fill="auto"/>
            <w:vAlign w:val="center"/>
          </w:tcPr>
          <w:p>
            <w:pPr>
              <w:pStyle w:val="33"/>
              <w:adjustRightInd w:val="0"/>
              <w:snapToGrid w:val="0"/>
              <w:rPr>
                <w:rFonts w:hint="eastAsia" w:ascii="Times New Roman" w:hAnsi="Times New Roman" w:cs="Times New Roman"/>
                <w:b w:val="0"/>
                <w:color w:val="auto"/>
                <w:sz w:val="20"/>
                <w:szCs w:val="20"/>
                <w:lang w:val="en-US" w:eastAsia="zh-CN"/>
              </w:rPr>
            </w:pPr>
            <w:r>
              <w:rPr>
                <w:rFonts w:hint="eastAsia"/>
                <w:color w:val="auto"/>
                <w:sz w:val="20"/>
                <w:szCs w:val="20"/>
                <w:lang w:val="en-US" w:eastAsia="zh-CN"/>
              </w:rPr>
              <w:t>+</w:t>
            </w:r>
            <w:r>
              <w:rPr>
                <w:rFonts w:hint="eastAsia" w:ascii="Times New Roman" w:hAnsi="Times New Roman" w:cs="Times New Roman"/>
                <w:b w:val="0"/>
                <w:bCs w:val="0"/>
                <w:color w:val="auto"/>
                <w:sz w:val="20"/>
                <w:szCs w:val="20"/>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restart"/>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color w:val="auto"/>
                <w:sz w:val="20"/>
              </w:rPr>
              <w:t>危险废物</w:t>
            </w:r>
          </w:p>
        </w:tc>
        <w:tc>
          <w:tcPr>
            <w:tcW w:w="2330"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废导热油</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eastAsia="等线" w:cs="Times New Roman"/>
                <w:b w:val="0"/>
                <w:bCs w:val="0"/>
                <w:color w:val="auto"/>
                <w:sz w:val="20"/>
                <w:szCs w:val="20"/>
                <w:lang w:val="en-US" w:eastAsia="zh-CN"/>
              </w:rPr>
              <w:t>2</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eastAsia="等线" w:cs="Times New Roman"/>
                <w:b w:val="0"/>
                <w:bCs w:val="0"/>
                <w:color w:val="auto"/>
                <w:sz w:val="20"/>
                <w:szCs w:val="20"/>
                <w:lang w:val="en-US" w:eastAsia="zh-CN"/>
              </w:rPr>
              <w:t>2</w:t>
            </w:r>
          </w:p>
        </w:tc>
        <w:tc>
          <w:tcPr>
            <w:tcW w:w="1361"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eastAsia="等线" w:cs="Times New Roman"/>
                <w:b w:val="0"/>
                <w:bCs w:val="0"/>
                <w:color w:val="auto"/>
                <w:sz w:val="20"/>
                <w:szCs w:val="20"/>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color w:val="auto"/>
                <w:sz w:val="20"/>
              </w:rPr>
            </w:pPr>
          </w:p>
        </w:tc>
        <w:tc>
          <w:tcPr>
            <w:tcW w:w="2330" w:type="dxa"/>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hAnsi="宋体" w:cs="宋体"/>
                <w:b w:val="0"/>
                <w:bCs w:val="0"/>
                <w:sz w:val="20"/>
                <w:szCs w:val="20"/>
              </w:rPr>
              <w:t>含油抹布手套</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0.2</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0.2</w:t>
            </w:r>
          </w:p>
        </w:tc>
        <w:tc>
          <w:tcPr>
            <w:tcW w:w="1361"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b w:val="0"/>
                <w:bCs w:val="0"/>
                <w:color w:val="auto"/>
                <w:sz w:val="20"/>
                <w:szCs w:val="20"/>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color w:val="auto"/>
                <w:sz w:val="20"/>
              </w:rPr>
            </w:pPr>
          </w:p>
        </w:tc>
        <w:tc>
          <w:tcPr>
            <w:tcW w:w="2330" w:type="dxa"/>
            <w:shd w:val="clear" w:color="auto" w:fill="auto"/>
            <w:vAlign w:val="center"/>
          </w:tcPr>
          <w:p>
            <w:pPr>
              <w:pStyle w:val="33"/>
              <w:adjustRightInd w:val="0"/>
              <w:snapToGrid w:val="0"/>
              <w:rPr>
                <w:rFonts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废机油</w:t>
            </w:r>
          </w:p>
        </w:tc>
        <w:tc>
          <w:tcPr>
            <w:tcW w:w="1656" w:type="dxa"/>
            <w:vAlign w:val="center"/>
          </w:tcPr>
          <w:p>
            <w:pPr>
              <w:spacing w:beforeLines="0" w:afterLines="0" w:line="240" w:lineRule="auto"/>
              <w:jc w:val="center"/>
              <w:rPr>
                <w:rFonts w:ascii="Times New Roman"/>
                <w:color w:val="auto"/>
                <w:sz w:val="20"/>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0.8</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jc w:val="center"/>
              <w:rPr>
                <w:rFonts w:hint="eastAsia" w:ascii="Times New Roman" w:hAnsi="Times New Roman" w:eastAsia="宋体" w:cs="Times New Roman"/>
                <w:bCs/>
                <w:kern w:val="2"/>
                <w:sz w:val="20"/>
                <w:szCs w:val="20"/>
                <w:lang w:val="en-US" w:eastAsia="zh-CN" w:bidi="ar-SA"/>
              </w:rPr>
            </w:pPr>
            <w:r>
              <w:rPr>
                <w:rFonts w:hint="eastAsia"/>
                <w:bCs/>
                <w:sz w:val="20"/>
                <w:szCs w:val="20"/>
              </w:rPr>
              <w:t>0.8</w:t>
            </w:r>
          </w:p>
        </w:tc>
        <w:tc>
          <w:tcPr>
            <w:tcW w:w="1361" w:type="dxa"/>
            <w:shd w:val="clear" w:color="auto" w:fill="auto"/>
            <w:vAlign w:val="center"/>
          </w:tcPr>
          <w:p>
            <w:pPr>
              <w:jc w:val="center"/>
              <w:rPr>
                <w:rFonts w:hint="default" w:ascii="Times New Roman" w:hAnsi="Times New Roman" w:eastAsia="宋体" w:cs="Times New Roman"/>
                <w:bCs/>
                <w:kern w:val="2"/>
                <w:sz w:val="20"/>
                <w:szCs w:val="20"/>
                <w:lang w:val="en-US" w:eastAsia="zh-CN" w:bidi="ar-SA"/>
              </w:rPr>
            </w:pPr>
            <w:r>
              <w:rPr>
                <w:rFonts w:hint="eastAsia"/>
                <w:color w:val="auto"/>
                <w:sz w:val="20"/>
                <w:szCs w:val="20"/>
                <w:lang w:val="en-US" w:eastAsia="zh-CN"/>
              </w:rPr>
              <w:t>+0.8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color w:val="auto"/>
                <w:sz w:val="20"/>
              </w:rPr>
            </w:pPr>
          </w:p>
        </w:tc>
        <w:tc>
          <w:tcPr>
            <w:tcW w:w="2330" w:type="dxa"/>
            <w:shd w:val="clear" w:color="auto" w:fill="auto"/>
            <w:vAlign w:val="center"/>
          </w:tcPr>
          <w:p>
            <w:pPr>
              <w:autoSpaceDE w:val="0"/>
              <w:autoSpaceDN w:val="0"/>
              <w:snapToGrid w:val="0"/>
              <w:jc w:val="center"/>
              <w:rPr>
                <w:rFonts w:ascii="Times New Roman" w:hAnsi="Times New Roman" w:eastAsia="宋体" w:cs="Times New Roman"/>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定型废气处理废油</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1.231</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1.231</w:t>
            </w:r>
          </w:p>
        </w:tc>
        <w:tc>
          <w:tcPr>
            <w:tcW w:w="1361"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b w:val="0"/>
                <w:bCs w:val="0"/>
                <w:color w:val="auto"/>
                <w:sz w:val="20"/>
                <w:szCs w:val="20"/>
                <w:lang w:val="en-US" w:eastAsia="zh-CN"/>
              </w:rPr>
              <w:t>1.231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color w:val="auto"/>
                <w:sz w:val="20"/>
              </w:rPr>
            </w:pPr>
          </w:p>
        </w:tc>
        <w:tc>
          <w:tcPr>
            <w:tcW w:w="2330" w:type="dxa"/>
            <w:shd w:val="clear" w:color="auto" w:fill="auto"/>
            <w:vAlign w:val="center"/>
          </w:tcPr>
          <w:p>
            <w:pPr>
              <w:pStyle w:val="33"/>
              <w:adjustRightInd w:val="0"/>
              <w:snapToGrid w:val="0"/>
              <w:rPr>
                <w:rFonts w:hint="default"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废包装材料</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0.</w:t>
            </w:r>
            <w:r>
              <w:rPr>
                <w:rFonts w:hint="eastAsia"/>
                <w:sz w:val="20"/>
                <w:szCs w:val="20"/>
              </w:rPr>
              <w:t>15</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lang w:val="en-US" w:eastAsia="zh-CN"/>
              </w:rPr>
              <w:t>0.</w:t>
            </w:r>
            <w:r>
              <w:rPr>
                <w:rFonts w:hint="eastAsia"/>
                <w:sz w:val="20"/>
                <w:szCs w:val="20"/>
              </w:rPr>
              <w:t>15</w:t>
            </w:r>
          </w:p>
        </w:tc>
        <w:tc>
          <w:tcPr>
            <w:tcW w:w="1361" w:type="dxa"/>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color w:val="auto"/>
                <w:sz w:val="20"/>
                <w:szCs w:val="20"/>
                <w:lang w:val="en-US" w:eastAsia="zh-CN"/>
              </w:rPr>
              <w:t>+</w:t>
            </w:r>
            <w:r>
              <w:rPr>
                <w:rFonts w:hint="eastAsia"/>
                <w:sz w:val="20"/>
                <w:szCs w:val="20"/>
                <w:lang w:val="en-US" w:eastAsia="zh-CN"/>
              </w:rPr>
              <w:t>0.</w:t>
            </w:r>
            <w:r>
              <w:rPr>
                <w:rFonts w:hint="eastAsia"/>
                <w:sz w:val="20"/>
                <w:szCs w:val="20"/>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color w:val="auto"/>
                <w:sz w:val="20"/>
              </w:rPr>
            </w:pPr>
          </w:p>
        </w:tc>
        <w:tc>
          <w:tcPr>
            <w:tcW w:w="2330" w:type="dxa"/>
            <w:shd w:val="clear" w:color="auto" w:fill="auto"/>
            <w:vAlign w:val="center"/>
          </w:tcPr>
          <w:p>
            <w:pPr>
              <w:pStyle w:val="33"/>
              <w:adjustRightInd w:val="0"/>
              <w:snapToGrid w:val="0"/>
              <w:rPr>
                <w:rFonts w:ascii="Times New Roman" w:hAnsi="Times New Roman" w:eastAsia="宋体" w:cs="Times New Roman"/>
                <w:b w:val="0"/>
                <w:bCs w:val="0"/>
                <w:color w:val="auto"/>
                <w:kern w:val="0"/>
                <w:sz w:val="20"/>
                <w:szCs w:val="20"/>
                <w:lang w:val="en-US" w:eastAsia="zh-CN" w:bidi="ar-SA"/>
              </w:rPr>
            </w:pPr>
            <w:r>
              <w:rPr>
                <w:rFonts w:hint="eastAsia" w:ascii="Times New Roman" w:hAnsi="Times New Roman" w:cs="Times New Roman"/>
                <w:b w:val="0"/>
                <w:bCs w:val="0"/>
                <w:color w:val="auto"/>
                <w:sz w:val="20"/>
                <w:szCs w:val="20"/>
                <w:lang w:val="en-US" w:eastAsia="zh-CN"/>
              </w:rPr>
              <w:t>废油桶</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rPr>
              <w:t>0.3</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sz w:val="20"/>
                <w:szCs w:val="20"/>
              </w:rPr>
              <w:t>0.3</w:t>
            </w:r>
          </w:p>
        </w:tc>
        <w:tc>
          <w:tcPr>
            <w:tcW w:w="1361" w:type="dxa"/>
            <w:shd w:val="clear" w:color="auto" w:fill="auto"/>
            <w:vAlign w:val="center"/>
          </w:tcPr>
          <w:p>
            <w:pPr>
              <w:jc w:val="center"/>
              <w:rPr>
                <w:rFonts w:hint="eastAsia" w:ascii="Times New Roman" w:hAnsi="Times New Roman" w:eastAsia="宋体" w:cs="Times New Roman"/>
                <w:kern w:val="2"/>
                <w:sz w:val="20"/>
                <w:szCs w:val="20"/>
                <w:lang w:val="en-US" w:eastAsia="zh-CN" w:bidi="ar-SA"/>
              </w:rPr>
            </w:pPr>
            <w:r>
              <w:rPr>
                <w:rFonts w:hint="eastAsia"/>
                <w:color w:val="auto"/>
                <w:sz w:val="20"/>
                <w:szCs w:val="20"/>
                <w:lang w:val="en-US" w:eastAsia="zh-CN"/>
              </w:rPr>
              <w:t>+</w:t>
            </w:r>
            <w:r>
              <w:rPr>
                <w:rFonts w:hint="eastAsia"/>
                <w:sz w:val="20"/>
                <w:szCs w:val="20"/>
              </w:rPr>
              <w:t>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Merge w:val="continue"/>
            <w:vAlign w:val="center"/>
          </w:tcPr>
          <w:p>
            <w:pPr>
              <w:pStyle w:val="167"/>
              <w:spacing w:beforeLines="0" w:afterLines="0" w:line="240" w:lineRule="auto"/>
              <w:rPr>
                <w:rFonts w:ascii="Times New Roman"/>
                <w:color w:val="auto"/>
                <w:sz w:val="20"/>
              </w:rPr>
            </w:pPr>
          </w:p>
        </w:tc>
        <w:tc>
          <w:tcPr>
            <w:tcW w:w="2330" w:type="dxa"/>
            <w:shd w:val="clear" w:color="auto" w:fill="auto"/>
            <w:vAlign w:val="center"/>
          </w:tcPr>
          <w:p>
            <w:pPr>
              <w:pStyle w:val="33"/>
              <w:adjustRightInd w:val="0"/>
              <w:snapToGrid w:val="0"/>
              <w:rPr>
                <w:rFonts w:hint="eastAsia" w:ascii="Times New Roman" w:hAnsi="Times New Roman" w:cs="Times New Roman"/>
                <w:b w:val="0"/>
                <w:bCs w:val="0"/>
                <w:color w:val="auto"/>
                <w:sz w:val="20"/>
                <w:szCs w:val="20"/>
                <w:lang w:val="en-US" w:eastAsia="zh-CN"/>
              </w:rPr>
            </w:pPr>
            <w:r>
              <w:rPr>
                <w:rFonts w:hint="eastAsia" w:ascii="Times New Roman" w:hAnsi="Times New Roman" w:cs="Times New Roman"/>
                <w:b w:val="0"/>
                <w:bCs w:val="0"/>
                <w:color w:val="auto"/>
                <w:sz w:val="20"/>
                <w:szCs w:val="20"/>
                <w:lang w:val="en-US" w:eastAsia="zh-CN"/>
              </w:rPr>
              <w:t>废蓄电池</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jc w:val="center"/>
              <w:rPr>
                <w:rFonts w:hint="eastAsia"/>
                <w:sz w:val="20"/>
                <w:szCs w:val="20"/>
              </w:rPr>
            </w:pPr>
            <w:r>
              <w:rPr>
                <w:rFonts w:hint="eastAsia"/>
                <w:sz w:val="20"/>
                <w:szCs w:val="20"/>
                <w:lang w:val="en-US" w:eastAsia="zh-CN"/>
              </w:rPr>
              <w:t>0.012t/3a</w:t>
            </w:r>
          </w:p>
        </w:tc>
        <w:tc>
          <w:tcPr>
            <w:tcW w:w="154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jc w:val="center"/>
              <w:rPr>
                <w:rFonts w:hint="eastAsia"/>
                <w:sz w:val="20"/>
                <w:szCs w:val="20"/>
              </w:rPr>
            </w:pPr>
            <w:r>
              <w:rPr>
                <w:rFonts w:hint="eastAsia"/>
                <w:sz w:val="20"/>
                <w:szCs w:val="20"/>
                <w:lang w:val="en-US" w:eastAsia="zh-CN"/>
              </w:rPr>
              <w:t>0.012t/3a</w:t>
            </w:r>
          </w:p>
        </w:tc>
        <w:tc>
          <w:tcPr>
            <w:tcW w:w="1361" w:type="dxa"/>
            <w:shd w:val="clear" w:color="auto" w:fill="auto"/>
            <w:vAlign w:val="center"/>
          </w:tcPr>
          <w:p>
            <w:pPr>
              <w:jc w:val="center"/>
              <w:rPr>
                <w:rFonts w:hint="eastAsia"/>
                <w:sz w:val="20"/>
                <w:szCs w:val="20"/>
                <w:lang w:val="en-US" w:eastAsia="zh-CN"/>
              </w:rPr>
            </w:pPr>
            <w:r>
              <w:rPr>
                <w:rFonts w:hint="eastAsia"/>
                <w:color w:val="auto"/>
                <w:sz w:val="20"/>
                <w:szCs w:val="20"/>
                <w:lang w:val="en-US" w:eastAsia="zh-CN"/>
              </w:rPr>
              <w:t>+</w:t>
            </w:r>
            <w:r>
              <w:rPr>
                <w:rFonts w:hint="eastAsia"/>
                <w:sz w:val="20"/>
                <w:szCs w:val="20"/>
                <w:lang w:val="en-US" w:eastAsia="zh-CN"/>
              </w:rPr>
              <w:t>0.012t/3a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09" w:type="dxa"/>
            <w:vAlign w:val="center"/>
          </w:tcPr>
          <w:p>
            <w:pPr>
              <w:pStyle w:val="167"/>
              <w:spacing w:beforeLines="0" w:afterLines="0" w:line="240" w:lineRule="auto"/>
              <w:rPr>
                <w:rFonts w:ascii="Times New Roman"/>
                <w:snapToGrid w:val="0"/>
                <w:color w:val="auto"/>
                <w:kern w:val="21"/>
                <w:sz w:val="20"/>
                <w:lang w:val="en-US"/>
              </w:rPr>
            </w:pPr>
            <w:r>
              <w:rPr>
                <w:rFonts w:ascii="Times New Roman"/>
                <w:snapToGrid w:val="0"/>
                <w:color w:val="auto"/>
                <w:kern w:val="21"/>
                <w:sz w:val="20"/>
                <w:lang w:val="en-US"/>
              </w:rPr>
              <w:t>生活垃圾</w:t>
            </w:r>
          </w:p>
        </w:tc>
        <w:tc>
          <w:tcPr>
            <w:tcW w:w="2330"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生活垃圾</w:t>
            </w:r>
          </w:p>
        </w:tc>
        <w:tc>
          <w:tcPr>
            <w:tcW w:w="1656" w:type="dxa"/>
            <w:vAlign w:val="center"/>
          </w:tcPr>
          <w:p>
            <w:pPr>
              <w:spacing w:beforeLines="0" w:afterLines="0" w:line="240" w:lineRule="auto"/>
              <w:jc w:val="center"/>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437"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548" w:type="dxa"/>
            <w:shd w:val="clear" w:color="auto" w:fill="auto"/>
            <w:vAlign w:val="center"/>
          </w:tcPr>
          <w:p>
            <w:pPr>
              <w:pStyle w:val="33"/>
              <w:adjustRightInd w:val="0"/>
              <w:snapToGrid w:val="0"/>
              <w:rPr>
                <w:rFonts w:hint="default"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lang w:val="en-US" w:eastAsia="zh-CN"/>
              </w:rPr>
              <w:t>7.5</w:t>
            </w:r>
          </w:p>
        </w:tc>
        <w:tc>
          <w:tcPr>
            <w:tcW w:w="1546" w:type="dxa"/>
            <w:vAlign w:val="center"/>
          </w:tcPr>
          <w:p>
            <w:pPr>
              <w:pStyle w:val="167"/>
              <w:spacing w:beforeLines="0" w:afterLines="0" w:line="240" w:lineRule="auto"/>
              <w:rPr>
                <w:rFonts w:ascii="Times New Roman"/>
                <w:snapToGrid w:val="0"/>
                <w:color w:val="auto"/>
                <w:spacing w:val="-6"/>
                <w:kern w:val="21"/>
                <w:sz w:val="20"/>
                <w:lang w:val="en-US"/>
              </w:rPr>
            </w:pPr>
            <w:r>
              <w:rPr>
                <w:rFonts w:ascii="Times New Roman"/>
                <w:snapToGrid w:val="0"/>
                <w:color w:val="auto"/>
                <w:spacing w:val="-6"/>
                <w:kern w:val="21"/>
                <w:sz w:val="20"/>
                <w:lang w:val="en-US"/>
              </w:rPr>
              <w:t>/</w:t>
            </w:r>
          </w:p>
        </w:tc>
        <w:tc>
          <w:tcPr>
            <w:tcW w:w="1734" w:type="dxa"/>
            <w:shd w:val="clear" w:color="auto" w:fill="auto"/>
            <w:vAlign w:val="center"/>
          </w:tcPr>
          <w:p>
            <w:pPr>
              <w:pStyle w:val="33"/>
              <w:adjustRightInd w:val="0"/>
              <w:snapToGrid w:val="0"/>
              <w:rPr>
                <w:rFonts w:hint="default" w:ascii="Times New Roman" w:hAnsi="Times New Roman" w:eastAsia="宋体" w:cs="Times New Roman"/>
                <w:b w:val="0"/>
                <w:bCs/>
                <w:color w:val="auto"/>
                <w:kern w:val="0"/>
                <w:sz w:val="20"/>
                <w:szCs w:val="20"/>
                <w:lang w:val="en-US" w:eastAsia="zh-CN" w:bidi="ar-SA"/>
              </w:rPr>
            </w:pPr>
            <w:r>
              <w:rPr>
                <w:rFonts w:hint="eastAsia" w:ascii="Times New Roman" w:hAnsi="Times New Roman" w:cs="Times New Roman"/>
                <w:b w:val="0"/>
                <w:color w:val="auto"/>
                <w:sz w:val="20"/>
                <w:szCs w:val="20"/>
                <w:lang w:val="en-US" w:eastAsia="zh-CN"/>
              </w:rPr>
              <w:t>7.5</w:t>
            </w:r>
          </w:p>
        </w:tc>
        <w:tc>
          <w:tcPr>
            <w:tcW w:w="1361" w:type="dxa"/>
            <w:shd w:val="clear" w:color="auto" w:fill="auto"/>
            <w:vAlign w:val="center"/>
          </w:tcPr>
          <w:p>
            <w:pPr>
              <w:pStyle w:val="33"/>
              <w:adjustRightInd w:val="0"/>
              <w:snapToGrid w:val="0"/>
              <w:rPr>
                <w:rFonts w:hint="default" w:ascii="Times New Roman" w:hAnsi="Times New Roman" w:eastAsia="宋体" w:cs="Times New Roman"/>
                <w:b w:val="0"/>
                <w:bCs/>
                <w:color w:val="auto"/>
                <w:kern w:val="0"/>
                <w:sz w:val="20"/>
                <w:szCs w:val="20"/>
                <w:lang w:val="en-US" w:eastAsia="zh-CN" w:bidi="ar-SA"/>
              </w:rPr>
            </w:pPr>
            <w:r>
              <w:rPr>
                <w:rFonts w:hint="eastAsia"/>
                <w:color w:val="auto"/>
                <w:sz w:val="20"/>
                <w:szCs w:val="20"/>
                <w:lang w:val="en-US" w:eastAsia="zh-CN"/>
              </w:rPr>
              <w:t>+</w:t>
            </w:r>
            <w:r>
              <w:rPr>
                <w:rFonts w:hint="eastAsia" w:ascii="Times New Roman" w:hAnsi="Times New Roman" w:cs="Times New Roman"/>
                <w:b w:val="0"/>
                <w:color w:val="auto"/>
                <w:sz w:val="20"/>
                <w:szCs w:val="20"/>
                <w:lang w:val="en-US" w:eastAsia="zh-CN"/>
              </w:rPr>
              <w:t>7.5</w:t>
            </w:r>
          </w:p>
        </w:tc>
      </w:tr>
    </w:tbl>
    <w:p>
      <w:pPr>
        <w:pStyle w:val="167"/>
        <w:spacing w:beforeLines="0" w:afterLines="0" w:line="240" w:lineRule="auto"/>
        <w:jc w:val="left"/>
        <w:rPr>
          <w:color w:val="auto"/>
          <w:kern w:val="0"/>
          <w:sz w:val="24"/>
        </w:rPr>
      </w:pPr>
      <w:r>
        <w:rPr>
          <w:rFonts w:ascii="Times New Roman"/>
          <w:snapToGrid w:val="0"/>
          <w:color w:val="auto"/>
          <w:kern w:val="21"/>
          <w:szCs w:val="21"/>
        </w:rPr>
        <w:t>注</w:t>
      </w:r>
      <w:r>
        <w:rPr>
          <w:rFonts w:hint="eastAsia" w:ascii="Times New Roman"/>
          <w:snapToGrid w:val="0"/>
          <w:color w:val="auto"/>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lang w:val="en-US"/>
        </w:rPr>
        <w:t>⑥</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lang w:val="en-US"/>
        </w:rPr>
        <w:t>①</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3 \* GB3 \* MERGEFORMAT </w:instrText>
      </w:r>
      <w:r>
        <w:rPr>
          <w:rFonts w:ascii="Times New Roman"/>
          <w:snapToGrid w:val="0"/>
          <w:color w:val="auto"/>
          <w:spacing w:val="-6"/>
          <w:kern w:val="21"/>
          <w:szCs w:val="21"/>
        </w:rPr>
        <w:fldChar w:fldCharType="separate"/>
      </w:r>
      <w:r>
        <w:rPr>
          <w:rFonts w:hint="eastAsia" w:hAnsi="宋体" w:cs="宋体"/>
          <w:color w:val="auto"/>
          <w:szCs w:val="21"/>
          <w:lang w:val="en-US"/>
        </w:rPr>
        <w:t>③</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4 \* GB3 \* MERGEFORMAT </w:instrText>
      </w:r>
      <w:r>
        <w:rPr>
          <w:rFonts w:ascii="Times New Roman"/>
          <w:snapToGrid w:val="0"/>
          <w:color w:val="auto"/>
          <w:spacing w:val="-6"/>
          <w:kern w:val="21"/>
          <w:szCs w:val="21"/>
        </w:rPr>
        <w:fldChar w:fldCharType="separate"/>
      </w:r>
      <w:r>
        <w:rPr>
          <w:rFonts w:hint="eastAsia" w:hAnsi="宋体" w:cs="宋体"/>
          <w:color w:val="auto"/>
          <w:szCs w:val="21"/>
          <w:lang w:val="en-US"/>
        </w:rPr>
        <w:t>④</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5 \* GB3 \* MERGEFORMAT </w:instrText>
      </w:r>
      <w:r>
        <w:rPr>
          <w:rFonts w:ascii="Times New Roman"/>
          <w:snapToGrid w:val="0"/>
          <w:color w:val="auto"/>
          <w:spacing w:val="-16"/>
          <w:kern w:val="21"/>
          <w:szCs w:val="21"/>
        </w:rPr>
        <w:fldChar w:fldCharType="separate"/>
      </w:r>
      <w:r>
        <w:rPr>
          <w:rFonts w:hint="eastAsia" w:hAnsi="宋体" w:cs="宋体"/>
          <w:color w:val="auto"/>
          <w:szCs w:val="21"/>
          <w:lang w:val="en-US"/>
        </w:rPr>
        <w:t>⑤</w:t>
      </w:r>
      <w:r>
        <w:rPr>
          <w:rFonts w:ascii="Times New Roman"/>
          <w:snapToGrid w:val="0"/>
          <w:color w:val="auto"/>
          <w:spacing w:val="-16"/>
          <w:kern w:val="21"/>
          <w:szCs w:val="21"/>
        </w:rPr>
        <w:fldChar w:fldCharType="end"/>
      </w:r>
      <w:r>
        <w:rPr>
          <w:rFonts w:hint="eastAsia"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7 \* GB3 \* MERGEFORMAT </w:instrText>
      </w:r>
      <w:r>
        <w:rPr>
          <w:rFonts w:ascii="Times New Roman"/>
          <w:snapToGrid w:val="0"/>
          <w:color w:val="auto"/>
          <w:spacing w:val="-6"/>
          <w:kern w:val="21"/>
          <w:szCs w:val="21"/>
        </w:rPr>
        <w:fldChar w:fldCharType="separate"/>
      </w:r>
      <w:r>
        <w:rPr>
          <w:rFonts w:hint="eastAsia" w:hAnsi="宋体" w:cs="宋体"/>
          <w:color w:val="auto"/>
          <w:szCs w:val="21"/>
          <w:lang w:val="en-US"/>
        </w:rPr>
        <w:t>⑦</w:t>
      </w:r>
      <w:r>
        <w:rPr>
          <w:rFonts w:ascii="Times New Roman"/>
          <w:snapToGrid w:val="0"/>
          <w:color w:val="auto"/>
          <w:spacing w:val="-6"/>
          <w:kern w:val="21"/>
          <w:szCs w:val="21"/>
        </w:rPr>
        <w:fldChar w:fldCharType="end"/>
      </w:r>
      <w:r>
        <w:rPr>
          <w:rFonts w:ascii="Times New Roman"/>
          <w:snapToGrid w:val="0"/>
          <w:color w:val="auto"/>
          <w:spacing w:val="-6"/>
          <w:kern w:val="21"/>
          <w:szCs w:val="21"/>
          <w:lang w:val="en-US"/>
        </w:rPr>
        <w:t>=</w:t>
      </w:r>
      <w:r>
        <w:rPr>
          <w:rFonts w:ascii="Times New Roman"/>
          <w:snapToGrid w:val="0"/>
          <w:color w:val="auto"/>
          <w:spacing w:val="-16"/>
          <w:kern w:val="21"/>
          <w:szCs w:val="21"/>
        </w:rPr>
        <w:fldChar w:fldCharType="begin"/>
      </w:r>
      <w:r>
        <w:rPr>
          <w:rFonts w:ascii="Times New Roman"/>
          <w:snapToGrid w:val="0"/>
          <w:color w:val="auto"/>
          <w:spacing w:val="-16"/>
          <w:kern w:val="21"/>
          <w:szCs w:val="21"/>
          <w:lang w:val="en-US"/>
        </w:rPr>
        <w:instrText xml:space="preserve"> = 6 \* GB3 \* MERGEFORMAT </w:instrText>
      </w:r>
      <w:r>
        <w:rPr>
          <w:rFonts w:ascii="Times New Roman"/>
          <w:snapToGrid w:val="0"/>
          <w:color w:val="auto"/>
          <w:spacing w:val="-16"/>
          <w:kern w:val="21"/>
          <w:szCs w:val="21"/>
        </w:rPr>
        <w:fldChar w:fldCharType="separate"/>
      </w:r>
      <w:r>
        <w:rPr>
          <w:rFonts w:hint="eastAsia" w:hAnsi="宋体" w:cs="宋体"/>
          <w:color w:val="auto"/>
          <w:szCs w:val="21"/>
          <w:lang w:val="en-US"/>
        </w:rPr>
        <w:t>⑥</w:t>
      </w:r>
      <w:r>
        <w:rPr>
          <w:rFonts w:ascii="Times New Roman"/>
          <w:snapToGrid w:val="0"/>
          <w:color w:val="auto"/>
          <w:spacing w:val="-16"/>
          <w:kern w:val="21"/>
          <w:szCs w:val="21"/>
        </w:rPr>
        <w:fldChar w:fldCharType="end"/>
      </w:r>
      <w:r>
        <w:rPr>
          <w:rFonts w:ascii="Times New Roman"/>
          <w:snapToGrid w:val="0"/>
          <w:color w:val="auto"/>
          <w:spacing w:val="-16"/>
          <w:kern w:val="21"/>
          <w:szCs w:val="21"/>
          <w:lang w:val="en-US"/>
        </w:rPr>
        <w:t>-</w:t>
      </w:r>
      <w:r>
        <w:rPr>
          <w:rFonts w:ascii="Times New Roman"/>
          <w:snapToGrid w:val="0"/>
          <w:color w:val="auto"/>
          <w:spacing w:val="-6"/>
          <w:kern w:val="21"/>
          <w:szCs w:val="21"/>
        </w:rPr>
        <w:fldChar w:fldCharType="begin"/>
      </w:r>
      <w:r>
        <w:rPr>
          <w:rFonts w:ascii="Times New Roman"/>
          <w:snapToGrid w:val="0"/>
          <w:color w:val="auto"/>
          <w:spacing w:val="-6"/>
          <w:kern w:val="21"/>
          <w:szCs w:val="21"/>
          <w:lang w:val="en-US"/>
        </w:rPr>
        <w:instrText xml:space="preserve"> = 1 \* GB3 \* MERGEFORMAT </w:instrText>
      </w:r>
      <w:r>
        <w:rPr>
          <w:rFonts w:ascii="Times New Roman"/>
          <w:snapToGrid w:val="0"/>
          <w:color w:val="auto"/>
          <w:spacing w:val="-6"/>
          <w:kern w:val="21"/>
          <w:szCs w:val="21"/>
        </w:rPr>
        <w:fldChar w:fldCharType="separate"/>
      </w:r>
      <w:r>
        <w:rPr>
          <w:rFonts w:hint="eastAsia" w:hAnsi="宋体" w:cs="宋体"/>
          <w:color w:val="auto"/>
          <w:szCs w:val="21"/>
          <w:lang w:val="en-US"/>
        </w:rPr>
        <w:t>①</w:t>
      </w:r>
      <w:r>
        <w:rPr>
          <w:rFonts w:ascii="Times New Roman"/>
          <w:snapToGrid w:val="0"/>
          <w:color w:val="auto"/>
          <w:spacing w:val="-6"/>
          <w:kern w:val="21"/>
          <w:szCs w:val="21"/>
        </w:rPr>
        <w:fldChar w:fldCharType="end"/>
      </w:r>
    </w:p>
    <w:sectPr>
      <w:footerReference r:id="rId8"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81"/>
    <w:family w:val="auto"/>
    <w:pitch w:val="default"/>
    <w:sig w:usb0="00000000" w:usb1="00000000"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微软雅黑"/>
    <w:panose1 w:val="020F0502020204030204"/>
    <w:charset w:val="00"/>
    <w:family w:val="swiss"/>
    <w:pitch w:val="default"/>
    <w:sig w:usb0="00000000" w:usb1="00000000" w:usb2="00000001" w:usb3="00000000" w:csb0="0000019F" w:csb1="00000000"/>
  </w:font>
  <w:font w:name="微软雅黑">
    <w:panose1 w:val="020B0503020204020204"/>
    <w:charset w:val="86"/>
    <w:family w:val="auto"/>
    <w:pitch w:val="default"/>
    <w:sig w:usb0="80000287" w:usb1="2A0F3C52" w:usb2="00000016" w:usb3="00000000" w:csb0="0004001F" w:csb1="00000000"/>
  </w:font>
  <w:font w:name="Cambria">
    <w:altName w:val="FreeSerif"/>
    <w:panose1 w:val="02040503050406030204"/>
    <w:charset w:val="00"/>
    <w:family w:val="roman"/>
    <w:pitch w:val="default"/>
    <w:sig w:usb0="00000000" w:usb1="00000000" w:usb2="02000000" w:usb3="00000000" w:csb0="2000019F" w:csb1="00000000"/>
  </w:font>
  <w:font w:name="FreeSerif">
    <w:panose1 w:val="02020603050405020304"/>
    <w:charset w:val="00"/>
    <w:family w:val="auto"/>
    <w:pitch w:val="default"/>
    <w:sig w:usb0="E59FAFFF" w:usb1="C200FDFF" w:usb2="43501B29" w:usb3="04000043" w:csb0="600101FF" w:csb1="FFFF0000"/>
  </w:font>
  <w:font w:name="隶书">
    <w:altName w:val="微软雅黑"/>
    <w:panose1 w:val="02010509060101010101"/>
    <w:charset w:val="86"/>
    <w:family w:val="modern"/>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athJax_Vector">
    <w:panose1 w:val="02000603000000000000"/>
    <w:charset w:val="00"/>
    <w:family w:val="auto"/>
    <w:pitch w:val="default"/>
    <w:sig w:usb0="00000001" w:usb1="00000020" w:usb2="00000000" w:usb3="00000000" w:csb0="00000001" w:csb1="00000000"/>
  </w:font>
  <w:font w:name="仿宋">
    <w:altName w:val="微软雅黑"/>
    <w:panose1 w:val="02010609060101010101"/>
    <w:charset w:val="86"/>
    <w:family w:val="modern"/>
    <w:pitch w:val="default"/>
    <w:sig w:usb0="00000000" w:usb1="00000000"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Arial Black">
    <w:altName w:val="DejaVu Sans"/>
    <w:panose1 w:val="020B0A04020102020204"/>
    <w:charset w:val="00"/>
    <w:family w:val="swiss"/>
    <w:pitch w:val="default"/>
    <w:sig w:usb0="00000000" w:usb1="00000000" w:usb2="00000000" w:usb3="00000000" w:csb0="6000009F" w:csb1="DFD70000"/>
  </w:font>
  <w:font w:name="楷体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Verdana">
    <w:altName w:val="Ubuntu Light"/>
    <w:panose1 w:val="020B0604030504040204"/>
    <w:charset w:val="00"/>
    <w:family w:val="swiss"/>
    <w:pitch w:val="default"/>
    <w:sig w:usb0="00000000" w:usb1="00000000" w:usb2="00000010" w:usb3="00000000" w:csb0="2000019F" w:csb1="00000000"/>
  </w:font>
  <w:font w:name="Ubuntu Light">
    <w:panose1 w:val="020B0604030602030204"/>
    <w:charset w:val="00"/>
    <w:family w:val="auto"/>
    <w:pitch w:val="default"/>
    <w:sig w:usb0="E00002FF" w:usb1="5000205B" w:usb2="00000000" w:usb3="00000000" w:csb0="2000009F" w:csb1="56010000"/>
  </w:font>
  <w:font w:name="”“Times New Roman”“">
    <w:altName w:val="宋体"/>
    <w:panose1 w:val="00000000000000000000"/>
    <w:charset w:val="86"/>
    <w:family w:val="roman"/>
    <w:pitch w:val="default"/>
    <w:sig w:usb0="00000000" w:usb1="00000000" w:usb2="0000001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Arial Unicode MS">
    <w:altName w:val="DejaVu Sans"/>
    <w:panose1 w:val="020B0604020202020204"/>
    <w:charset w:val="86"/>
    <w:family w:val="swiss"/>
    <w:pitch w:val="default"/>
    <w:sig w:usb0="00000000" w:usb1="00000000" w:usb2="0000003F" w:usb3="00000000" w:csb0="603F01FF" w:csb1="FFFF0000"/>
  </w:font>
  <w:font w:name="方正小标宋_GBK">
    <w:panose1 w:val="03000502000000000000"/>
    <w:charset w:val="86"/>
    <w:family w:val="script"/>
    <w:pitch w:val="default"/>
    <w:sig w:usb0="00000001" w:usb1="080E0000" w:usb2="00000000" w:usb3="00000000" w:csb0="00040000" w:csb1="00000000"/>
  </w:font>
  <w:font w:name="Tms Rmn">
    <w:altName w:val="FreeSerif"/>
    <w:panose1 w:val="02020603040505020304"/>
    <w:charset w:val="00"/>
    <w:family w:val="roman"/>
    <w:pitch w:val="default"/>
    <w:sig w:usb0="00000000" w:usb1="00000000" w:usb2="00000000" w:usb3="00000000" w:csb0="00000001" w:csb1="00000000"/>
  </w:font>
  <w:font w:name="幼圆">
    <w:altName w:val="黑体"/>
    <w:panose1 w:val="02010509060101010101"/>
    <w:charset w:val="86"/>
    <w:family w:val="modern"/>
    <w:pitch w:val="default"/>
    <w:sig w:usb0="00000000" w:usb1="00000000" w:usb2="00000000" w:usb3="00000000" w:csb0="00040000" w:csb1="00000000"/>
  </w:font>
  <w:font w:name="ˎ̥">
    <w:altName w:val="C059"/>
    <w:panose1 w:val="00000000000000000000"/>
    <w:charset w:val="00"/>
    <w:family w:val="roman"/>
    <w:pitch w:val="default"/>
    <w:sig w:usb0="00000000" w:usb1="00000000" w:usb2="00000000" w:usb3="00000000" w:csb0="00000000" w:csb1="00000000"/>
  </w:font>
  <w:font w:name="C059">
    <w:panose1 w:val="00000500000000000000"/>
    <w:charset w:val="00"/>
    <w:family w:val="auto"/>
    <w:pitch w:val="default"/>
    <w:sig w:usb0="00000287" w:usb1="00000800" w:usb2="00000000" w:usb3="00000000" w:csb0="6000009F"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Microsoft YaHei UI">
    <w:altName w:val="微软雅黑"/>
    <w:panose1 w:val="020B0503020204020204"/>
    <w:charset w:val="86"/>
    <w:family w:val="swiss"/>
    <w:pitch w:val="default"/>
    <w:sig w:usb0="00000000" w:usb1="00000000" w:usb2="00000016" w:usb3="00000000" w:csb0="0004001F" w:csb1="00000000"/>
  </w:font>
  <w:font w:name="Segoe UI Emoji">
    <w:altName w:val="Noto Sans"/>
    <w:panose1 w:val="020B0502040204020203"/>
    <w:charset w:val="00"/>
    <w:family w:val="swiss"/>
    <w:pitch w:val="default"/>
    <w:sig w:usb0="00000000" w:usb1="00000000" w:usb2="00000000" w:usb3="00000000" w:csb0="00000001" w:csb1="00000000"/>
  </w:font>
  <w:font w:name="Noto Sans">
    <w:panose1 w:val="020B0502040504020204"/>
    <w:charset w:val="00"/>
    <w:family w:val="auto"/>
    <w:pitch w:val="default"/>
    <w:sig w:usb0="E00002FF" w:usb1="4000201F" w:usb2="08000029" w:usb3="00100000" w:csb0="0000019F" w:csb1="00000000"/>
  </w:font>
  <w:font w:name="等线 Light">
    <w:altName w:val="宋体"/>
    <w:panose1 w:val="02010600030101010101"/>
    <w:charset w:val="86"/>
    <w:family w:val="auto"/>
    <w:pitch w:val="default"/>
    <w:sig w:usb0="00000000" w:usb1="00000000" w:usb2="00000016" w:usb3="00000000" w:csb0="0004000F" w:csb1="00000000"/>
  </w:font>
  <w:font w:name="Times">
    <w:altName w:val="DejaVu Sans"/>
    <w:panose1 w:val="02020603050405020304"/>
    <w:charset w:val="00"/>
    <w:family w:val="roman"/>
    <w:pitch w:val="default"/>
    <w:sig w:usb0="00000000" w:usb1="00000000" w:usb2="00000009" w:usb3="00000000" w:csb0="000001FF" w:csb1="00000000"/>
  </w:font>
  <w:font w:name="华文中宋">
    <w:panose1 w:val="02010600040101010101"/>
    <w:charset w:val="86"/>
    <w:family w:val="auto"/>
    <w:pitch w:val="default"/>
    <w:sig w:usb0="00000287" w:usb1="080F0000" w:usb2="00000000" w:usb3="00000000" w:csb0="0004009F" w:csb1="DFD70000"/>
  </w:font>
  <w:font w:name="TimesNewRomanPSMT">
    <w:altName w:val="DejaVu Sans"/>
    <w:panose1 w:val="00000000000000000000"/>
    <w:charset w:val="00"/>
    <w:family w:val="auto"/>
    <w:pitch w:val="default"/>
    <w:sig w:usb0="00000000" w:usb1="00000000" w:usb2="00000000" w:usb3="00000000" w:csb0="00040001" w:csb1="00000000"/>
  </w:font>
  <w:font w:name="Sim Sun+ 2">
    <w:altName w:val="宋体"/>
    <w:panose1 w:val="00000000000000000000"/>
    <w:charset w:val="86"/>
    <w:family w:val="swiss"/>
    <w:pitch w:val="default"/>
    <w:sig w:usb0="00000000" w:usb1="00000000" w:usb2="00000010" w:usb3="00000000" w:csb0="00040000" w:csb1="00000000"/>
  </w:font>
  <w:font w:name="@黑体">
    <w:panose1 w:val="020B0503020204020204"/>
    <w:charset w:val="86"/>
    <w:family w:val="modern"/>
    <w:pitch w:val="default"/>
    <w:sig w:usb0="80000287" w:usb1="2A0F3C52" w:usb2="00000016" w:usb3="00000000" w:csb0="0004001F" w:csb1="00000000"/>
  </w:font>
  <w:font w:name="Tahoma">
    <w:altName w:val="DejaVu Sans"/>
    <w:panose1 w:val="020B0604030504040204"/>
    <w:charset w:val="00"/>
    <w:family w:val="swiss"/>
    <w:pitch w:val="default"/>
    <w:sig w:usb0="00000000" w:usb1="00000000" w:usb2="00000029" w:usb3="00000000" w:csb0="200101FF" w:csb1="20280000"/>
  </w:font>
  <w:font w:name="Bookman Old Style">
    <w:altName w:val="DejaVu Serif"/>
    <w:panose1 w:val="02050604050505020204"/>
    <w:charset w:val="00"/>
    <w:family w:val="roman"/>
    <w:pitch w:val="default"/>
    <w:sig w:usb0="00000000" w:usb1="00000000" w:usb2="00000000" w:usb3="00000000" w:csb0="2000009F" w:csb1="DFD70000"/>
  </w:font>
  <w:font w:name="DejaVu Serif">
    <w:panose1 w:val="02060603050605020204"/>
    <w:charset w:val="00"/>
    <w:family w:val="auto"/>
    <w:pitch w:val="default"/>
    <w:sig w:usb0="E50006FF" w:usb1="5200F9FB" w:usb2="0A040020" w:usb3="00000000" w:csb0="6000009F" w:csb1="DFD70000"/>
  </w:font>
  <w:font w:name="??">
    <w:altName w:val="C059"/>
    <w:panose1 w:val="00000000000000000000"/>
    <w:charset w:val="01"/>
    <w:family w:val="roman"/>
    <w:pitch w:val="default"/>
    <w:sig w:usb0="00000000" w:usb1="00000000" w:usb2="00000000" w:usb3="00000000" w:csb0="00000001" w:csb1="00000000"/>
  </w:font>
  <w:font w:name="微软简标宋">
    <w:altName w:val="黑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方正仿宋_GBK">
    <w:panose1 w:val="02000000000000000000"/>
    <w:charset w:val="86"/>
    <w:family w:val="script"/>
    <w:pitch w:val="default"/>
    <w:sig w:usb0="00000001" w:usb1="08000000" w:usb2="00000000" w:usb3="00000000" w:csb0="00040000" w:csb1="00000000"/>
  </w:font>
  <w:font w:name="Arial Narrow">
    <w:altName w:val="DejaVu Sans"/>
    <w:panose1 w:val="020B0606020202030204"/>
    <w:charset w:val="00"/>
    <w:family w:val="swiss"/>
    <w:pitch w:val="default"/>
    <w:sig w:usb0="00000000" w:usb1="00000000" w:usb2="00000000" w:usb3="00000000" w:csb0="2000009F" w:csb1="DFD70000"/>
  </w:font>
  <w:font w:name="文鼎粗行楷简">
    <w:altName w:val="宋体"/>
    <w:panose1 w:val="00000000000000000000"/>
    <w:charset w:val="86"/>
    <w:family w:val="roman"/>
    <w:pitch w:val="default"/>
    <w:sig w:usb0="00000000" w:usb1="00000000" w:usb2="00000010" w:usb3="00000000" w:csb0="00040000" w:csb1="00000000"/>
  </w:font>
  <w:font w:name="MS Shell Dlg">
    <w:altName w:val="Liberation Sans"/>
    <w:panose1 w:val="020B0604020202020204"/>
    <w:charset w:val="00"/>
    <w:family w:val="swiss"/>
    <w:pitch w:val="default"/>
    <w:sig w:usb0="00000000" w:usb1="00000000" w:usb2="00000029" w:usb3="00000000" w:csb0="000101FF" w:csb1="00000000"/>
  </w:font>
  <w:font w:name="Liberation Sans">
    <w:panose1 w:val="020B0604020202020204"/>
    <w:charset w:val="00"/>
    <w:family w:val="auto"/>
    <w:pitch w:val="default"/>
    <w:sig w:usb0="A00002AF" w:usb1="500078FB" w:usb2="00000000" w:usb3="00000000" w:csb0="6000009F" w:csb1="DFD70000"/>
  </w:font>
  <w:font w:name="新宋体">
    <w:panose1 w:val="02010609030101010101"/>
    <w:charset w:val="86"/>
    <w:family w:val="modern"/>
    <w:pitch w:val="default"/>
    <w:sig w:usb0="00000283" w:usb1="288F0000" w:usb2="00000006" w:usb3="00000000" w:csb0="00040001" w:csb1="00000000"/>
  </w:font>
  <w:font w:name="Alaska">
    <w:altName w:val="C059"/>
    <w:panose1 w:val="00000000000000000000"/>
    <w:charset w:val="00"/>
    <w:family w:val="swiss"/>
    <w:pitch w:val="default"/>
    <w:sig w:usb0="00000000" w:usb1="00000000" w:usb2="00000000" w:usb3="00000000" w:csb0="00000017" w:csb1="00000000"/>
  </w:font>
  <w:font w:name="Courier">
    <w:altName w:val="Liberation Mono"/>
    <w:panose1 w:val="02070409020205020404"/>
    <w:charset w:val="00"/>
    <w:family w:val="modern"/>
    <w:pitch w:val="default"/>
    <w:sig w:usb0="00000000" w:usb1="00000000" w:usb2="00000000" w:usb3="00000000" w:csb0="00000001" w:csb1="00000000"/>
  </w:font>
  <w:font w:name="Liberation Mono">
    <w:panose1 w:val="02070409020205020404"/>
    <w:charset w:val="00"/>
    <w:family w:val="auto"/>
    <w:pitch w:val="default"/>
    <w:sig w:usb0="A00002AF" w:usb1="400078FB" w:usb2="00000000" w:usb3="00000000" w:csb0="6000009F" w:csb1="DFD70000"/>
  </w:font>
  <w:font w:name="PMingLiU">
    <w:altName w:val="Droid Sans Fallback"/>
    <w:panose1 w:val="02010601000101010101"/>
    <w:charset w:val="88"/>
    <w:family w:val="roman"/>
    <w:pitch w:val="default"/>
    <w:sig w:usb0="00000000" w:usb1="00000000" w:usb2="00000016" w:usb3="00000000" w:csb0="00100001" w:csb1="00000000"/>
  </w:font>
  <w:font w:name="Droid Sans Fallback">
    <w:panose1 w:val="020B0502000000000001"/>
    <w:charset w:val="86"/>
    <w:family w:val="auto"/>
    <w:pitch w:val="default"/>
    <w:sig w:usb0="910002FF" w:usb1="2BDFFCFB" w:usb2="00000036" w:usb3="00000000" w:csb0="203F01FF" w:csb1="D7FF0000"/>
  </w:font>
  <w:font w:name="Angsana New">
    <w:altName w:val="FreeSerif"/>
    <w:panose1 w:val="02020603050405020304"/>
    <w:charset w:val="DE"/>
    <w:family w:val="roman"/>
    <w:pitch w:val="default"/>
    <w:sig w:usb0="00000000" w:usb1="00000000" w:usb2="00000000" w:usb3="00000000" w:csb0="00010001" w:csb1="00000000"/>
  </w:font>
  <w:font w:name="华文细黑">
    <w:panose1 w:val="02010600040101010101"/>
    <w:charset w:val="86"/>
    <w:family w:val="auto"/>
    <w:pitch w:val="default"/>
    <w:sig w:usb0="00000287" w:usb1="080F0000" w:usb2="00000000" w:usb3="00000000" w:csb0="0004009F" w:csb1="DFD70000"/>
  </w:font>
  <w:font w:name="汉鼎简书宋">
    <w:altName w:val="宋体"/>
    <w:panose1 w:val="00000000000000000000"/>
    <w:charset w:val="86"/>
    <w:family w:val="modern"/>
    <w:pitch w:val="default"/>
    <w:sig w:usb0="00000000" w:usb1="00000000" w:usb2="00000010" w:usb3="00000000" w:csb0="00040000" w:csb1="00000000"/>
  </w:font>
  <w:font w:name="Book Antiqua">
    <w:altName w:val="FreeSerif"/>
    <w:panose1 w:val="02040602050305030304"/>
    <w:charset w:val="00"/>
    <w:family w:val="roman"/>
    <w:pitch w:val="default"/>
    <w:sig w:usb0="00000000" w:usb1="00000000" w:usb2="00000000" w:usb3="00000000" w:csb0="2000009F" w:csb1="DFD70000"/>
  </w:font>
  <w:font w:name="Arial Rounded MT Bold">
    <w:altName w:val="DejaVu Sans"/>
    <w:panose1 w:val="020F0704030504030204"/>
    <w:charset w:val="00"/>
    <w:family w:val="swiss"/>
    <w:pitch w:val="default"/>
    <w:sig w:usb0="00000000" w:usb1="00000000" w:usb2="00000000" w:usb3="00000000" w:csb0="20000001" w:csb1="00000000"/>
  </w:font>
  <w:font w:name="方正宋三简体">
    <w:altName w:val="黑体"/>
    <w:panose1 w:val="00000000000000000000"/>
    <w:charset w:val="86"/>
    <w:family w:val="auto"/>
    <w:pitch w:val="default"/>
    <w:sig w:usb0="00000000" w:usb1="00000000" w:usb2="00000010" w:usb3="00000000" w:csb0="00040000" w:csb1="00000000"/>
  </w:font>
  <w:font w:name="文鼎大标宋简">
    <w:altName w:val="微软雅黑"/>
    <w:panose1 w:val="00000000000000000000"/>
    <w:charset w:val="86"/>
    <w:family w:val="moder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汉鼎简特宋">
    <w:altName w:val="宋体"/>
    <w:panose1 w:val="00000000000000000000"/>
    <w:charset w:val="86"/>
    <w:family w:val="modern"/>
    <w:pitch w:val="default"/>
    <w:sig w:usb0="00000000" w:usb1="00000000" w:usb2="00000010" w:usb3="00000000" w:csb0="00040000" w:csb1="00000000"/>
  </w:font>
  <w:font w:name="Garamond">
    <w:altName w:val="OCR A Extended"/>
    <w:panose1 w:val="02020404030301010803"/>
    <w:charset w:val="00"/>
    <w:family w:val="roman"/>
    <w:pitch w:val="default"/>
    <w:sig w:usb0="00000000" w:usb1="00000000" w:usb2="00000000" w:usb3="00000000" w:csb0="0000009F" w:csb1="DFD70000"/>
  </w:font>
  <w:font w:name="OCR A Extended">
    <w:panose1 w:val="02010509020102010303"/>
    <w:charset w:val="00"/>
    <w:family w:val="auto"/>
    <w:pitch w:val="default"/>
    <w:sig w:usb0="00000003" w:usb1="00000000" w:usb2="00000000" w:usb3="00000000" w:csb0="20000001" w:csb1="00000000"/>
  </w:font>
  <w:font w:name="Batang">
    <w:altName w:val="宋体"/>
    <w:panose1 w:val="02030600000101010101"/>
    <w:charset w:val="81"/>
    <w:family w:val="roman"/>
    <w:pitch w:val="default"/>
    <w:sig w:usb0="00000000" w:usb1="00000000" w:usb2="00000030" w:usb3="00000000" w:csb0="0008009F" w:csb1="00000000"/>
  </w:font>
  <w:font w:name="MS Mincho">
    <w:altName w:val="宋体"/>
    <w:panose1 w:val="02020609040205080304"/>
    <w:charset w:val="80"/>
    <w:family w:val="modern"/>
    <w:pitch w:val="default"/>
    <w:sig w:usb0="00000000" w:usb1="00000000" w:usb2="00000010" w:usb3="00000000" w:csb0="4002009F" w:csb1="DFD70000"/>
  </w:font>
  <w:font w:name="inherit">
    <w:altName w:val="C059"/>
    <w:panose1 w:val="00000000000000000000"/>
    <w:charset w:val="00"/>
    <w:family w:val="roman"/>
    <w:pitch w:val="default"/>
    <w:sig w:usb0="00000000" w:usb1="00000000" w:usb2="00000000" w:usb3="00000000" w:csb0="00000001" w:csb1="00000000"/>
  </w:font>
  <w:font w:name="DFKai-SB">
    <w:altName w:val="宋体"/>
    <w:panose1 w:val="00000000000000000000"/>
    <w:charset w:val="88"/>
    <w:family w:val="script"/>
    <w:pitch w:val="default"/>
    <w:sig w:usb0="00000000" w:usb1="00000000" w:usb2="00000016" w:usb3="00000000" w:csb0="00100001" w:csb1="00000000"/>
  </w:font>
  <w:font w:name="文鼎CS中黑">
    <w:altName w:val="宋体"/>
    <w:panose1 w:val="00000000000000000000"/>
    <w:charset w:val="86"/>
    <w:family w:val="roma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華康中楷體">
    <w:altName w:val="楷体_GB2312"/>
    <w:panose1 w:val="00000000000000000000"/>
    <w:charset w:val="88"/>
    <w:family w:val="roman"/>
    <w:pitch w:val="default"/>
    <w:sig w:usb0="00000000" w:usb1="00000000" w:usb2="00000010" w:usb3="00000000" w:csb0="00100000" w:csb1="00000000"/>
  </w:font>
  <w:font w:name="华文行楷">
    <w:panose1 w:val="02010800040101010101"/>
    <w:charset w:val="86"/>
    <w:family w:val="auto"/>
    <w:pitch w:val="default"/>
    <w:sig w:usb0="00000001" w:usb1="080F0000" w:usb2="00000000" w:usb3="00000000" w:csb0="00040000" w:csb1="00000000"/>
  </w:font>
  <w:font w:name="Century">
    <w:altName w:val="FreeSerif"/>
    <w:panose1 w:val="02040604050505020304"/>
    <w:charset w:val="00"/>
    <w:family w:val="roman"/>
    <w:pitch w:val="default"/>
    <w:sig w:usb0="00000000" w:usb1="00000000" w:usb2="00000000" w:usb3="00000000" w:csb0="2000009F" w:csb1="DFD70000"/>
  </w:font>
  <w:font w:name="Symusic">
    <w:altName w:val="C059"/>
    <w:panose1 w:val="00000400000000000000"/>
    <w:charset w:val="00"/>
    <w:family w:val="auto"/>
    <w:pitch w:val="default"/>
    <w:sig w:usb0="00000000" w:usb1="00000000" w:usb2="00000000" w:usb3="00000000" w:csb0="000001FF" w:csb1="00000000"/>
  </w:font>
  <w:font w:name="文鼎CS书宋二">
    <w:altName w:val="宋体"/>
    <w:panose1 w:val="00000000000000000000"/>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Marlett">
    <w:altName w:val="MathJax_Vector"/>
    <w:panose1 w:val="00000000000000000000"/>
    <w:charset w:val="02"/>
    <w:family w:val="auto"/>
    <w:pitch w:val="default"/>
    <w:sig w:usb0="00000000" w:usb1="00000000" w:usb2="00000000" w:usb3="00000000" w:csb0="80000000" w:csb1="00000000"/>
  </w:font>
  <w:font w:name="Helvetica">
    <w:altName w:val="Liberation Sans"/>
    <w:panose1 w:val="020B0604020202020204"/>
    <w:charset w:val="00"/>
    <w:family w:val="swiss"/>
    <w:pitch w:val="default"/>
    <w:sig w:usb0="00000000" w:usb1="00000000" w:usb2="00000009" w:usb3="00000000" w:csb0="000001FF" w:csb1="00000000"/>
  </w:font>
  <w:font w:name="Wingdings 2">
    <w:altName w:val="MathJax_Vector"/>
    <w:panose1 w:val="05020102010507070707"/>
    <w:charset w:val="02"/>
    <w:family w:val="roman"/>
    <w:pitch w:val="default"/>
    <w:sig w:usb0="00000000" w:usb1="00000000" w:usb2="00000000" w:usb3="00000000" w:csb0="80000000" w:csb1="00000000"/>
  </w:font>
  <w:font w:name="Times New Roman Regular">
    <w:altName w:val="DejaVu Sans"/>
    <w:panose1 w:val="02020503050405090304"/>
    <w:charset w:val="00"/>
    <w:family w:val="auto"/>
    <w:pitch w:val="default"/>
    <w:sig w:usb0="00000000" w:usb1="00000000" w:usb2="00000001" w:usb3="00000000" w:csb0="400001BF" w:csb1="DFF70000"/>
  </w:font>
  <w:font w:name="Cambria Math">
    <w:altName w:val="DejaVu Math TeX Gyre"/>
    <w:panose1 w:val="02040503050406030204"/>
    <w:charset w:val="00"/>
    <w:family w:val="roman"/>
    <w:pitch w:val="default"/>
    <w:sig w:usb0="00000000" w:usb1="00000000" w:usb2="02000000" w:usb3="00000000" w:csb0="2000019F" w:csb1="00000000"/>
  </w:font>
  <w:font w:name="DejaVu Math TeX Gyre">
    <w:panose1 w:val="02000503000000000000"/>
    <w:charset w:val="00"/>
    <w:family w:val="auto"/>
    <w:pitch w:val="default"/>
    <w:sig w:usb0="A10000EF" w:usb1="4201F9EE" w:usb2="02000000" w:usb3="00000000" w:csb0="60000193" w:csb1="0DD40000"/>
  </w:font>
  <w:font w:name="Noto Sans CJK HK">
    <w:panose1 w:val="020B0500000000000000"/>
    <w:charset w:val="88"/>
    <w:family w:val="auto"/>
    <w:pitch w:val="default"/>
    <w:sig w:usb0="30000083" w:usb1="2BDF3C10" w:usb2="00000016" w:usb3="00000000" w:csb0="603A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framePr w:wrap="around" w:vAnchor="text" w:hAnchor="margin" w:xAlign="center" w:y="1"/>
      <w:rPr>
        <w:rStyle w:val="138"/>
      </w:rPr>
    </w:pPr>
    <w:r>
      <w:fldChar w:fldCharType="begin"/>
    </w:r>
    <w:r>
      <w:rPr>
        <w:rStyle w:val="138"/>
      </w:rPr>
      <w:instrText xml:space="preserve">PAGE  </w:instrText>
    </w:r>
    <w:r>
      <w:fldChar w:fldCharType="end"/>
    </w:r>
  </w:p>
  <w:p>
    <w:pPr>
      <w:pStyle w:val="57"/>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96</w:t>
    </w:r>
    <w:r>
      <w:rPr>
        <w:sz w:val="21"/>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jc w:val="center"/>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106</w:t>
    </w:r>
    <w:r>
      <w:rPr>
        <w:sz w:val="21"/>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147</w:t>
                          </w:r>
                          <w:r>
                            <w:rPr>
                              <w:sz w:val="21"/>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5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147</w:t>
                    </w:r>
                    <w:r>
                      <w:rPr>
                        <w:sz w:val="21"/>
                        <w:szCs w:val="2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6</w:t>
                          </w:r>
                          <w:r>
                            <w:rPr>
                              <w:sz w:val="21"/>
                              <w:szCs w:val="2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7"/>
                      <w:rPr>
                        <w:sz w:val="21"/>
                        <w:szCs w:val="22"/>
                      </w:rPr>
                    </w:pPr>
                    <w:r>
                      <w:rPr>
                        <w:sz w:val="21"/>
                        <w:szCs w:val="22"/>
                      </w:rPr>
                      <w:fldChar w:fldCharType="begin"/>
                    </w:r>
                    <w:r>
                      <w:rPr>
                        <w:sz w:val="21"/>
                        <w:szCs w:val="22"/>
                      </w:rPr>
                      <w:instrText xml:space="preserve"> PAGE  \* MERGEFORMAT </w:instrText>
                    </w:r>
                    <w:r>
                      <w:rPr>
                        <w:sz w:val="21"/>
                        <w:szCs w:val="22"/>
                      </w:rPr>
                      <w:fldChar w:fldCharType="separate"/>
                    </w:r>
                    <w:r>
                      <w:rPr>
                        <w:sz w:val="21"/>
                        <w:szCs w:val="22"/>
                      </w:rPr>
                      <w:t>6</w:t>
                    </w:r>
                    <w:r>
                      <w:rPr>
                        <w:sz w:val="21"/>
                        <w:szCs w:val="22"/>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FBFADD"/>
    <w:multiLevelType w:val="singleLevel"/>
    <w:tmpl w:val="B8FBFADD"/>
    <w:lvl w:ilvl="0" w:tentative="0">
      <w:start w:val="14"/>
      <w:numFmt w:val="decimal"/>
      <w:suff w:val="nothing"/>
      <w:lvlText w:val="%1）"/>
      <w:lvlJc w:val="left"/>
    </w:lvl>
  </w:abstractNum>
  <w:abstractNum w:abstractNumId="1">
    <w:nsid w:val="C93F3258"/>
    <w:multiLevelType w:val="singleLevel"/>
    <w:tmpl w:val="C93F3258"/>
    <w:lvl w:ilvl="0" w:tentative="0">
      <w:start w:val="11"/>
      <w:numFmt w:val="decimal"/>
      <w:suff w:val="nothing"/>
      <w:lvlText w:val="（%1）"/>
      <w:lvlJc w:val="left"/>
    </w:lvl>
  </w:abstractNum>
  <w:abstractNum w:abstractNumId="2">
    <w:nsid w:val="CA4E1AF0"/>
    <w:multiLevelType w:val="singleLevel"/>
    <w:tmpl w:val="CA4E1AF0"/>
    <w:lvl w:ilvl="0" w:tentative="0">
      <w:start w:val="1"/>
      <w:numFmt w:val="decimal"/>
      <w:suff w:val="nothing"/>
      <w:lvlText w:val="%1、"/>
      <w:lvlJc w:val="left"/>
    </w:lvl>
  </w:abstractNum>
  <w:abstractNum w:abstractNumId="3">
    <w:nsid w:val="CC3FBE51"/>
    <w:multiLevelType w:val="singleLevel"/>
    <w:tmpl w:val="CC3FBE51"/>
    <w:lvl w:ilvl="0" w:tentative="0">
      <w:start w:val="6"/>
      <w:numFmt w:val="decimal"/>
      <w:suff w:val="nothing"/>
      <w:lvlText w:val="（%1）"/>
      <w:lvlJc w:val="left"/>
    </w:lvl>
  </w:abstractNum>
  <w:abstractNum w:abstractNumId="4">
    <w:nsid w:val="CEF88FD6"/>
    <w:multiLevelType w:val="singleLevel"/>
    <w:tmpl w:val="CEF88FD6"/>
    <w:lvl w:ilvl="0" w:tentative="0">
      <w:start w:val="1"/>
      <w:numFmt w:val="decimal"/>
      <w:suff w:val="nothing"/>
      <w:lvlText w:val="%1、"/>
      <w:lvlJc w:val="left"/>
    </w:lvl>
  </w:abstractNum>
  <w:abstractNum w:abstractNumId="5">
    <w:nsid w:val="F3708EC8"/>
    <w:multiLevelType w:val="singleLevel"/>
    <w:tmpl w:val="F3708EC8"/>
    <w:lvl w:ilvl="0" w:tentative="0">
      <w:start w:val="1"/>
      <w:numFmt w:val="decimal"/>
      <w:lvlText w:val="%1."/>
      <w:lvlJc w:val="left"/>
      <w:pPr>
        <w:tabs>
          <w:tab w:val="left" w:pos="312"/>
        </w:tabs>
      </w:pPr>
    </w:lvl>
  </w:abstractNum>
  <w:abstractNum w:abstractNumId="6">
    <w:nsid w:val="F73B7665"/>
    <w:multiLevelType w:val="singleLevel"/>
    <w:tmpl w:val="F73B7665"/>
    <w:lvl w:ilvl="0" w:tentative="0">
      <w:start w:val="1"/>
      <w:numFmt w:val="decimal"/>
      <w:suff w:val="nothing"/>
      <w:lvlText w:val="（%1）"/>
      <w:lvlJc w:val="left"/>
    </w:lvl>
  </w:abstractNum>
  <w:abstractNum w:abstractNumId="7">
    <w:nsid w:val="00000024"/>
    <w:multiLevelType w:val="multilevel"/>
    <w:tmpl w:val="00000024"/>
    <w:lvl w:ilvl="0" w:tentative="0">
      <w:start w:val="1"/>
      <w:numFmt w:val="decimal"/>
      <w:lvlText w:val="%1"/>
      <w:lvlJc w:val="left"/>
      <w:pPr>
        <w:tabs>
          <w:tab w:val="left" w:pos="567"/>
        </w:tabs>
        <w:ind w:left="567" w:hanging="432"/>
      </w:pPr>
      <w:rPr>
        <w:rFonts w:hint="eastAsia"/>
        <w:b/>
        <w:i w:val="0"/>
        <w:sz w:val="32"/>
      </w:rPr>
    </w:lvl>
    <w:lvl w:ilvl="1" w:tentative="0">
      <w:start w:val="1"/>
      <w:numFmt w:val="decimal"/>
      <w:lvlText w:val="%1.%2"/>
      <w:lvlJc w:val="left"/>
      <w:pPr>
        <w:tabs>
          <w:tab w:val="left" w:pos="576"/>
        </w:tabs>
        <w:ind w:left="576" w:hanging="576"/>
      </w:pPr>
      <w:rPr>
        <w:rFonts w:hint="eastAsia"/>
        <w:b/>
        <w:i w:val="0"/>
        <w:sz w:val="28"/>
        <w:szCs w:val="28"/>
      </w:rPr>
    </w:lvl>
    <w:lvl w:ilvl="2" w:tentative="0">
      <w:start w:val="1"/>
      <w:numFmt w:val="decimal"/>
      <w:pStyle w:val="3690"/>
      <w:suff w:val="space"/>
      <w:lvlText w:val="%1.%2.%3"/>
      <w:lvlJc w:val="left"/>
      <w:pPr>
        <w:ind w:left="0" w:firstLine="0"/>
      </w:pPr>
      <w:rPr>
        <w:rFonts w:hint="eastAsia"/>
        <w:b/>
        <w:i w:val="0"/>
        <w:sz w:val="24"/>
        <w:szCs w:val="24"/>
      </w:rPr>
    </w:lvl>
    <w:lvl w:ilvl="3" w:tentative="0">
      <w:start w:val="1"/>
      <w:numFmt w:val="decimal"/>
      <w:pStyle w:val="2554"/>
      <w:lvlText w:val="%1.%2.%3.%4"/>
      <w:lvlJc w:val="left"/>
      <w:pPr>
        <w:tabs>
          <w:tab w:val="left" w:pos="864"/>
        </w:tabs>
        <w:ind w:left="864" w:hanging="864"/>
      </w:pPr>
      <w:rPr>
        <w:rFonts w:hint="eastAsia"/>
        <w:b/>
        <w:i w:val="0"/>
        <w:sz w:val="24"/>
        <w:szCs w:val="24"/>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8">
    <w:nsid w:val="01BB2101"/>
    <w:multiLevelType w:val="multilevel"/>
    <w:tmpl w:val="01BB2101"/>
    <w:lvl w:ilvl="0" w:tentative="0">
      <w:start w:val="1"/>
      <w:numFmt w:val="decimal"/>
      <w:lvlText w:val="%1、"/>
      <w:lvlJc w:val="left"/>
      <w:pPr>
        <w:ind w:left="360" w:hanging="360"/>
      </w:pPr>
      <w:rPr>
        <w:rFonts w:hint="default"/>
      </w:rPr>
    </w:lvl>
    <w:lvl w:ilvl="1" w:tentative="0">
      <w:start w:val="1"/>
      <w:numFmt w:val="lowerLetter"/>
      <w:pStyle w:val="465"/>
      <w:lvlText w:val="%2)"/>
      <w:lvlJc w:val="left"/>
      <w:pPr>
        <w:ind w:left="840" w:hanging="420"/>
      </w:pPr>
    </w:lvl>
    <w:lvl w:ilvl="2" w:tentative="0">
      <w:start w:val="1"/>
      <w:numFmt w:val="lowerRoman"/>
      <w:pStyle w:val="436"/>
      <w:lvlText w:val="%3."/>
      <w:lvlJc w:val="right"/>
      <w:pPr>
        <w:ind w:left="1260" w:hanging="420"/>
      </w:pPr>
    </w:lvl>
    <w:lvl w:ilvl="3" w:tentative="0">
      <w:start w:val="1"/>
      <w:numFmt w:val="decimal"/>
      <w:pStyle w:val="358"/>
      <w:lvlText w:val="%4."/>
      <w:lvlJc w:val="left"/>
      <w:pPr>
        <w:ind w:left="1680" w:hanging="420"/>
      </w:pPr>
    </w:lvl>
    <w:lvl w:ilvl="4" w:tentative="0">
      <w:start w:val="1"/>
      <w:numFmt w:val="lowerLetter"/>
      <w:pStyle w:val="450"/>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DE40545"/>
    <w:multiLevelType w:val="multilevel"/>
    <w:tmpl w:val="0DE40545"/>
    <w:lvl w:ilvl="0" w:tentative="0">
      <w:start w:val="1"/>
      <w:numFmt w:val="decimal"/>
      <w:pStyle w:val="2836"/>
      <w:lvlText w:val="%1"/>
      <w:lvlJc w:val="left"/>
      <w:pPr>
        <w:ind w:left="425" w:hanging="425"/>
      </w:pPr>
    </w:lvl>
    <w:lvl w:ilvl="1" w:tentative="0">
      <w:start w:val="1"/>
      <w:numFmt w:val="decimal"/>
      <w:lvlText w:val="%1.%2"/>
      <w:lvlJc w:val="left"/>
      <w:pPr>
        <w:ind w:left="992" w:hanging="567"/>
      </w:pPr>
    </w:lvl>
    <w:lvl w:ilvl="2" w:tentative="0">
      <w:start w:val="1"/>
      <w:numFmt w:val="decimal"/>
      <w:pStyle w:val="2922"/>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0">
    <w:nsid w:val="0E021973"/>
    <w:multiLevelType w:val="multilevel"/>
    <w:tmpl w:val="0E021973"/>
    <w:lvl w:ilvl="0" w:tentative="0">
      <w:start w:val="1"/>
      <w:numFmt w:val="decimal"/>
      <w:lvlText w:val="%1"/>
      <w:lvlJc w:val="left"/>
      <w:pPr>
        <w:ind w:left="425" w:hanging="425"/>
      </w:pPr>
      <w:rPr>
        <w:rFonts w:hint="eastAsia"/>
      </w:rPr>
    </w:lvl>
    <w:lvl w:ilvl="1" w:tentative="0">
      <w:start w:val="1"/>
      <w:numFmt w:val="decimal"/>
      <w:lvlText w:val="%1.%2"/>
      <w:lvlJc w:val="left"/>
      <w:pPr>
        <w:ind w:left="425" w:hanging="425"/>
      </w:pPr>
      <w:rPr>
        <w:rFonts w:hint="eastAsia"/>
      </w:rPr>
    </w:lvl>
    <w:lvl w:ilvl="2" w:tentative="0">
      <w:start w:val="1"/>
      <w:numFmt w:val="decimal"/>
      <w:pStyle w:val="3037"/>
      <w:lvlText w:val="%1.%2.%3"/>
      <w:lvlJc w:val="left"/>
      <w:pPr>
        <w:ind w:left="425" w:firstLine="426"/>
      </w:pPr>
      <w:rPr>
        <w:rFonts w:hint="eastAsia"/>
      </w:rPr>
    </w:lvl>
    <w:lvl w:ilvl="3" w:tentative="0">
      <w:start w:val="1"/>
      <w:numFmt w:val="decimal"/>
      <w:lvlText w:val="%1.%2.%3.%4"/>
      <w:lvlJc w:val="left"/>
      <w:pPr>
        <w:ind w:left="425" w:firstLine="709"/>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1">
    <w:nsid w:val="1062301A"/>
    <w:multiLevelType w:val="multilevel"/>
    <w:tmpl w:val="1062301A"/>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pStyle w:val="2638"/>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2">
    <w:nsid w:val="174B5B23"/>
    <w:multiLevelType w:val="multilevel"/>
    <w:tmpl w:val="174B5B23"/>
    <w:lvl w:ilvl="0" w:tentative="0">
      <w:start w:val="1"/>
      <w:numFmt w:val="decimal"/>
      <w:pStyle w:val="2732"/>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18FE0DEB"/>
    <w:multiLevelType w:val="multilevel"/>
    <w:tmpl w:val="18FE0DEB"/>
    <w:lvl w:ilvl="0" w:tentative="0">
      <w:start w:val="1"/>
      <w:numFmt w:val="decimal"/>
      <w:pStyle w:val="2783"/>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4">
    <w:nsid w:val="20D712D6"/>
    <w:multiLevelType w:val="singleLevel"/>
    <w:tmpl w:val="20D712D6"/>
    <w:lvl w:ilvl="0" w:tentative="0">
      <w:start w:val="2"/>
      <w:numFmt w:val="decimal"/>
      <w:suff w:val="nothing"/>
      <w:lvlText w:val="%1、"/>
      <w:lvlJc w:val="left"/>
      <w:pPr>
        <w:ind w:left="-62"/>
      </w:pPr>
    </w:lvl>
  </w:abstractNum>
  <w:abstractNum w:abstractNumId="15">
    <w:nsid w:val="2677165C"/>
    <w:multiLevelType w:val="singleLevel"/>
    <w:tmpl w:val="2677165C"/>
    <w:lvl w:ilvl="0" w:tentative="0">
      <w:start w:val="3"/>
      <w:numFmt w:val="decimal"/>
      <w:suff w:val="nothing"/>
      <w:lvlText w:val="（%1）"/>
      <w:lvlJc w:val="left"/>
    </w:lvl>
  </w:abstractNum>
  <w:abstractNum w:abstractNumId="16">
    <w:nsid w:val="280E4833"/>
    <w:multiLevelType w:val="multilevel"/>
    <w:tmpl w:val="280E4833"/>
    <w:lvl w:ilvl="0" w:tentative="0">
      <w:start w:val="1"/>
      <w:numFmt w:val="decimal"/>
      <w:pStyle w:val="2397"/>
      <w:lvlText w:val="（%1）"/>
      <w:lvlJc w:val="left"/>
      <w:pPr>
        <w:tabs>
          <w:tab w:val="left" w:pos="1828"/>
        </w:tabs>
        <w:ind w:left="0" w:firstLine="567"/>
      </w:pPr>
      <w:rPr>
        <w:rFonts w:hint="default"/>
      </w:rPr>
    </w:lvl>
    <w:lvl w:ilvl="1" w:tentative="0">
      <w:start w:val="1"/>
      <w:numFmt w:val="lowerLetter"/>
      <w:lvlText w:val="%2)"/>
      <w:lvlJc w:val="left"/>
      <w:pPr>
        <w:tabs>
          <w:tab w:val="left" w:pos="1828"/>
        </w:tabs>
        <w:ind w:left="0" w:firstLine="0"/>
      </w:pPr>
      <w:rPr>
        <w:rFonts w:hint="eastAsia"/>
      </w:rPr>
    </w:lvl>
    <w:lvl w:ilvl="2" w:tentative="0">
      <w:start w:val="1"/>
      <w:numFmt w:val="lowerRoman"/>
      <w:lvlText w:val="%3."/>
      <w:lvlJc w:val="right"/>
      <w:pPr>
        <w:tabs>
          <w:tab w:val="left" w:pos="1828"/>
        </w:tabs>
        <w:ind w:left="0" w:firstLine="0"/>
      </w:pPr>
      <w:rPr>
        <w:rFonts w:hint="eastAsia"/>
      </w:rPr>
    </w:lvl>
    <w:lvl w:ilvl="3" w:tentative="0">
      <w:start w:val="1"/>
      <w:numFmt w:val="decimal"/>
      <w:lvlText w:val="%4."/>
      <w:lvlJc w:val="left"/>
      <w:pPr>
        <w:tabs>
          <w:tab w:val="left" w:pos="1828"/>
        </w:tabs>
        <w:ind w:left="0" w:firstLine="0"/>
      </w:pPr>
      <w:rPr>
        <w:rFonts w:hint="eastAsia"/>
      </w:rPr>
    </w:lvl>
    <w:lvl w:ilvl="4" w:tentative="0">
      <w:start w:val="1"/>
      <w:numFmt w:val="lowerLetter"/>
      <w:lvlText w:val="%5)"/>
      <w:lvlJc w:val="left"/>
      <w:pPr>
        <w:tabs>
          <w:tab w:val="left" w:pos="1828"/>
        </w:tabs>
        <w:ind w:left="0" w:firstLine="0"/>
      </w:pPr>
      <w:rPr>
        <w:rFonts w:hint="eastAsia"/>
      </w:rPr>
    </w:lvl>
    <w:lvl w:ilvl="5" w:tentative="0">
      <w:start w:val="1"/>
      <w:numFmt w:val="lowerRoman"/>
      <w:lvlText w:val="%6."/>
      <w:lvlJc w:val="right"/>
      <w:pPr>
        <w:tabs>
          <w:tab w:val="left" w:pos="1828"/>
        </w:tabs>
        <w:ind w:left="0" w:firstLine="0"/>
      </w:pPr>
      <w:rPr>
        <w:rFonts w:hint="eastAsia"/>
      </w:rPr>
    </w:lvl>
    <w:lvl w:ilvl="6" w:tentative="0">
      <w:start w:val="1"/>
      <w:numFmt w:val="decimal"/>
      <w:lvlText w:val="%7."/>
      <w:lvlJc w:val="left"/>
      <w:pPr>
        <w:tabs>
          <w:tab w:val="left" w:pos="1828"/>
        </w:tabs>
        <w:ind w:left="0" w:firstLine="0"/>
      </w:pPr>
      <w:rPr>
        <w:rFonts w:hint="eastAsia"/>
      </w:rPr>
    </w:lvl>
    <w:lvl w:ilvl="7" w:tentative="0">
      <w:start w:val="1"/>
      <w:numFmt w:val="lowerLetter"/>
      <w:lvlText w:val="%8)"/>
      <w:lvlJc w:val="left"/>
      <w:pPr>
        <w:tabs>
          <w:tab w:val="left" w:pos="1828"/>
        </w:tabs>
        <w:ind w:left="0" w:firstLine="0"/>
      </w:pPr>
      <w:rPr>
        <w:rFonts w:hint="eastAsia"/>
      </w:rPr>
    </w:lvl>
    <w:lvl w:ilvl="8" w:tentative="0">
      <w:start w:val="1"/>
      <w:numFmt w:val="lowerRoman"/>
      <w:lvlText w:val="%9."/>
      <w:lvlJc w:val="right"/>
      <w:pPr>
        <w:tabs>
          <w:tab w:val="left" w:pos="1828"/>
        </w:tabs>
        <w:ind w:left="0" w:firstLine="0"/>
      </w:pPr>
      <w:rPr>
        <w:rFonts w:hint="eastAsia"/>
      </w:rPr>
    </w:lvl>
  </w:abstractNum>
  <w:abstractNum w:abstractNumId="17">
    <w:nsid w:val="2DD630D3"/>
    <w:multiLevelType w:val="multilevel"/>
    <w:tmpl w:val="2DD630D3"/>
    <w:lvl w:ilvl="0" w:tentative="0">
      <w:start w:val="1"/>
      <w:numFmt w:val="decimal"/>
      <w:lvlText w:val="（%1）"/>
      <w:lvlJc w:val="left"/>
      <w:pPr>
        <w:tabs>
          <w:tab w:val="left" w:pos="6647"/>
        </w:tabs>
        <w:ind w:left="6647" w:hanging="12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247"/>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3382BAA2"/>
    <w:multiLevelType w:val="singleLevel"/>
    <w:tmpl w:val="3382BAA2"/>
    <w:lvl w:ilvl="0" w:tentative="0">
      <w:start w:val="3"/>
      <w:numFmt w:val="upperLetter"/>
      <w:suff w:val="nothing"/>
      <w:lvlText w:val="%1-"/>
      <w:lvlJc w:val="left"/>
    </w:lvl>
  </w:abstractNum>
  <w:abstractNum w:abstractNumId="19">
    <w:nsid w:val="46433F12"/>
    <w:multiLevelType w:val="multilevel"/>
    <w:tmpl w:val="46433F12"/>
    <w:lvl w:ilvl="0" w:tentative="0">
      <w:start w:val="1"/>
      <w:numFmt w:val="decimal"/>
      <w:pStyle w:val="842"/>
      <w:lvlText w:val="%1"/>
      <w:lvlJc w:val="left"/>
      <w:pPr>
        <w:ind w:left="425" w:hanging="425"/>
      </w:pPr>
      <w:rPr>
        <w:rFonts w:hint="eastAsia"/>
      </w:rPr>
    </w:lvl>
    <w:lvl w:ilvl="1" w:tentative="0">
      <w:start w:val="1"/>
      <w:numFmt w:val="decimal"/>
      <w:pStyle w:val="843"/>
      <w:lvlText w:val="%1.%2"/>
      <w:lvlJc w:val="left"/>
      <w:pPr>
        <w:ind w:left="425" w:hanging="425"/>
      </w:pPr>
      <w:rPr>
        <w:rFonts w:hint="eastAsia"/>
      </w:rPr>
    </w:lvl>
    <w:lvl w:ilvl="2" w:tentative="0">
      <w:start w:val="1"/>
      <w:numFmt w:val="decimal"/>
      <w:pStyle w:val="984"/>
      <w:lvlText w:val="%1.%2.%3"/>
      <w:lvlJc w:val="left"/>
      <w:pPr>
        <w:tabs>
          <w:tab w:val="left" w:pos="567"/>
        </w:tabs>
        <w:ind w:left="425" w:firstLine="142"/>
      </w:pPr>
      <w:rPr>
        <w:rFonts w:hint="eastAsia"/>
      </w:rPr>
    </w:lvl>
    <w:lvl w:ilvl="3" w:tentative="0">
      <w:start w:val="1"/>
      <w:numFmt w:val="decimal"/>
      <w:pStyle w:val="976"/>
      <w:lvlText w:val="%1.%2.%3.%4"/>
      <w:lvlJc w:val="left"/>
      <w:pPr>
        <w:ind w:left="425" w:firstLine="142"/>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0">
    <w:nsid w:val="481C1EDF"/>
    <w:multiLevelType w:val="multilevel"/>
    <w:tmpl w:val="481C1EDF"/>
    <w:lvl w:ilvl="0" w:tentative="0">
      <w:start w:val="1"/>
      <w:numFmt w:val="bullet"/>
      <w:lvlText w:val="-"/>
      <w:lvlJc w:val="left"/>
      <w:pPr>
        <w:ind w:left="360" w:hanging="360"/>
      </w:pPr>
      <w:rPr>
        <w:rFonts w:hint="default" w:ascii="Times New Roman" w:hAnsi="Times New Roman" w:eastAsia="宋体" w:cs="Times New Roman"/>
      </w:rPr>
    </w:lvl>
    <w:lvl w:ilvl="1" w:tentative="0">
      <w:start w:val="1"/>
      <w:numFmt w:val="bullet"/>
      <w:lvlText w:val=""/>
      <w:lvlJc w:val="left"/>
      <w:pPr>
        <w:ind w:left="840" w:hanging="420"/>
      </w:pPr>
      <w:rPr>
        <w:rFonts w:hint="default" w:ascii="Wingdings" w:hAnsi="Wingdings"/>
      </w:rPr>
    </w:lvl>
    <w:lvl w:ilvl="2" w:tentative="0">
      <w:start w:val="1"/>
      <w:numFmt w:val="bullet"/>
      <w:pStyle w:val="2569"/>
      <w:lvlText w:val=""/>
      <w:lvlJc w:val="left"/>
      <w:pPr>
        <w:ind w:left="1260" w:hanging="420"/>
      </w:pPr>
      <w:rPr>
        <w:rFonts w:hint="default" w:ascii="Wingdings" w:hAnsi="Wingdings"/>
      </w:rPr>
    </w:lvl>
    <w:lvl w:ilvl="3" w:tentative="0">
      <w:start w:val="1"/>
      <w:numFmt w:val="bullet"/>
      <w:pStyle w:val="2513"/>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4C12188D"/>
    <w:multiLevelType w:val="multilevel"/>
    <w:tmpl w:val="4C12188D"/>
    <w:lvl w:ilvl="0" w:tentative="0">
      <w:start w:val="1"/>
      <w:numFmt w:val="decimal"/>
      <w:pStyle w:val="3108"/>
      <w:lvlText w:val="%1"/>
      <w:lvlJc w:val="left"/>
      <w:pPr>
        <w:ind w:left="425" w:hanging="425"/>
      </w:pPr>
      <w:rPr>
        <w:rFonts w:hint="eastAsia"/>
      </w:rPr>
    </w:lvl>
    <w:lvl w:ilvl="1" w:tentative="0">
      <w:start w:val="1"/>
      <w:numFmt w:val="decimal"/>
      <w:lvlText w:val="%1.%2"/>
      <w:lvlJc w:val="left"/>
      <w:pPr>
        <w:ind w:left="425" w:hanging="425"/>
      </w:pPr>
      <w:rPr>
        <w:rFonts w:hint="eastAsia"/>
      </w:rPr>
    </w:lvl>
    <w:lvl w:ilvl="2" w:tentative="0">
      <w:start w:val="1"/>
      <w:numFmt w:val="decimal"/>
      <w:pStyle w:val="3042"/>
      <w:lvlText w:val="%1.%2.%3"/>
      <w:lvlJc w:val="left"/>
      <w:pPr>
        <w:tabs>
          <w:tab w:val="left" w:pos="567"/>
        </w:tabs>
        <w:ind w:left="425" w:firstLine="142"/>
      </w:pPr>
      <w:rPr>
        <w:rFonts w:hint="eastAsia"/>
      </w:rPr>
    </w:lvl>
    <w:lvl w:ilvl="3" w:tentative="0">
      <w:start w:val="1"/>
      <w:numFmt w:val="decimal"/>
      <w:pStyle w:val="3041"/>
      <w:lvlText w:val="%1.%2.%3.%4"/>
      <w:lvlJc w:val="left"/>
      <w:pPr>
        <w:ind w:left="425" w:firstLine="142"/>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03A0951"/>
    <w:multiLevelType w:val="multilevel"/>
    <w:tmpl w:val="503A0951"/>
    <w:lvl w:ilvl="0" w:tentative="0">
      <w:start w:val="1"/>
      <w:numFmt w:val="decimal"/>
      <w:pStyle w:val="3876"/>
      <w:lvlText w:val="%1"/>
      <w:lvlJc w:val="left"/>
      <w:pPr>
        <w:ind w:left="425" w:hanging="425"/>
      </w:pPr>
      <w:rPr>
        <w:rFonts w:hint="eastAsia" w:eastAsia="宋体"/>
        <w:b/>
        <w:i w:val="0"/>
        <w:sz w:val="36"/>
      </w:rPr>
    </w:lvl>
    <w:lvl w:ilvl="1" w:tentative="0">
      <w:start w:val="1"/>
      <w:numFmt w:val="decimal"/>
      <w:lvlText w:val="%1.%2"/>
      <w:lvlJc w:val="left"/>
      <w:pPr>
        <w:ind w:left="425" w:hanging="425"/>
      </w:pPr>
      <w:rPr>
        <w:rFonts w:hint="eastAsia" w:eastAsia="宋体"/>
        <w:b/>
        <w:i w:val="0"/>
        <w:sz w:val="32"/>
      </w:rPr>
    </w:lvl>
    <w:lvl w:ilvl="2" w:tentative="0">
      <w:start w:val="1"/>
      <w:numFmt w:val="decimal"/>
      <w:lvlText w:val="%1.%2.%3"/>
      <w:lvlJc w:val="left"/>
      <w:pPr>
        <w:tabs>
          <w:tab w:val="left" w:pos="567"/>
        </w:tabs>
        <w:ind w:left="425" w:firstLine="142"/>
      </w:pPr>
      <w:rPr>
        <w:rFonts w:hint="eastAsia" w:eastAsia="宋体"/>
        <w:b/>
        <w:i w:val="0"/>
        <w:sz w:val="30"/>
      </w:rPr>
    </w:lvl>
    <w:lvl w:ilvl="3" w:tentative="0">
      <w:start w:val="1"/>
      <w:numFmt w:val="decimal"/>
      <w:lvlText w:val="%1.%2.%3.%4"/>
      <w:lvlJc w:val="left"/>
      <w:pPr>
        <w:ind w:left="425" w:firstLine="142"/>
      </w:pPr>
      <w:rPr>
        <w:rFonts w:hint="eastAsia" w:eastAsia="宋体"/>
        <w:b/>
        <w:i w:val="0"/>
        <w:sz w:val="28"/>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3">
    <w:nsid w:val="57EA72A0"/>
    <w:multiLevelType w:val="multilevel"/>
    <w:tmpl w:val="57EA72A0"/>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pStyle w:val="3676"/>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24">
    <w:nsid w:val="5E0403E7"/>
    <w:multiLevelType w:val="multilevel"/>
    <w:tmpl w:val="5E0403E7"/>
    <w:lvl w:ilvl="0" w:tentative="0">
      <w:start w:val="1"/>
      <w:numFmt w:val="decimal"/>
      <w:pStyle w:val="2459"/>
      <w:lvlText w:val="（%1）"/>
      <w:lvlJc w:val="left"/>
      <w:pPr>
        <w:ind w:left="986" w:hanging="420"/>
      </w:pPr>
      <w:rPr>
        <w:rFonts w:hint="eastAsia"/>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5E727090"/>
    <w:multiLevelType w:val="singleLevel"/>
    <w:tmpl w:val="5E727090"/>
    <w:lvl w:ilvl="0" w:tentative="0">
      <w:start w:val="2"/>
      <w:numFmt w:val="decimal"/>
      <w:suff w:val="nothing"/>
      <w:lvlText w:val="%1）"/>
      <w:lvlJc w:val="left"/>
    </w:lvl>
  </w:abstractNum>
  <w:abstractNum w:abstractNumId="26">
    <w:nsid w:val="5F365550"/>
    <w:multiLevelType w:val="multilevel"/>
    <w:tmpl w:val="5F365550"/>
    <w:lvl w:ilvl="0" w:tentative="0">
      <w:start w:val="1"/>
      <w:numFmt w:val="decimal"/>
      <w:lvlText w:val="（%1）"/>
      <w:lvlJc w:val="left"/>
      <w:pPr>
        <w:tabs>
          <w:tab w:val="left" w:pos="1828"/>
        </w:tabs>
        <w:ind w:left="0" w:firstLine="567"/>
      </w:pPr>
      <w:rPr>
        <w:rFonts w:hint="default"/>
      </w:rPr>
    </w:lvl>
    <w:lvl w:ilvl="1" w:tentative="0">
      <w:start w:val="1"/>
      <w:numFmt w:val="lowerLetter"/>
      <w:lvlText w:val="%2)"/>
      <w:lvlJc w:val="left"/>
      <w:pPr>
        <w:tabs>
          <w:tab w:val="left" w:pos="1828"/>
        </w:tabs>
        <w:ind w:left="0" w:firstLine="0"/>
      </w:pPr>
      <w:rPr>
        <w:rFonts w:hint="eastAsia"/>
      </w:rPr>
    </w:lvl>
    <w:lvl w:ilvl="2" w:tentative="0">
      <w:start w:val="1"/>
      <w:numFmt w:val="lowerRoman"/>
      <w:pStyle w:val="2426"/>
      <w:lvlText w:val="%3."/>
      <w:lvlJc w:val="right"/>
      <w:pPr>
        <w:tabs>
          <w:tab w:val="left" w:pos="1828"/>
        </w:tabs>
        <w:ind w:left="0" w:firstLine="0"/>
      </w:pPr>
      <w:rPr>
        <w:rFonts w:hint="eastAsia"/>
      </w:rPr>
    </w:lvl>
    <w:lvl w:ilvl="3" w:tentative="0">
      <w:start w:val="1"/>
      <w:numFmt w:val="decimal"/>
      <w:pStyle w:val="2578"/>
      <w:lvlText w:val="%4."/>
      <w:lvlJc w:val="left"/>
      <w:pPr>
        <w:tabs>
          <w:tab w:val="left" w:pos="1828"/>
        </w:tabs>
        <w:ind w:left="0" w:firstLine="0"/>
      </w:pPr>
      <w:rPr>
        <w:rFonts w:hint="eastAsia"/>
      </w:rPr>
    </w:lvl>
    <w:lvl w:ilvl="4" w:tentative="0">
      <w:start w:val="1"/>
      <w:numFmt w:val="lowerLetter"/>
      <w:lvlText w:val="%5)"/>
      <w:lvlJc w:val="left"/>
      <w:pPr>
        <w:tabs>
          <w:tab w:val="left" w:pos="1828"/>
        </w:tabs>
        <w:ind w:left="0" w:firstLine="0"/>
      </w:pPr>
      <w:rPr>
        <w:rFonts w:hint="eastAsia"/>
      </w:rPr>
    </w:lvl>
    <w:lvl w:ilvl="5" w:tentative="0">
      <w:start w:val="1"/>
      <w:numFmt w:val="lowerRoman"/>
      <w:lvlText w:val="%6."/>
      <w:lvlJc w:val="right"/>
      <w:pPr>
        <w:tabs>
          <w:tab w:val="left" w:pos="1828"/>
        </w:tabs>
        <w:ind w:left="0" w:firstLine="0"/>
      </w:pPr>
      <w:rPr>
        <w:rFonts w:hint="eastAsia"/>
      </w:rPr>
    </w:lvl>
    <w:lvl w:ilvl="6" w:tentative="0">
      <w:start w:val="1"/>
      <w:numFmt w:val="decimal"/>
      <w:lvlText w:val="%7."/>
      <w:lvlJc w:val="left"/>
      <w:pPr>
        <w:tabs>
          <w:tab w:val="left" w:pos="1828"/>
        </w:tabs>
        <w:ind w:left="0" w:firstLine="0"/>
      </w:pPr>
      <w:rPr>
        <w:rFonts w:hint="eastAsia"/>
      </w:rPr>
    </w:lvl>
    <w:lvl w:ilvl="7" w:tentative="0">
      <w:start w:val="1"/>
      <w:numFmt w:val="lowerLetter"/>
      <w:lvlText w:val="%8)"/>
      <w:lvlJc w:val="left"/>
      <w:pPr>
        <w:tabs>
          <w:tab w:val="left" w:pos="1828"/>
        </w:tabs>
        <w:ind w:left="0" w:firstLine="0"/>
      </w:pPr>
      <w:rPr>
        <w:rFonts w:hint="eastAsia"/>
      </w:rPr>
    </w:lvl>
    <w:lvl w:ilvl="8" w:tentative="0">
      <w:start w:val="1"/>
      <w:numFmt w:val="lowerRoman"/>
      <w:lvlText w:val="%9."/>
      <w:lvlJc w:val="right"/>
      <w:pPr>
        <w:tabs>
          <w:tab w:val="left" w:pos="1828"/>
        </w:tabs>
        <w:ind w:left="0" w:firstLine="0"/>
      </w:pPr>
      <w:rPr>
        <w:rFonts w:hint="eastAsia"/>
      </w:rPr>
    </w:lvl>
  </w:abstractNum>
  <w:abstractNum w:abstractNumId="27">
    <w:nsid w:val="620BA822"/>
    <w:multiLevelType w:val="singleLevel"/>
    <w:tmpl w:val="620BA822"/>
    <w:lvl w:ilvl="0" w:tentative="0">
      <w:start w:val="6"/>
      <w:numFmt w:val="decimal"/>
      <w:suff w:val="nothing"/>
      <w:lvlText w:val="%1）"/>
      <w:lvlJc w:val="left"/>
    </w:lvl>
  </w:abstractNum>
  <w:abstractNum w:abstractNumId="28">
    <w:nsid w:val="628A14E2"/>
    <w:multiLevelType w:val="multilevel"/>
    <w:tmpl w:val="628A14E2"/>
    <w:lvl w:ilvl="0" w:tentative="0">
      <w:start w:val="1"/>
      <w:numFmt w:val="decimal"/>
      <w:lvlText w:val="表%1"/>
      <w:lvlJc w:val="left"/>
      <w:pPr>
        <w:ind w:left="432" w:hanging="432"/>
      </w:pPr>
      <w:rPr>
        <w:rFonts w:hint="default"/>
      </w:rPr>
    </w:lvl>
    <w:lvl w:ilvl="1" w:tentative="0">
      <w:start w:val="1"/>
      <w:numFmt w:val="decimal"/>
      <w:pStyle w:val="4"/>
      <w:lvlText w:val="%1.%2"/>
      <w:lvlJc w:val="left"/>
      <w:pPr>
        <w:ind w:left="576" w:hanging="576"/>
      </w:pPr>
    </w:lvl>
    <w:lvl w:ilvl="2" w:tentative="0">
      <w:start w:val="1"/>
      <w:numFmt w:val="decimal"/>
      <w:pStyle w:val="5"/>
      <w:lvlText w:val="%1.%2.%3"/>
      <w:lvlJc w:val="left"/>
      <w:pPr>
        <w:ind w:left="720" w:hanging="720"/>
      </w:pPr>
    </w:lvl>
    <w:lvl w:ilvl="3" w:tentative="0">
      <w:start w:val="1"/>
      <w:numFmt w:val="decimal"/>
      <w:pStyle w:val="6"/>
      <w:lvlText w:val="%1.%2.%3.%4"/>
      <w:lvlJc w:val="left"/>
      <w:pPr>
        <w:ind w:left="864" w:hanging="864"/>
      </w:pPr>
    </w:lvl>
    <w:lvl w:ilvl="4" w:tentative="0">
      <w:start w:val="1"/>
      <w:numFmt w:val="decimal"/>
      <w:pStyle w:val="7"/>
      <w:lvlText w:val="%1.%2.%3.%4.%5"/>
      <w:lvlJc w:val="left"/>
      <w:pPr>
        <w:ind w:left="1008" w:hanging="1008"/>
      </w:pPr>
    </w:lvl>
    <w:lvl w:ilvl="5" w:tentative="0">
      <w:start w:val="1"/>
      <w:numFmt w:val="decimal"/>
      <w:pStyle w:val="8"/>
      <w:lvlText w:val="%1.%2.%3.%4.%5.%6"/>
      <w:lvlJc w:val="left"/>
      <w:pPr>
        <w:ind w:left="3562" w:hanging="1152"/>
      </w:pPr>
    </w:lvl>
    <w:lvl w:ilvl="6" w:tentative="0">
      <w:start w:val="1"/>
      <w:numFmt w:val="decimal"/>
      <w:pStyle w:val="9"/>
      <w:lvlText w:val="%1.%2.%3.%4.%5.%6.%7"/>
      <w:lvlJc w:val="left"/>
      <w:pPr>
        <w:ind w:left="1296" w:hanging="1296"/>
      </w:pPr>
    </w:lvl>
    <w:lvl w:ilvl="7" w:tentative="0">
      <w:start w:val="1"/>
      <w:numFmt w:val="decimal"/>
      <w:pStyle w:val="12"/>
      <w:lvlText w:val="%1.%2.%3.%4.%5.%6.%7.%8"/>
      <w:lvlJc w:val="left"/>
      <w:pPr>
        <w:ind w:left="1440" w:hanging="1440"/>
      </w:pPr>
    </w:lvl>
    <w:lvl w:ilvl="8" w:tentative="0">
      <w:start w:val="1"/>
      <w:numFmt w:val="decimal"/>
      <w:pStyle w:val="13"/>
      <w:lvlText w:val="%1.%2.%3.%4.%5.%6.%7.%8.%9"/>
      <w:lvlJc w:val="left"/>
      <w:pPr>
        <w:ind w:left="1584" w:hanging="1584"/>
      </w:pPr>
    </w:lvl>
  </w:abstractNum>
  <w:abstractNum w:abstractNumId="29">
    <w:nsid w:val="64084C94"/>
    <w:multiLevelType w:val="multilevel"/>
    <w:tmpl w:val="64084C94"/>
    <w:lvl w:ilvl="0" w:tentative="0">
      <w:start w:val="0"/>
      <w:numFmt w:val="none"/>
      <w:lvlText w:val=""/>
      <w:lvlJc w:val="left"/>
      <w:pPr>
        <w:tabs>
          <w:tab w:val="left" w:pos="360"/>
        </w:tabs>
      </w:pPr>
    </w:lvl>
    <w:lvl w:ilvl="1" w:tentative="0">
      <w:start w:val="1"/>
      <w:numFmt w:val="decimal"/>
      <w:lvlText w:val="%1.%2"/>
      <w:lvlJc w:val="left"/>
      <w:pPr>
        <w:tabs>
          <w:tab w:val="left" w:pos="737"/>
        </w:tabs>
        <w:ind w:left="737" w:hanging="737"/>
      </w:pPr>
      <w:rPr>
        <w:rFonts w:hint="default" w:ascii="Arial" w:hAnsi="Arial"/>
      </w:rPr>
    </w:lvl>
    <w:lvl w:ilvl="2" w:tentative="0">
      <w:start w:val="1"/>
      <w:numFmt w:val="decimal"/>
      <w:pStyle w:val="506"/>
      <w:lvlText w:val="%1.%2.%3"/>
      <w:lvlJc w:val="left"/>
      <w:pPr>
        <w:tabs>
          <w:tab w:val="left" w:pos="1701"/>
        </w:tabs>
        <w:ind w:left="1701" w:hanging="1701"/>
      </w:pPr>
      <w:rPr>
        <w:rFonts w:hint="eastAsia"/>
      </w:rPr>
    </w:lvl>
    <w:lvl w:ilvl="3" w:tentative="0">
      <w:start w:val="1"/>
      <w:numFmt w:val="decimal"/>
      <w:pStyle w:val="507"/>
      <w:lvlText w:val="%1.%2.%3.%4"/>
      <w:lvlJc w:val="left"/>
      <w:pPr>
        <w:tabs>
          <w:tab w:val="left" w:pos="2268"/>
        </w:tabs>
        <w:ind w:left="2268" w:hanging="1531"/>
      </w:pPr>
      <w:rPr>
        <w:rFonts w:hint="eastAsia"/>
      </w:rPr>
    </w:lvl>
    <w:lvl w:ilvl="4" w:tentative="0">
      <w:start w:val="1"/>
      <w:numFmt w:val="decimal"/>
      <w:lvlText w:val="%5)"/>
      <w:lvlJc w:val="left"/>
      <w:pPr>
        <w:tabs>
          <w:tab w:val="left" w:pos="360"/>
        </w:tabs>
        <w:ind w:left="360" w:hanging="360"/>
      </w:pPr>
    </w:lvl>
    <w:lvl w:ilvl="5" w:tentative="0">
      <w:start w:val="1"/>
      <w:numFmt w:val="decimal"/>
      <w:lvlText w:val="%1.%2.%3.%4.%5.%6."/>
      <w:lvlJc w:val="left"/>
      <w:pPr>
        <w:tabs>
          <w:tab w:val="left" w:pos="1953"/>
        </w:tabs>
        <w:ind w:left="2860" w:hanging="340"/>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0">
    <w:nsid w:val="6AC4F27C"/>
    <w:multiLevelType w:val="singleLevel"/>
    <w:tmpl w:val="6AC4F27C"/>
    <w:lvl w:ilvl="0" w:tentative="0">
      <w:start w:val="17"/>
      <w:numFmt w:val="upperLetter"/>
      <w:suff w:val="nothing"/>
      <w:lvlText w:val="%1-"/>
      <w:lvlJc w:val="left"/>
    </w:lvl>
  </w:abstractNum>
  <w:abstractNum w:abstractNumId="31">
    <w:nsid w:val="7AA6145A"/>
    <w:multiLevelType w:val="multilevel"/>
    <w:tmpl w:val="7AA6145A"/>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pStyle w:val="3828"/>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32">
    <w:nsid w:val="7B8F0FD0"/>
    <w:multiLevelType w:val="singleLevel"/>
    <w:tmpl w:val="7B8F0FD0"/>
    <w:lvl w:ilvl="0" w:tentative="0">
      <w:start w:val="1"/>
      <w:numFmt w:val="bullet"/>
      <w:pStyle w:val="48"/>
      <w:lvlText w:val=""/>
      <w:lvlJc w:val="left"/>
      <w:pPr>
        <w:tabs>
          <w:tab w:val="left" w:pos="2040"/>
        </w:tabs>
        <w:ind w:left="2040" w:hanging="360"/>
      </w:pPr>
      <w:rPr>
        <w:rFonts w:hint="default" w:ascii="Wingdings" w:hAnsi="Wingdings"/>
      </w:rPr>
    </w:lvl>
  </w:abstractNum>
  <w:num w:numId="1">
    <w:abstractNumId w:val="28"/>
  </w:num>
  <w:num w:numId="2">
    <w:abstractNumId w:val="32"/>
  </w:num>
  <w:num w:numId="3">
    <w:abstractNumId w:val="8"/>
  </w:num>
  <w:num w:numId="4">
    <w:abstractNumId w:val="29"/>
  </w:num>
  <w:num w:numId="5">
    <w:abstractNumId w:val="19"/>
  </w:num>
  <w:num w:numId="6">
    <w:abstractNumId w:val="17"/>
  </w:num>
  <w:num w:numId="7">
    <w:abstractNumId w:val="16"/>
  </w:num>
  <w:num w:numId="8">
    <w:abstractNumId w:val="26"/>
  </w:num>
  <w:num w:numId="9">
    <w:abstractNumId w:val="24"/>
  </w:num>
  <w:num w:numId="10">
    <w:abstractNumId w:val="20"/>
  </w:num>
  <w:num w:numId="11">
    <w:abstractNumId w:val="7"/>
  </w:num>
  <w:num w:numId="12">
    <w:abstractNumId w:val="11"/>
  </w:num>
  <w:num w:numId="13">
    <w:abstractNumId w:val="12"/>
  </w:num>
  <w:num w:numId="14">
    <w:abstractNumId w:val="13"/>
  </w:num>
  <w:num w:numId="15">
    <w:abstractNumId w:val="9"/>
  </w:num>
  <w:num w:numId="16">
    <w:abstractNumId w:val="10"/>
  </w:num>
  <w:num w:numId="17">
    <w:abstractNumId w:val="21"/>
  </w:num>
  <w:num w:numId="18">
    <w:abstractNumId w:val="23"/>
  </w:num>
  <w:num w:numId="19">
    <w:abstractNumId w:val="31"/>
  </w:num>
  <w:num w:numId="20">
    <w:abstractNumId w:val="22"/>
  </w:num>
  <w:num w:numId="21">
    <w:abstractNumId w:val="5"/>
  </w:num>
  <w:num w:numId="22">
    <w:abstractNumId w:val="1"/>
  </w:num>
  <w:num w:numId="23">
    <w:abstractNumId w:val="15"/>
  </w:num>
  <w:num w:numId="24">
    <w:abstractNumId w:val="3"/>
  </w:num>
  <w:num w:numId="25">
    <w:abstractNumId w:val="6"/>
  </w:num>
  <w:num w:numId="26">
    <w:abstractNumId w:val="14"/>
  </w:num>
  <w:num w:numId="27">
    <w:abstractNumId w:val="2"/>
  </w:num>
  <w:num w:numId="28">
    <w:abstractNumId w:val="30"/>
  </w:num>
  <w:num w:numId="29">
    <w:abstractNumId w:val="18"/>
  </w:num>
  <w:num w:numId="30">
    <w:abstractNumId w:val="4"/>
  </w:num>
  <w:num w:numId="31">
    <w:abstractNumId w:val="25"/>
  </w:num>
  <w:num w:numId="32">
    <w:abstractNumId w:val="27"/>
  </w:num>
  <w:num w:numId="3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x">
    <w15:presenceInfo w15:providerId="WPS Office" w15:userId="27539950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947"/>
    <w:rsid w:val="000000BA"/>
    <w:rsid w:val="00000228"/>
    <w:rsid w:val="000002CA"/>
    <w:rsid w:val="000004A7"/>
    <w:rsid w:val="00000530"/>
    <w:rsid w:val="00000599"/>
    <w:rsid w:val="000009C8"/>
    <w:rsid w:val="00000E15"/>
    <w:rsid w:val="00000E79"/>
    <w:rsid w:val="0000102F"/>
    <w:rsid w:val="000010C2"/>
    <w:rsid w:val="000012BA"/>
    <w:rsid w:val="000014E1"/>
    <w:rsid w:val="00001781"/>
    <w:rsid w:val="00001928"/>
    <w:rsid w:val="00001AA7"/>
    <w:rsid w:val="00001B91"/>
    <w:rsid w:val="00001D09"/>
    <w:rsid w:val="00001F03"/>
    <w:rsid w:val="00002542"/>
    <w:rsid w:val="0000268A"/>
    <w:rsid w:val="00002B20"/>
    <w:rsid w:val="00002B91"/>
    <w:rsid w:val="00002BBB"/>
    <w:rsid w:val="00002D68"/>
    <w:rsid w:val="00002D9F"/>
    <w:rsid w:val="00002E94"/>
    <w:rsid w:val="00002F85"/>
    <w:rsid w:val="00002FF8"/>
    <w:rsid w:val="0000396B"/>
    <w:rsid w:val="00003ACF"/>
    <w:rsid w:val="00003C52"/>
    <w:rsid w:val="00003C88"/>
    <w:rsid w:val="00003CBB"/>
    <w:rsid w:val="00003FE3"/>
    <w:rsid w:val="000040F0"/>
    <w:rsid w:val="000041DA"/>
    <w:rsid w:val="0000439F"/>
    <w:rsid w:val="0000441A"/>
    <w:rsid w:val="000044AE"/>
    <w:rsid w:val="0000455F"/>
    <w:rsid w:val="0000465C"/>
    <w:rsid w:val="000047CC"/>
    <w:rsid w:val="000047D7"/>
    <w:rsid w:val="0000481E"/>
    <w:rsid w:val="0000483B"/>
    <w:rsid w:val="0000498D"/>
    <w:rsid w:val="00004E50"/>
    <w:rsid w:val="0000502B"/>
    <w:rsid w:val="0000519C"/>
    <w:rsid w:val="000051BC"/>
    <w:rsid w:val="00005405"/>
    <w:rsid w:val="0000571E"/>
    <w:rsid w:val="00005895"/>
    <w:rsid w:val="00005B1C"/>
    <w:rsid w:val="00005D79"/>
    <w:rsid w:val="000060B3"/>
    <w:rsid w:val="0000628F"/>
    <w:rsid w:val="00006A82"/>
    <w:rsid w:val="00006B38"/>
    <w:rsid w:val="00006D68"/>
    <w:rsid w:val="000070B8"/>
    <w:rsid w:val="000072B7"/>
    <w:rsid w:val="000077CE"/>
    <w:rsid w:val="000079F2"/>
    <w:rsid w:val="00007B63"/>
    <w:rsid w:val="00007BAC"/>
    <w:rsid w:val="00007EFD"/>
    <w:rsid w:val="0001008C"/>
    <w:rsid w:val="000101EA"/>
    <w:rsid w:val="000103A0"/>
    <w:rsid w:val="00010409"/>
    <w:rsid w:val="00010475"/>
    <w:rsid w:val="00010553"/>
    <w:rsid w:val="000107F8"/>
    <w:rsid w:val="00010B96"/>
    <w:rsid w:val="00010C0B"/>
    <w:rsid w:val="00010C10"/>
    <w:rsid w:val="00010F30"/>
    <w:rsid w:val="000110F6"/>
    <w:rsid w:val="0001123B"/>
    <w:rsid w:val="000114C5"/>
    <w:rsid w:val="00011569"/>
    <w:rsid w:val="000116B8"/>
    <w:rsid w:val="00011726"/>
    <w:rsid w:val="00011765"/>
    <w:rsid w:val="000118AB"/>
    <w:rsid w:val="000118CA"/>
    <w:rsid w:val="00011941"/>
    <w:rsid w:val="00011F68"/>
    <w:rsid w:val="00012048"/>
    <w:rsid w:val="0001229A"/>
    <w:rsid w:val="000123A7"/>
    <w:rsid w:val="000123C0"/>
    <w:rsid w:val="00012520"/>
    <w:rsid w:val="000126DE"/>
    <w:rsid w:val="000127BD"/>
    <w:rsid w:val="00012932"/>
    <w:rsid w:val="00012B80"/>
    <w:rsid w:val="00012CA1"/>
    <w:rsid w:val="00012F27"/>
    <w:rsid w:val="00013269"/>
    <w:rsid w:val="00013479"/>
    <w:rsid w:val="000135C5"/>
    <w:rsid w:val="000135EC"/>
    <w:rsid w:val="000136B4"/>
    <w:rsid w:val="000136D6"/>
    <w:rsid w:val="000137AA"/>
    <w:rsid w:val="000138AB"/>
    <w:rsid w:val="00013BA1"/>
    <w:rsid w:val="00013D77"/>
    <w:rsid w:val="00013F57"/>
    <w:rsid w:val="00013FDF"/>
    <w:rsid w:val="0001408A"/>
    <w:rsid w:val="0001454B"/>
    <w:rsid w:val="000146DE"/>
    <w:rsid w:val="00015073"/>
    <w:rsid w:val="000151CC"/>
    <w:rsid w:val="0001552B"/>
    <w:rsid w:val="0001558B"/>
    <w:rsid w:val="00015675"/>
    <w:rsid w:val="0001575C"/>
    <w:rsid w:val="00015899"/>
    <w:rsid w:val="000159C4"/>
    <w:rsid w:val="00015C39"/>
    <w:rsid w:val="00015D34"/>
    <w:rsid w:val="00015EF4"/>
    <w:rsid w:val="0001631C"/>
    <w:rsid w:val="0001632E"/>
    <w:rsid w:val="00016666"/>
    <w:rsid w:val="00016AE4"/>
    <w:rsid w:val="00016D0F"/>
    <w:rsid w:val="00016D15"/>
    <w:rsid w:val="00016E09"/>
    <w:rsid w:val="00017182"/>
    <w:rsid w:val="00017297"/>
    <w:rsid w:val="0001731C"/>
    <w:rsid w:val="000173E1"/>
    <w:rsid w:val="000179ED"/>
    <w:rsid w:val="00017D0C"/>
    <w:rsid w:val="00017D7B"/>
    <w:rsid w:val="00020066"/>
    <w:rsid w:val="0002018C"/>
    <w:rsid w:val="0002052F"/>
    <w:rsid w:val="00020935"/>
    <w:rsid w:val="00020C9A"/>
    <w:rsid w:val="00020CDD"/>
    <w:rsid w:val="00021080"/>
    <w:rsid w:val="000210EE"/>
    <w:rsid w:val="000210FC"/>
    <w:rsid w:val="00021616"/>
    <w:rsid w:val="00021658"/>
    <w:rsid w:val="000217F7"/>
    <w:rsid w:val="00021A3F"/>
    <w:rsid w:val="00021B58"/>
    <w:rsid w:val="00021CA4"/>
    <w:rsid w:val="00021CB0"/>
    <w:rsid w:val="00021ECD"/>
    <w:rsid w:val="00021F09"/>
    <w:rsid w:val="00021FC9"/>
    <w:rsid w:val="00022027"/>
    <w:rsid w:val="000221C9"/>
    <w:rsid w:val="000221F4"/>
    <w:rsid w:val="0002229D"/>
    <w:rsid w:val="000222C4"/>
    <w:rsid w:val="00022629"/>
    <w:rsid w:val="000227CE"/>
    <w:rsid w:val="00022A88"/>
    <w:rsid w:val="00023183"/>
    <w:rsid w:val="000231B4"/>
    <w:rsid w:val="0002334C"/>
    <w:rsid w:val="00023667"/>
    <w:rsid w:val="00023B24"/>
    <w:rsid w:val="00023C33"/>
    <w:rsid w:val="00023E47"/>
    <w:rsid w:val="00023F35"/>
    <w:rsid w:val="00023FFF"/>
    <w:rsid w:val="0002400F"/>
    <w:rsid w:val="00024116"/>
    <w:rsid w:val="000242EA"/>
    <w:rsid w:val="00024788"/>
    <w:rsid w:val="00024992"/>
    <w:rsid w:val="00024B13"/>
    <w:rsid w:val="00024D2F"/>
    <w:rsid w:val="00024FF4"/>
    <w:rsid w:val="0002508E"/>
    <w:rsid w:val="00025140"/>
    <w:rsid w:val="00025526"/>
    <w:rsid w:val="00025804"/>
    <w:rsid w:val="000258D3"/>
    <w:rsid w:val="00025F4C"/>
    <w:rsid w:val="00026051"/>
    <w:rsid w:val="000261AD"/>
    <w:rsid w:val="00026505"/>
    <w:rsid w:val="00026944"/>
    <w:rsid w:val="000269AD"/>
    <w:rsid w:val="00026B42"/>
    <w:rsid w:val="00026B6A"/>
    <w:rsid w:val="00026BCC"/>
    <w:rsid w:val="00026D31"/>
    <w:rsid w:val="000272C0"/>
    <w:rsid w:val="0002736B"/>
    <w:rsid w:val="0002751A"/>
    <w:rsid w:val="000275C5"/>
    <w:rsid w:val="00027756"/>
    <w:rsid w:val="00027777"/>
    <w:rsid w:val="0002789F"/>
    <w:rsid w:val="00027977"/>
    <w:rsid w:val="00027994"/>
    <w:rsid w:val="00027B60"/>
    <w:rsid w:val="00027B8C"/>
    <w:rsid w:val="00027C15"/>
    <w:rsid w:val="00027FD0"/>
    <w:rsid w:val="000300C3"/>
    <w:rsid w:val="00030141"/>
    <w:rsid w:val="0003036C"/>
    <w:rsid w:val="00030532"/>
    <w:rsid w:val="00030777"/>
    <w:rsid w:val="000307B6"/>
    <w:rsid w:val="000307FF"/>
    <w:rsid w:val="000311B9"/>
    <w:rsid w:val="0003120B"/>
    <w:rsid w:val="00031353"/>
    <w:rsid w:val="00031563"/>
    <w:rsid w:val="00031635"/>
    <w:rsid w:val="0003186A"/>
    <w:rsid w:val="00031967"/>
    <w:rsid w:val="00031ACC"/>
    <w:rsid w:val="00031BA8"/>
    <w:rsid w:val="00031C14"/>
    <w:rsid w:val="00031D96"/>
    <w:rsid w:val="000322A1"/>
    <w:rsid w:val="000325CA"/>
    <w:rsid w:val="000326E7"/>
    <w:rsid w:val="00032CC5"/>
    <w:rsid w:val="00033157"/>
    <w:rsid w:val="0003315C"/>
    <w:rsid w:val="000331C1"/>
    <w:rsid w:val="000331E3"/>
    <w:rsid w:val="0003372B"/>
    <w:rsid w:val="00033CBE"/>
    <w:rsid w:val="000340E9"/>
    <w:rsid w:val="00034289"/>
    <w:rsid w:val="00034696"/>
    <w:rsid w:val="000346CA"/>
    <w:rsid w:val="000347EB"/>
    <w:rsid w:val="00034839"/>
    <w:rsid w:val="00034BC0"/>
    <w:rsid w:val="00034D66"/>
    <w:rsid w:val="00034E1D"/>
    <w:rsid w:val="00034FA5"/>
    <w:rsid w:val="00034FAF"/>
    <w:rsid w:val="00035011"/>
    <w:rsid w:val="0003504D"/>
    <w:rsid w:val="000351E4"/>
    <w:rsid w:val="000352D1"/>
    <w:rsid w:val="00035523"/>
    <w:rsid w:val="000356B8"/>
    <w:rsid w:val="0003576E"/>
    <w:rsid w:val="000357CC"/>
    <w:rsid w:val="000359BF"/>
    <w:rsid w:val="00035C11"/>
    <w:rsid w:val="00035EE7"/>
    <w:rsid w:val="00036130"/>
    <w:rsid w:val="00036216"/>
    <w:rsid w:val="0003636F"/>
    <w:rsid w:val="0003654A"/>
    <w:rsid w:val="00036580"/>
    <w:rsid w:val="00036602"/>
    <w:rsid w:val="00036A06"/>
    <w:rsid w:val="00036F65"/>
    <w:rsid w:val="00037523"/>
    <w:rsid w:val="00037C61"/>
    <w:rsid w:val="00037DB5"/>
    <w:rsid w:val="000400CF"/>
    <w:rsid w:val="0004016C"/>
    <w:rsid w:val="00040540"/>
    <w:rsid w:val="00040656"/>
    <w:rsid w:val="000407A8"/>
    <w:rsid w:val="000408D2"/>
    <w:rsid w:val="000408D5"/>
    <w:rsid w:val="00040CB9"/>
    <w:rsid w:val="00040DF5"/>
    <w:rsid w:val="00040F7B"/>
    <w:rsid w:val="000411B5"/>
    <w:rsid w:val="000417DA"/>
    <w:rsid w:val="0004197A"/>
    <w:rsid w:val="00041D8E"/>
    <w:rsid w:val="00041D96"/>
    <w:rsid w:val="00042164"/>
    <w:rsid w:val="00042167"/>
    <w:rsid w:val="0004218E"/>
    <w:rsid w:val="000422DB"/>
    <w:rsid w:val="000424F3"/>
    <w:rsid w:val="00042547"/>
    <w:rsid w:val="000425FD"/>
    <w:rsid w:val="00042940"/>
    <w:rsid w:val="0004297A"/>
    <w:rsid w:val="000429F1"/>
    <w:rsid w:val="00042F15"/>
    <w:rsid w:val="00042FF5"/>
    <w:rsid w:val="0004364B"/>
    <w:rsid w:val="00043730"/>
    <w:rsid w:val="00043781"/>
    <w:rsid w:val="00043802"/>
    <w:rsid w:val="00043B21"/>
    <w:rsid w:val="00043E6A"/>
    <w:rsid w:val="00043E8A"/>
    <w:rsid w:val="00043E95"/>
    <w:rsid w:val="00043EBC"/>
    <w:rsid w:val="00043F9E"/>
    <w:rsid w:val="0004403B"/>
    <w:rsid w:val="00044202"/>
    <w:rsid w:val="00044315"/>
    <w:rsid w:val="000443B4"/>
    <w:rsid w:val="0004487F"/>
    <w:rsid w:val="00044A07"/>
    <w:rsid w:val="00044A99"/>
    <w:rsid w:val="00044D01"/>
    <w:rsid w:val="00044D40"/>
    <w:rsid w:val="00044D45"/>
    <w:rsid w:val="00044EE2"/>
    <w:rsid w:val="0004589E"/>
    <w:rsid w:val="00045A75"/>
    <w:rsid w:val="00045BDB"/>
    <w:rsid w:val="00045C63"/>
    <w:rsid w:val="000462E8"/>
    <w:rsid w:val="00046362"/>
    <w:rsid w:val="000463E7"/>
    <w:rsid w:val="000464C8"/>
    <w:rsid w:val="00046646"/>
    <w:rsid w:val="00046DA0"/>
    <w:rsid w:val="00046FEB"/>
    <w:rsid w:val="0004702D"/>
    <w:rsid w:val="000471D2"/>
    <w:rsid w:val="000479AF"/>
    <w:rsid w:val="00047BFF"/>
    <w:rsid w:val="00047EB4"/>
    <w:rsid w:val="00047F52"/>
    <w:rsid w:val="000501B6"/>
    <w:rsid w:val="000503EB"/>
    <w:rsid w:val="000506FC"/>
    <w:rsid w:val="000507F1"/>
    <w:rsid w:val="00050979"/>
    <w:rsid w:val="00050F84"/>
    <w:rsid w:val="00051462"/>
    <w:rsid w:val="000514E7"/>
    <w:rsid w:val="00051703"/>
    <w:rsid w:val="00051976"/>
    <w:rsid w:val="000519C9"/>
    <w:rsid w:val="00051A8D"/>
    <w:rsid w:val="00051D20"/>
    <w:rsid w:val="00051FF3"/>
    <w:rsid w:val="0005209B"/>
    <w:rsid w:val="00052108"/>
    <w:rsid w:val="000521C7"/>
    <w:rsid w:val="0005235D"/>
    <w:rsid w:val="00052608"/>
    <w:rsid w:val="00052609"/>
    <w:rsid w:val="000526EC"/>
    <w:rsid w:val="000527B8"/>
    <w:rsid w:val="000527CC"/>
    <w:rsid w:val="000527FB"/>
    <w:rsid w:val="00052ABA"/>
    <w:rsid w:val="00052E37"/>
    <w:rsid w:val="00052F13"/>
    <w:rsid w:val="00052F68"/>
    <w:rsid w:val="00053094"/>
    <w:rsid w:val="000530DB"/>
    <w:rsid w:val="00053273"/>
    <w:rsid w:val="00053470"/>
    <w:rsid w:val="0005354E"/>
    <w:rsid w:val="00053642"/>
    <w:rsid w:val="000536D0"/>
    <w:rsid w:val="000536F4"/>
    <w:rsid w:val="00053762"/>
    <w:rsid w:val="0005386D"/>
    <w:rsid w:val="0005387D"/>
    <w:rsid w:val="00053984"/>
    <w:rsid w:val="00053C10"/>
    <w:rsid w:val="00054737"/>
    <w:rsid w:val="00054812"/>
    <w:rsid w:val="00054870"/>
    <w:rsid w:val="00054A0A"/>
    <w:rsid w:val="00054B27"/>
    <w:rsid w:val="00054FC1"/>
    <w:rsid w:val="00055336"/>
    <w:rsid w:val="00055458"/>
    <w:rsid w:val="000554BB"/>
    <w:rsid w:val="00055697"/>
    <w:rsid w:val="000557A7"/>
    <w:rsid w:val="00055988"/>
    <w:rsid w:val="00055C40"/>
    <w:rsid w:val="00055D73"/>
    <w:rsid w:val="00056062"/>
    <w:rsid w:val="000563FF"/>
    <w:rsid w:val="000564F8"/>
    <w:rsid w:val="00056531"/>
    <w:rsid w:val="000565C2"/>
    <w:rsid w:val="00056A4F"/>
    <w:rsid w:val="00056AB4"/>
    <w:rsid w:val="00056BB1"/>
    <w:rsid w:val="00056C80"/>
    <w:rsid w:val="00056DBA"/>
    <w:rsid w:val="00056FE9"/>
    <w:rsid w:val="00057019"/>
    <w:rsid w:val="00057143"/>
    <w:rsid w:val="00057191"/>
    <w:rsid w:val="00057310"/>
    <w:rsid w:val="00057565"/>
    <w:rsid w:val="00057A1E"/>
    <w:rsid w:val="00057AC1"/>
    <w:rsid w:val="00060002"/>
    <w:rsid w:val="00060736"/>
    <w:rsid w:val="0006081B"/>
    <w:rsid w:val="000608B3"/>
    <w:rsid w:val="00060A9B"/>
    <w:rsid w:val="00060BDB"/>
    <w:rsid w:val="00060C5D"/>
    <w:rsid w:val="00060EF3"/>
    <w:rsid w:val="00060F86"/>
    <w:rsid w:val="0006105B"/>
    <w:rsid w:val="00061827"/>
    <w:rsid w:val="00061B1E"/>
    <w:rsid w:val="00061B1F"/>
    <w:rsid w:val="00061BFC"/>
    <w:rsid w:val="00061F62"/>
    <w:rsid w:val="0006206A"/>
    <w:rsid w:val="0006212A"/>
    <w:rsid w:val="00062452"/>
    <w:rsid w:val="00062553"/>
    <w:rsid w:val="00062681"/>
    <w:rsid w:val="00062771"/>
    <w:rsid w:val="000629D8"/>
    <w:rsid w:val="00062A35"/>
    <w:rsid w:val="00062C8A"/>
    <w:rsid w:val="00062C8D"/>
    <w:rsid w:val="00062DCA"/>
    <w:rsid w:val="00062E5F"/>
    <w:rsid w:val="00062EB2"/>
    <w:rsid w:val="00063034"/>
    <w:rsid w:val="000630AE"/>
    <w:rsid w:val="000633B5"/>
    <w:rsid w:val="00063482"/>
    <w:rsid w:val="000636D4"/>
    <w:rsid w:val="00063B0F"/>
    <w:rsid w:val="00063B15"/>
    <w:rsid w:val="00063C38"/>
    <w:rsid w:val="0006419B"/>
    <w:rsid w:val="000641EF"/>
    <w:rsid w:val="00064398"/>
    <w:rsid w:val="00064892"/>
    <w:rsid w:val="00064AEB"/>
    <w:rsid w:val="00064FAB"/>
    <w:rsid w:val="000650C6"/>
    <w:rsid w:val="000654B2"/>
    <w:rsid w:val="000655D6"/>
    <w:rsid w:val="00065846"/>
    <w:rsid w:val="00065A3E"/>
    <w:rsid w:val="00065AA1"/>
    <w:rsid w:val="00065B7C"/>
    <w:rsid w:val="00065DFF"/>
    <w:rsid w:val="00065E2A"/>
    <w:rsid w:val="00066127"/>
    <w:rsid w:val="00066837"/>
    <w:rsid w:val="00066908"/>
    <w:rsid w:val="00066AEF"/>
    <w:rsid w:val="00066C36"/>
    <w:rsid w:val="0006709D"/>
    <w:rsid w:val="00067168"/>
    <w:rsid w:val="000671C0"/>
    <w:rsid w:val="00067537"/>
    <w:rsid w:val="000675D4"/>
    <w:rsid w:val="000676F6"/>
    <w:rsid w:val="00067720"/>
    <w:rsid w:val="0006777B"/>
    <w:rsid w:val="00067909"/>
    <w:rsid w:val="000679F2"/>
    <w:rsid w:val="00067B4E"/>
    <w:rsid w:val="00067C5E"/>
    <w:rsid w:val="00067E08"/>
    <w:rsid w:val="000700A5"/>
    <w:rsid w:val="0007020A"/>
    <w:rsid w:val="00070300"/>
    <w:rsid w:val="00070467"/>
    <w:rsid w:val="0007046E"/>
    <w:rsid w:val="0007084B"/>
    <w:rsid w:val="000709F2"/>
    <w:rsid w:val="00070E65"/>
    <w:rsid w:val="00070F5F"/>
    <w:rsid w:val="000710CC"/>
    <w:rsid w:val="000715A1"/>
    <w:rsid w:val="000715CD"/>
    <w:rsid w:val="000716DF"/>
    <w:rsid w:val="00071941"/>
    <w:rsid w:val="000719B9"/>
    <w:rsid w:val="00071FEC"/>
    <w:rsid w:val="0007204C"/>
    <w:rsid w:val="00072161"/>
    <w:rsid w:val="000723CB"/>
    <w:rsid w:val="0007259D"/>
    <w:rsid w:val="000725C5"/>
    <w:rsid w:val="00072602"/>
    <w:rsid w:val="000726B7"/>
    <w:rsid w:val="00072A45"/>
    <w:rsid w:val="00072B27"/>
    <w:rsid w:val="00073174"/>
    <w:rsid w:val="000733C4"/>
    <w:rsid w:val="000734BB"/>
    <w:rsid w:val="000737E6"/>
    <w:rsid w:val="00073821"/>
    <w:rsid w:val="00073C08"/>
    <w:rsid w:val="00073E33"/>
    <w:rsid w:val="0007449B"/>
    <w:rsid w:val="00074783"/>
    <w:rsid w:val="00074AF7"/>
    <w:rsid w:val="00074B44"/>
    <w:rsid w:val="00074B92"/>
    <w:rsid w:val="00074CD8"/>
    <w:rsid w:val="00074E11"/>
    <w:rsid w:val="0007575D"/>
    <w:rsid w:val="00075873"/>
    <w:rsid w:val="000758AE"/>
    <w:rsid w:val="000758B4"/>
    <w:rsid w:val="00075A4D"/>
    <w:rsid w:val="00075AC1"/>
    <w:rsid w:val="00075B50"/>
    <w:rsid w:val="00075B9B"/>
    <w:rsid w:val="00075EF3"/>
    <w:rsid w:val="00075F19"/>
    <w:rsid w:val="000761B6"/>
    <w:rsid w:val="000761EA"/>
    <w:rsid w:val="00076541"/>
    <w:rsid w:val="0007666E"/>
    <w:rsid w:val="00076813"/>
    <w:rsid w:val="00076A3D"/>
    <w:rsid w:val="00077093"/>
    <w:rsid w:val="000771F8"/>
    <w:rsid w:val="000773A7"/>
    <w:rsid w:val="000774ED"/>
    <w:rsid w:val="00077555"/>
    <w:rsid w:val="0007757F"/>
    <w:rsid w:val="000775EB"/>
    <w:rsid w:val="000776AA"/>
    <w:rsid w:val="000776D6"/>
    <w:rsid w:val="00077B47"/>
    <w:rsid w:val="00077C56"/>
    <w:rsid w:val="00077E60"/>
    <w:rsid w:val="00077EE1"/>
    <w:rsid w:val="00077FB2"/>
    <w:rsid w:val="00077FC5"/>
    <w:rsid w:val="000800CD"/>
    <w:rsid w:val="000802F4"/>
    <w:rsid w:val="000804C2"/>
    <w:rsid w:val="000804D2"/>
    <w:rsid w:val="00080680"/>
    <w:rsid w:val="000806BE"/>
    <w:rsid w:val="0008070B"/>
    <w:rsid w:val="00080A66"/>
    <w:rsid w:val="00080C52"/>
    <w:rsid w:val="00080DAD"/>
    <w:rsid w:val="000810AC"/>
    <w:rsid w:val="000811D0"/>
    <w:rsid w:val="00081207"/>
    <w:rsid w:val="000814D8"/>
    <w:rsid w:val="0008152E"/>
    <w:rsid w:val="00081A02"/>
    <w:rsid w:val="00081A91"/>
    <w:rsid w:val="00081A94"/>
    <w:rsid w:val="00081E3B"/>
    <w:rsid w:val="00081E58"/>
    <w:rsid w:val="00082098"/>
    <w:rsid w:val="000821A4"/>
    <w:rsid w:val="00082231"/>
    <w:rsid w:val="0008274A"/>
    <w:rsid w:val="00082756"/>
    <w:rsid w:val="000828DD"/>
    <w:rsid w:val="00082907"/>
    <w:rsid w:val="00082C25"/>
    <w:rsid w:val="000831A0"/>
    <w:rsid w:val="000831F0"/>
    <w:rsid w:val="00083333"/>
    <w:rsid w:val="000833F3"/>
    <w:rsid w:val="00083943"/>
    <w:rsid w:val="000839A5"/>
    <w:rsid w:val="000840CD"/>
    <w:rsid w:val="000847B5"/>
    <w:rsid w:val="000848E6"/>
    <w:rsid w:val="00084A53"/>
    <w:rsid w:val="00084C55"/>
    <w:rsid w:val="00084DDF"/>
    <w:rsid w:val="00084EB1"/>
    <w:rsid w:val="00084FD4"/>
    <w:rsid w:val="0008505A"/>
    <w:rsid w:val="00085539"/>
    <w:rsid w:val="0008560E"/>
    <w:rsid w:val="00085A32"/>
    <w:rsid w:val="00085D9C"/>
    <w:rsid w:val="00085F5A"/>
    <w:rsid w:val="00086060"/>
    <w:rsid w:val="0008615B"/>
    <w:rsid w:val="0008620A"/>
    <w:rsid w:val="00086241"/>
    <w:rsid w:val="00086282"/>
    <w:rsid w:val="000862F4"/>
    <w:rsid w:val="00086344"/>
    <w:rsid w:val="00086431"/>
    <w:rsid w:val="00086579"/>
    <w:rsid w:val="000865DA"/>
    <w:rsid w:val="000866DE"/>
    <w:rsid w:val="00086B3A"/>
    <w:rsid w:val="00086BCF"/>
    <w:rsid w:val="00086C56"/>
    <w:rsid w:val="00086C5F"/>
    <w:rsid w:val="00086D67"/>
    <w:rsid w:val="00086FAA"/>
    <w:rsid w:val="000870B4"/>
    <w:rsid w:val="0008749B"/>
    <w:rsid w:val="000874CC"/>
    <w:rsid w:val="000874E9"/>
    <w:rsid w:val="00087648"/>
    <w:rsid w:val="00087690"/>
    <w:rsid w:val="00087AAD"/>
    <w:rsid w:val="00087D5B"/>
    <w:rsid w:val="00090126"/>
    <w:rsid w:val="00090161"/>
    <w:rsid w:val="000901CB"/>
    <w:rsid w:val="0009031D"/>
    <w:rsid w:val="00090354"/>
    <w:rsid w:val="000908BD"/>
    <w:rsid w:val="0009092B"/>
    <w:rsid w:val="00090B26"/>
    <w:rsid w:val="00090DDC"/>
    <w:rsid w:val="00091262"/>
    <w:rsid w:val="00091622"/>
    <w:rsid w:val="000917B1"/>
    <w:rsid w:val="000919F8"/>
    <w:rsid w:val="00091A92"/>
    <w:rsid w:val="00091AD7"/>
    <w:rsid w:val="00091BC3"/>
    <w:rsid w:val="00091E1F"/>
    <w:rsid w:val="00091F25"/>
    <w:rsid w:val="00091F3C"/>
    <w:rsid w:val="000920E6"/>
    <w:rsid w:val="00092130"/>
    <w:rsid w:val="000921F6"/>
    <w:rsid w:val="0009285D"/>
    <w:rsid w:val="00092923"/>
    <w:rsid w:val="00092A9B"/>
    <w:rsid w:val="00092C1B"/>
    <w:rsid w:val="00092C64"/>
    <w:rsid w:val="00092D38"/>
    <w:rsid w:val="0009308C"/>
    <w:rsid w:val="00093225"/>
    <w:rsid w:val="00093273"/>
    <w:rsid w:val="00093426"/>
    <w:rsid w:val="00093454"/>
    <w:rsid w:val="00093518"/>
    <w:rsid w:val="0009373A"/>
    <w:rsid w:val="00093743"/>
    <w:rsid w:val="00093773"/>
    <w:rsid w:val="0009377B"/>
    <w:rsid w:val="00093909"/>
    <w:rsid w:val="000939B5"/>
    <w:rsid w:val="00093A90"/>
    <w:rsid w:val="00093B65"/>
    <w:rsid w:val="00093C68"/>
    <w:rsid w:val="00093CCF"/>
    <w:rsid w:val="000941B8"/>
    <w:rsid w:val="00094AC6"/>
    <w:rsid w:val="00094AF3"/>
    <w:rsid w:val="00094B74"/>
    <w:rsid w:val="00094F9F"/>
    <w:rsid w:val="0009529F"/>
    <w:rsid w:val="0009537A"/>
    <w:rsid w:val="000953DF"/>
    <w:rsid w:val="0009560F"/>
    <w:rsid w:val="00095921"/>
    <w:rsid w:val="000959BB"/>
    <w:rsid w:val="00095A6C"/>
    <w:rsid w:val="00095E54"/>
    <w:rsid w:val="00095E64"/>
    <w:rsid w:val="00096090"/>
    <w:rsid w:val="000961CB"/>
    <w:rsid w:val="00096305"/>
    <w:rsid w:val="00096351"/>
    <w:rsid w:val="000969F4"/>
    <w:rsid w:val="00096A43"/>
    <w:rsid w:val="00096A78"/>
    <w:rsid w:val="00096B50"/>
    <w:rsid w:val="00096D04"/>
    <w:rsid w:val="000971AA"/>
    <w:rsid w:val="000975DC"/>
    <w:rsid w:val="000976F3"/>
    <w:rsid w:val="000979E6"/>
    <w:rsid w:val="000979FD"/>
    <w:rsid w:val="00097D02"/>
    <w:rsid w:val="00097DCD"/>
    <w:rsid w:val="00097E4D"/>
    <w:rsid w:val="00097F13"/>
    <w:rsid w:val="000A037B"/>
    <w:rsid w:val="000A047C"/>
    <w:rsid w:val="000A06D8"/>
    <w:rsid w:val="000A08C9"/>
    <w:rsid w:val="000A0A61"/>
    <w:rsid w:val="000A0B06"/>
    <w:rsid w:val="000A0BBB"/>
    <w:rsid w:val="000A0C8B"/>
    <w:rsid w:val="000A0FBC"/>
    <w:rsid w:val="000A138D"/>
    <w:rsid w:val="000A153D"/>
    <w:rsid w:val="000A181C"/>
    <w:rsid w:val="000A1C36"/>
    <w:rsid w:val="000A1CFE"/>
    <w:rsid w:val="000A20C9"/>
    <w:rsid w:val="000A224C"/>
    <w:rsid w:val="000A22F3"/>
    <w:rsid w:val="000A2393"/>
    <w:rsid w:val="000A28C2"/>
    <w:rsid w:val="000A290A"/>
    <w:rsid w:val="000A2ACB"/>
    <w:rsid w:val="000A2BAA"/>
    <w:rsid w:val="000A2E9D"/>
    <w:rsid w:val="000A3117"/>
    <w:rsid w:val="000A31A4"/>
    <w:rsid w:val="000A328E"/>
    <w:rsid w:val="000A33D1"/>
    <w:rsid w:val="000A34D0"/>
    <w:rsid w:val="000A3653"/>
    <w:rsid w:val="000A39ED"/>
    <w:rsid w:val="000A3B6F"/>
    <w:rsid w:val="000A3F27"/>
    <w:rsid w:val="000A427C"/>
    <w:rsid w:val="000A42D0"/>
    <w:rsid w:val="000A434E"/>
    <w:rsid w:val="000A4CE8"/>
    <w:rsid w:val="000A4F14"/>
    <w:rsid w:val="000A4F9E"/>
    <w:rsid w:val="000A4FA8"/>
    <w:rsid w:val="000A5067"/>
    <w:rsid w:val="000A509D"/>
    <w:rsid w:val="000A5210"/>
    <w:rsid w:val="000A5324"/>
    <w:rsid w:val="000A53C0"/>
    <w:rsid w:val="000A57F4"/>
    <w:rsid w:val="000A5904"/>
    <w:rsid w:val="000A5978"/>
    <w:rsid w:val="000A5CE8"/>
    <w:rsid w:val="000A5E18"/>
    <w:rsid w:val="000A60C8"/>
    <w:rsid w:val="000A61E3"/>
    <w:rsid w:val="000A6236"/>
    <w:rsid w:val="000A62E3"/>
    <w:rsid w:val="000A633C"/>
    <w:rsid w:val="000A64ED"/>
    <w:rsid w:val="000A69E3"/>
    <w:rsid w:val="000A6B87"/>
    <w:rsid w:val="000A6BA7"/>
    <w:rsid w:val="000A6C61"/>
    <w:rsid w:val="000A6DD5"/>
    <w:rsid w:val="000A6E31"/>
    <w:rsid w:val="000A6F80"/>
    <w:rsid w:val="000A7072"/>
    <w:rsid w:val="000A7213"/>
    <w:rsid w:val="000A7616"/>
    <w:rsid w:val="000A7669"/>
    <w:rsid w:val="000A7700"/>
    <w:rsid w:val="000A777C"/>
    <w:rsid w:val="000A7905"/>
    <w:rsid w:val="000A792A"/>
    <w:rsid w:val="000A79B0"/>
    <w:rsid w:val="000A7A27"/>
    <w:rsid w:val="000A7E79"/>
    <w:rsid w:val="000A7EE5"/>
    <w:rsid w:val="000B01C4"/>
    <w:rsid w:val="000B0426"/>
    <w:rsid w:val="000B058F"/>
    <w:rsid w:val="000B0BA1"/>
    <w:rsid w:val="000B0D11"/>
    <w:rsid w:val="000B0FB5"/>
    <w:rsid w:val="000B108B"/>
    <w:rsid w:val="000B12FC"/>
    <w:rsid w:val="000B13FD"/>
    <w:rsid w:val="000B1430"/>
    <w:rsid w:val="000B14E4"/>
    <w:rsid w:val="000B1E3B"/>
    <w:rsid w:val="000B20FE"/>
    <w:rsid w:val="000B2677"/>
    <w:rsid w:val="000B28F8"/>
    <w:rsid w:val="000B2A9E"/>
    <w:rsid w:val="000B318C"/>
    <w:rsid w:val="000B3350"/>
    <w:rsid w:val="000B3354"/>
    <w:rsid w:val="000B38DD"/>
    <w:rsid w:val="000B3D35"/>
    <w:rsid w:val="000B4177"/>
    <w:rsid w:val="000B434C"/>
    <w:rsid w:val="000B4467"/>
    <w:rsid w:val="000B484D"/>
    <w:rsid w:val="000B48D6"/>
    <w:rsid w:val="000B4DB9"/>
    <w:rsid w:val="000B50B3"/>
    <w:rsid w:val="000B5198"/>
    <w:rsid w:val="000B5206"/>
    <w:rsid w:val="000B537D"/>
    <w:rsid w:val="000B53A0"/>
    <w:rsid w:val="000B5526"/>
    <w:rsid w:val="000B5610"/>
    <w:rsid w:val="000B5669"/>
    <w:rsid w:val="000B569C"/>
    <w:rsid w:val="000B5B0C"/>
    <w:rsid w:val="000B5B0E"/>
    <w:rsid w:val="000B5B37"/>
    <w:rsid w:val="000B5C96"/>
    <w:rsid w:val="000B5DF0"/>
    <w:rsid w:val="000B5E12"/>
    <w:rsid w:val="000B5E5F"/>
    <w:rsid w:val="000B5F64"/>
    <w:rsid w:val="000B6094"/>
    <w:rsid w:val="000B619C"/>
    <w:rsid w:val="000B6610"/>
    <w:rsid w:val="000B66BF"/>
    <w:rsid w:val="000B6B76"/>
    <w:rsid w:val="000B6B86"/>
    <w:rsid w:val="000B6DAD"/>
    <w:rsid w:val="000B6FB3"/>
    <w:rsid w:val="000B7200"/>
    <w:rsid w:val="000B76EA"/>
    <w:rsid w:val="000B7825"/>
    <w:rsid w:val="000B782D"/>
    <w:rsid w:val="000C0092"/>
    <w:rsid w:val="000C00B9"/>
    <w:rsid w:val="000C02EA"/>
    <w:rsid w:val="000C0361"/>
    <w:rsid w:val="000C0512"/>
    <w:rsid w:val="000C07C2"/>
    <w:rsid w:val="000C09AC"/>
    <w:rsid w:val="000C0C87"/>
    <w:rsid w:val="000C0E77"/>
    <w:rsid w:val="000C105A"/>
    <w:rsid w:val="000C1438"/>
    <w:rsid w:val="000C1468"/>
    <w:rsid w:val="000C1610"/>
    <w:rsid w:val="000C1AB6"/>
    <w:rsid w:val="000C1C00"/>
    <w:rsid w:val="000C1E1E"/>
    <w:rsid w:val="000C1E84"/>
    <w:rsid w:val="000C2510"/>
    <w:rsid w:val="000C2B23"/>
    <w:rsid w:val="000C2F82"/>
    <w:rsid w:val="000C3030"/>
    <w:rsid w:val="000C32D8"/>
    <w:rsid w:val="000C336E"/>
    <w:rsid w:val="000C33FD"/>
    <w:rsid w:val="000C34C9"/>
    <w:rsid w:val="000C356C"/>
    <w:rsid w:val="000C377B"/>
    <w:rsid w:val="000C3874"/>
    <w:rsid w:val="000C391C"/>
    <w:rsid w:val="000C39B4"/>
    <w:rsid w:val="000C4030"/>
    <w:rsid w:val="000C40AA"/>
    <w:rsid w:val="000C433C"/>
    <w:rsid w:val="000C437A"/>
    <w:rsid w:val="000C4970"/>
    <w:rsid w:val="000C4B32"/>
    <w:rsid w:val="000C4D2D"/>
    <w:rsid w:val="000C520D"/>
    <w:rsid w:val="000C5265"/>
    <w:rsid w:val="000C55AC"/>
    <w:rsid w:val="000C573F"/>
    <w:rsid w:val="000C59CF"/>
    <w:rsid w:val="000C5D4B"/>
    <w:rsid w:val="000C5D4C"/>
    <w:rsid w:val="000C5E9D"/>
    <w:rsid w:val="000C60AB"/>
    <w:rsid w:val="000C618C"/>
    <w:rsid w:val="000C686F"/>
    <w:rsid w:val="000C68A2"/>
    <w:rsid w:val="000C6A10"/>
    <w:rsid w:val="000C6A12"/>
    <w:rsid w:val="000C7605"/>
    <w:rsid w:val="000C767F"/>
    <w:rsid w:val="000C7713"/>
    <w:rsid w:val="000C7735"/>
    <w:rsid w:val="000C783B"/>
    <w:rsid w:val="000C7C3D"/>
    <w:rsid w:val="000C7DAF"/>
    <w:rsid w:val="000D0267"/>
    <w:rsid w:val="000D039F"/>
    <w:rsid w:val="000D03BA"/>
    <w:rsid w:val="000D09E6"/>
    <w:rsid w:val="000D0AB9"/>
    <w:rsid w:val="000D0C8D"/>
    <w:rsid w:val="000D0FA0"/>
    <w:rsid w:val="000D10CA"/>
    <w:rsid w:val="000D127A"/>
    <w:rsid w:val="000D1302"/>
    <w:rsid w:val="000D1601"/>
    <w:rsid w:val="000D1741"/>
    <w:rsid w:val="000D1BBC"/>
    <w:rsid w:val="000D1C53"/>
    <w:rsid w:val="000D1D23"/>
    <w:rsid w:val="000D1DA3"/>
    <w:rsid w:val="000D2272"/>
    <w:rsid w:val="000D25E3"/>
    <w:rsid w:val="000D283F"/>
    <w:rsid w:val="000D2B73"/>
    <w:rsid w:val="000D2C25"/>
    <w:rsid w:val="000D2D22"/>
    <w:rsid w:val="000D2EA0"/>
    <w:rsid w:val="000D317D"/>
    <w:rsid w:val="000D32C7"/>
    <w:rsid w:val="000D32C8"/>
    <w:rsid w:val="000D3415"/>
    <w:rsid w:val="000D37A7"/>
    <w:rsid w:val="000D3B5E"/>
    <w:rsid w:val="000D3BD3"/>
    <w:rsid w:val="000D3CE2"/>
    <w:rsid w:val="000D3F35"/>
    <w:rsid w:val="000D3F7D"/>
    <w:rsid w:val="000D3F95"/>
    <w:rsid w:val="000D41A9"/>
    <w:rsid w:val="000D41E1"/>
    <w:rsid w:val="000D45DE"/>
    <w:rsid w:val="000D48C8"/>
    <w:rsid w:val="000D4A1F"/>
    <w:rsid w:val="000D4A5A"/>
    <w:rsid w:val="000D4B29"/>
    <w:rsid w:val="000D4CBE"/>
    <w:rsid w:val="000D4CDC"/>
    <w:rsid w:val="000D4E9F"/>
    <w:rsid w:val="000D4F4B"/>
    <w:rsid w:val="000D504C"/>
    <w:rsid w:val="000D5069"/>
    <w:rsid w:val="000D530F"/>
    <w:rsid w:val="000D554B"/>
    <w:rsid w:val="000D561B"/>
    <w:rsid w:val="000D5691"/>
    <w:rsid w:val="000D572D"/>
    <w:rsid w:val="000D579C"/>
    <w:rsid w:val="000D5A44"/>
    <w:rsid w:val="000D5B1A"/>
    <w:rsid w:val="000D5C84"/>
    <w:rsid w:val="000D6033"/>
    <w:rsid w:val="000D610B"/>
    <w:rsid w:val="000D6254"/>
    <w:rsid w:val="000D640C"/>
    <w:rsid w:val="000D645B"/>
    <w:rsid w:val="000D66FC"/>
    <w:rsid w:val="000D692A"/>
    <w:rsid w:val="000D6BB2"/>
    <w:rsid w:val="000D6D28"/>
    <w:rsid w:val="000D6D88"/>
    <w:rsid w:val="000D6FF4"/>
    <w:rsid w:val="000D71D1"/>
    <w:rsid w:val="000D73FE"/>
    <w:rsid w:val="000D75BA"/>
    <w:rsid w:val="000D78A4"/>
    <w:rsid w:val="000D7FDC"/>
    <w:rsid w:val="000E020B"/>
    <w:rsid w:val="000E0416"/>
    <w:rsid w:val="000E04D5"/>
    <w:rsid w:val="000E0529"/>
    <w:rsid w:val="000E096B"/>
    <w:rsid w:val="000E0AA6"/>
    <w:rsid w:val="000E0AE1"/>
    <w:rsid w:val="000E0B67"/>
    <w:rsid w:val="000E0C54"/>
    <w:rsid w:val="000E0D64"/>
    <w:rsid w:val="000E101C"/>
    <w:rsid w:val="000E1047"/>
    <w:rsid w:val="000E1132"/>
    <w:rsid w:val="000E1313"/>
    <w:rsid w:val="000E137D"/>
    <w:rsid w:val="000E141E"/>
    <w:rsid w:val="000E1431"/>
    <w:rsid w:val="000E14DC"/>
    <w:rsid w:val="000E1520"/>
    <w:rsid w:val="000E155B"/>
    <w:rsid w:val="000E1710"/>
    <w:rsid w:val="000E1757"/>
    <w:rsid w:val="000E1A16"/>
    <w:rsid w:val="000E1AD9"/>
    <w:rsid w:val="000E1DB4"/>
    <w:rsid w:val="000E1DCE"/>
    <w:rsid w:val="000E20D1"/>
    <w:rsid w:val="000E226D"/>
    <w:rsid w:val="000E238F"/>
    <w:rsid w:val="000E2529"/>
    <w:rsid w:val="000E262D"/>
    <w:rsid w:val="000E2859"/>
    <w:rsid w:val="000E28D1"/>
    <w:rsid w:val="000E28E2"/>
    <w:rsid w:val="000E29F6"/>
    <w:rsid w:val="000E2ABA"/>
    <w:rsid w:val="000E2C41"/>
    <w:rsid w:val="000E2C88"/>
    <w:rsid w:val="000E2DD4"/>
    <w:rsid w:val="000E2E1B"/>
    <w:rsid w:val="000E3080"/>
    <w:rsid w:val="000E3164"/>
    <w:rsid w:val="000E34AA"/>
    <w:rsid w:val="000E34F3"/>
    <w:rsid w:val="000E3547"/>
    <w:rsid w:val="000E37D3"/>
    <w:rsid w:val="000E3906"/>
    <w:rsid w:val="000E3959"/>
    <w:rsid w:val="000E3A11"/>
    <w:rsid w:val="000E3D47"/>
    <w:rsid w:val="000E3ED2"/>
    <w:rsid w:val="000E3F64"/>
    <w:rsid w:val="000E3FA7"/>
    <w:rsid w:val="000E42CB"/>
    <w:rsid w:val="000E46C9"/>
    <w:rsid w:val="000E485D"/>
    <w:rsid w:val="000E4CE7"/>
    <w:rsid w:val="000E4CFE"/>
    <w:rsid w:val="000E4E75"/>
    <w:rsid w:val="000E4FD3"/>
    <w:rsid w:val="000E5201"/>
    <w:rsid w:val="000E5593"/>
    <w:rsid w:val="000E560D"/>
    <w:rsid w:val="000E56BB"/>
    <w:rsid w:val="000E56E5"/>
    <w:rsid w:val="000E58B3"/>
    <w:rsid w:val="000E5AB4"/>
    <w:rsid w:val="000E5AEC"/>
    <w:rsid w:val="000E5B55"/>
    <w:rsid w:val="000E5C54"/>
    <w:rsid w:val="000E5C73"/>
    <w:rsid w:val="000E5E07"/>
    <w:rsid w:val="000E5FF8"/>
    <w:rsid w:val="000E6003"/>
    <w:rsid w:val="000E606A"/>
    <w:rsid w:val="000E61AD"/>
    <w:rsid w:val="000E6224"/>
    <w:rsid w:val="000E6396"/>
    <w:rsid w:val="000E64D7"/>
    <w:rsid w:val="000E66E1"/>
    <w:rsid w:val="000E671E"/>
    <w:rsid w:val="000E6816"/>
    <w:rsid w:val="000E6873"/>
    <w:rsid w:val="000E6AB5"/>
    <w:rsid w:val="000E6BD4"/>
    <w:rsid w:val="000E6CC6"/>
    <w:rsid w:val="000E6E8F"/>
    <w:rsid w:val="000E6EF0"/>
    <w:rsid w:val="000E6F51"/>
    <w:rsid w:val="000E71C3"/>
    <w:rsid w:val="000E71F5"/>
    <w:rsid w:val="000E7253"/>
    <w:rsid w:val="000E7632"/>
    <w:rsid w:val="000E7634"/>
    <w:rsid w:val="000E76EC"/>
    <w:rsid w:val="000E77FE"/>
    <w:rsid w:val="000E787F"/>
    <w:rsid w:val="000E797E"/>
    <w:rsid w:val="000E7BCF"/>
    <w:rsid w:val="000E7C38"/>
    <w:rsid w:val="000E7E78"/>
    <w:rsid w:val="000F00E3"/>
    <w:rsid w:val="000F0155"/>
    <w:rsid w:val="000F01AF"/>
    <w:rsid w:val="000F032E"/>
    <w:rsid w:val="000F041E"/>
    <w:rsid w:val="000F04EC"/>
    <w:rsid w:val="000F0556"/>
    <w:rsid w:val="000F0563"/>
    <w:rsid w:val="000F06F2"/>
    <w:rsid w:val="000F0774"/>
    <w:rsid w:val="000F0AC2"/>
    <w:rsid w:val="000F0C9B"/>
    <w:rsid w:val="000F0D11"/>
    <w:rsid w:val="000F11B3"/>
    <w:rsid w:val="000F125A"/>
    <w:rsid w:val="000F1C36"/>
    <w:rsid w:val="000F1CF3"/>
    <w:rsid w:val="000F1D9A"/>
    <w:rsid w:val="000F1DFA"/>
    <w:rsid w:val="000F1E00"/>
    <w:rsid w:val="000F1F19"/>
    <w:rsid w:val="000F222D"/>
    <w:rsid w:val="000F2835"/>
    <w:rsid w:val="000F2CA5"/>
    <w:rsid w:val="000F2D18"/>
    <w:rsid w:val="000F3073"/>
    <w:rsid w:val="000F3502"/>
    <w:rsid w:val="000F3841"/>
    <w:rsid w:val="000F3884"/>
    <w:rsid w:val="000F3947"/>
    <w:rsid w:val="000F395D"/>
    <w:rsid w:val="000F397C"/>
    <w:rsid w:val="000F39AD"/>
    <w:rsid w:val="000F3BD5"/>
    <w:rsid w:val="000F3C68"/>
    <w:rsid w:val="000F3E4C"/>
    <w:rsid w:val="000F4077"/>
    <w:rsid w:val="000F40E3"/>
    <w:rsid w:val="000F415C"/>
    <w:rsid w:val="000F41AF"/>
    <w:rsid w:val="000F47B3"/>
    <w:rsid w:val="000F47C7"/>
    <w:rsid w:val="000F4876"/>
    <w:rsid w:val="000F48E6"/>
    <w:rsid w:val="000F4B10"/>
    <w:rsid w:val="000F4C52"/>
    <w:rsid w:val="000F5035"/>
    <w:rsid w:val="000F50F1"/>
    <w:rsid w:val="000F518D"/>
    <w:rsid w:val="000F53B5"/>
    <w:rsid w:val="000F540D"/>
    <w:rsid w:val="000F59A3"/>
    <w:rsid w:val="000F5BFB"/>
    <w:rsid w:val="000F5C96"/>
    <w:rsid w:val="000F5D18"/>
    <w:rsid w:val="000F6135"/>
    <w:rsid w:val="000F6231"/>
    <w:rsid w:val="000F653B"/>
    <w:rsid w:val="000F6580"/>
    <w:rsid w:val="000F663E"/>
    <w:rsid w:val="000F68E4"/>
    <w:rsid w:val="000F68E5"/>
    <w:rsid w:val="000F7100"/>
    <w:rsid w:val="000F7194"/>
    <w:rsid w:val="000F73E1"/>
    <w:rsid w:val="000F752C"/>
    <w:rsid w:val="000F7545"/>
    <w:rsid w:val="000F76EB"/>
    <w:rsid w:val="000F7A9E"/>
    <w:rsid w:val="000F7BDC"/>
    <w:rsid w:val="000F7CE2"/>
    <w:rsid w:val="000F7FED"/>
    <w:rsid w:val="00100241"/>
    <w:rsid w:val="0010026A"/>
    <w:rsid w:val="001002D7"/>
    <w:rsid w:val="0010075D"/>
    <w:rsid w:val="00100BF0"/>
    <w:rsid w:val="00100E37"/>
    <w:rsid w:val="0010104E"/>
    <w:rsid w:val="001010C3"/>
    <w:rsid w:val="00101294"/>
    <w:rsid w:val="001016EB"/>
    <w:rsid w:val="0010193F"/>
    <w:rsid w:val="00101B66"/>
    <w:rsid w:val="00101BAC"/>
    <w:rsid w:val="00101BEC"/>
    <w:rsid w:val="00101CAE"/>
    <w:rsid w:val="00101CD5"/>
    <w:rsid w:val="00101DCF"/>
    <w:rsid w:val="00101E6B"/>
    <w:rsid w:val="00102758"/>
    <w:rsid w:val="00102883"/>
    <w:rsid w:val="00102909"/>
    <w:rsid w:val="00102A1F"/>
    <w:rsid w:val="00102EE4"/>
    <w:rsid w:val="0010328D"/>
    <w:rsid w:val="00103398"/>
    <w:rsid w:val="00103445"/>
    <w:rsid w:val="0010368A"/>
    <w:rsid w:val="00103840"/>
    <w:rsid w:val="0010397E"/>
    <w:rsid w:val="00103C23"/>
    <w:rsid w:val="00103DBE"/>
    <w:rsid w:val="00103F91"/>
    <w:rsid w:val="0010415E"/>
    <w:rsid w:val="00104407"/>
    <w:rsid w:val="00104588"/>
    <w:rsid w:val="0010476A"/>
    <w:rsid w:val="0010491C"/>
    <w:rsid w:val="00104A31"/>
    <w:rsid w:val="00104AA4"/>
    <w:rsid w:val="00104EA8"/>
    <w:rsid w:val="00105368"/>
    <w:rsid w:val="00105395"/>
    <w:rsid w:val="001053A0"/>
    <w:rsid w:val="00105508"/>
    <w:rsid w:val="00105863"/>
    <w:rsid w:val="00105916"/>
    <w:rsid w:val="00105A3E"/>
    <w:rsid w:val="00105A49"/>
    <w:rsid w:val="00105C1F"/>
    <w:rsid w:val="00105D4D"/>
    <w:rsid w:val="00105E02"/>
    <w:rsid w:val="00105F67"/>
    <w:rsid w:val="00106063"/>
    <w:rsid w:val="00106085"/>
    <w:rsid w:val="0010616E"/>
    <w:rsid w:val="001061A5"/>
    <w:rsid w:val="0010634A"/>
    <w:rsid w:val="001063AA"/>
    <w:rsid w:val="0010652A"/>
    <w:rsid w:val="00106552"/>
    <w:rsid w:val="0010680A"/>
    <w:rsid w:val="00106982"/>
    <w:rsid w:val="00106DD9"/>
    <w:rsid w:val="00106FA2"/>
    <w:rsid w:val="0010707D"/>
    <w:rsid w:val="001071B6"/>
    <w:rsid w:val="001073A6"/>
    <w:rsid w:val="001074F2"/>
    <w:rsid w:val="001079C5"/>
    <w:rsid w:val="00107CCA"/>
    <w:rsid w:val="00107EAB"/>
    <w:rsid w:val="00107F19"/>
    <w:rsid w:val="00107F26"/>
    <w:rsid w:val="00110088"/>
    <w:rsid w:val="00110292"/>
    <w:rsid w:val="001103CD"/>
    <w:rsid w:val="001104D9"/>
    <w:rsid w:val="00110951"/>
    <w:rsid w:val="00110B86"/>
    <w:rsid w:val="00110C08"/>
    <w:rsid w:val="00110DED"/>
    <w:rsid w:val="0011119D"/>
    <w:rsid w:val="001112FC"/>
    <w:rsid w:val="00111653"/>
    <w:rsid w:val="00111805"/>
    <w:rsid w:val="0011191E"/>
    <w:rsid w:val="00111B04"/>
    <w:rsid w:val="00111BD0"/>
    <w:rsid w:val="00111CD6"/>
    <w:rsid w:val="00111D11"/>
    <w:rsid w:val="00111EDB"/>
    <w:rsid w:val="00112045"/>
    <w:rsid w:val="00112095"/>
    <w:rsid w:val="00112303"/>
    <w:rsid w:val="0011251D"/>
    <w:rsid w:val="0011281D"/>
    <w:rsid w:val="00112BE0"/>
    <w:rsid w:val="00112DDA"/>
    <w:rsid w:val="00113244"/>
    <w:rsid w:val="0011355C"/>
    <w:rsid w:val="001135E5"/>
    <w:rsid w:val="0011365E"/>
    <w:rsid w:val="00113814"/>
    <w:rsid w:val="00113A03"/>
    <w:rsid w:val="00113D9F"/>
    <w:rsid w:val="00113E96"/>
    <w:rsid w:val="00113EE7"/>
    <w:rsid w:val="00113F02"/>
    <w:rsid w:val="0011472F"/>
    <w:rsid w:val="001148DD"/>
    <w:rsid w:val="0011495C"/>
    <w:rsid w:val="00114B6D"/>
    <w:rsid w:val="00114C55"/>
    <w:rsid w:val="00114E0B"/>
    <w:rsid w:val="00115312"/>
    <w:rsid w:val="00115618"/>
    <w:rsid w:val="00115A3A"/>
    <w:rsid w:val="00115C67"/>
    <w:rsid w:val="00115EB9"/>
    <w:rsid w:val="001160A9"/>
    <w:rsid w:val="001161C2"/>
    <w:rsid w:val="001163D7"/>
    <w:rsid w:val="001163FD"/>
    <w:rsid w:val="00116681"/>
    <w:rsid w:val="00116A19"/>
    <w:rsid w:val="00116DD9"/>
    <w:rsid w:val="0011701C"/>
    <w:rsid w:val="00117156"/>
    <w:rsid w:val="00117912"/>
    <w:rsid w:val="00117B50"/>
    <w:rsid w:val="00117C49"/>
    <w:rsid w:val="00117FC2"/>
    <w:rsid w:val="001204E4"/>
    <w:rsid w:val="0012098F"/>
    <w:rsid w:val="00120EC4"/>
    <w:rsid w:val="00120FE4"/>
    <w:rsid w:val="001211BC"/>
    <w:rsid w:val="0012132F"/>
    <w:rsid w:val="001213E5"/>
    <w:rsid w:val="001216B4"/>
    <w:rsid w:val="00121C1C"/>
    <w:rsid w:val="00121CC6"/>
    <w:rsid w:val="00121DEC"/>
    <w:rsid w:val="00121E34"/>
    <w:rsid w:val="001221BC"/>
    <w:rsid w:val="001221F2"/>
    <w:rsid w:val="001223E9"/>
    <w:rsid w:val="00122487"/>
    <w:rsid w:val="0012256B"/>
    <w:rsid w:val="00122579"/>
    <w:rsid w:val="001226B1"/>
    <w:rsid w:val="001226B3"/>
    <w:rsid w:val="0012279F"/>
    <w:rsid w:val="001227E2"/>
    <w:rsid w:val="001228D8"/>
    <w:rsid w:val="00122B16"/>
    <w:rsid w:val="00122C0C"/>
    <w:rsid w:val="001235C3"/>
    <w:rsid w:val="0012373C"/>
    <w:rsid w:val="00123776"/>
    <w:rsid w:val="00123782"/>
    <w:rsid w:val="00123883"/>
    <w:rsid w:val="00123970"/>
    <w:rsid w:val="00123B0E"/>
    <w:rsid w:val="00124084"/>
    <w:rsid w:val="0012409B"/>
    <w:rsid w:val="00124511"/>
    <w:rsid w:val="00124668"/>
    <w:rsid w:val="00124764"/>
    <w:rsid w:val="00124905"/>
    <w:rsid w:val="00124912"/>
    <w:rsid w:val="00124F88"/>
    <w:rsid w:val="00125098"/>
    <w:rsid w:val="0012514A"/>
    <w:rsid w:val="001255C7"/>
    <w:rsid w:val="00125796"/>
    <w:rsid w:val="001257E7"/>
    <w:rsid w:val="00125B96"/>
    <w:rsid w:val="00125D71"/>
    <w:rsid w:val="00125E43"/>
    <w:rsid w:val="00125E51"/>
    <w:rsid w:val="00125EB4"/>
    <w:rsid w:val="001261A0"/>
    <w:rsid w:val="001261A1"/>
    <w:rsid w:val="0012668B"/>
    <w:rsid w:val="001266DD"/>
    <w:rsid w:val="00126903"/>
    <w:rsid w:val="00126CD6"/>
    <w:rsid w:val="00126EDF"/>
    <w:rsid w:val="00127013"/>
    <w:rsid w:val="00127465"/>
    <w:rsid w:val="0012749B"/>
    <w:rsid w:val="001276D3"/>
    <w:rsid w:val="00127850"/>
    <w:rsid w:val="00127922"/>
    <w:rsid w:val="0012797D"/>
    <w:rsid w:val="001279E4"/>
    <w:rsid w:val="00127A88"/>
    <w:rsid w:val="00127ABB"/>
    <w:rsid w:val="00127FE2"/>
    <w:rsid w:val="001308C6"/>
    <w:rsid w:val="001309F0"/>
    <w:rsid w:val="00130C40"/>
    <w:rsid w:val="00130D0B"/>
    <w:rsid w:val="00131171"/>
    <w:rsid w:val="00131291"/>
    <w:rsid w:val="001317FE"/>
    <w:rsid w:val="001318C8"/>
    <w:rsid w:val="001319AD"/>
    <w:rsid w:val="00131A6A"/>
    <w:rsid w:val="00131CFA"/>
    <w:rsid w:val="00131DB9"/>
    <w:rsid w:val="00131DFB"/>
    <w:rsid w:val="00131F42"/>
    <w:rsid w:val="00131F4A"/>
    <w:rsid w:val="00132039"/>
    <w:rsid w:val="001322E2"/>
    <w:rsid w:val="0013274F"/>
    <w:rsid w:val="00132E13"/>
    <w:rsid w:val="0013301E"/>
    <w:rsid w:val="0013331D"/>
    <w:rsid w:val="0013340B"/>
    <w:rsid w:val="00133852"/>
    <w:rsid w:val="00133865"/>
    <w:rsid w:val="0013388B"/>
    <w:rsid w:val="00133937"/>
    <w:rsid w:val="00133A40"/>
    <w:rsid w:val="00133A44"/>
    <w:rsid w:val="00133AD2"/>
    <w:rsid w:val="00133B2A"/>
    <w:rsid w:val="00133D64"/>
    <w:rsid w:val="00133DAC"/>
    <w:rsid w:val="00133DC4"/>
    <w:rsid w:val="00133FB9"/>
    <w:rsid w:val="0013400B"/>
    <w:rsid w:val="0013418F"/>
    <w:rsid w:val="00134499"/>
    <w:rsid w:val="001346E3"/>
    <w:rsid w:val="001349A9"/>
    <w:rsid w:val="00134BA9"/>
    <w:rsid w:val="00134BD3"/>
    <w:rsid w:val="00134F7D"/>
    <w:rsid w:val="00134FED"/>
    <w:rsid w:val="00135226"/>
    <w:rsid w:val="00135326"/>
    <w:rsid w:val="0013535C"/>
    <w:rsid w:val="001357F1"/>
    <w:rsid w:val="001357FC"/>
    <w:rsid w:val="00135E50"/>
    <w:rsid w:val="00135F05"/>
    <w:rsid w:val="00136072"/>
    <w:rsid w:val="001360D9"/>
    <w:rsid w:val="00136528"/>
    <w:rsid w:val="00136666"/>
    <w:rsid w:val="0013684C"/>
    <w:rsid w:val="00136916"/>
    <w:rsid w:val="0013693A"/>
    <w:rsid w:val="001369C8"/>
    <w:rsid w:val="00136BB5"/>
    <w:rsid w:val="00136C90"/>
    <w:rsid w:val="00136D91"/>
    <w:rsid w:val="00136F9A"/>
    <w:rsid w:val="001371C5"/>
    <w:rsid w:val="00137326"/>
    <w:rsid w:val="00137375"/>
    <w:rsid w:val="001374EA"/>
    <w:rsid w:val="001375F8"/>
    <w:rsid w:val="00137651"/>
    <w:rsid w:val="00137CCB"/>
    <w:rsid w:val="00137EF5"/>
    <w:rsid w:val="00137F77"/>
    <w:rsid w:val="0014029F"/>
    <w:rsid w:val="00140347"/>
    <w:rsid w:val="0014041D"/>
    <w:rsid w:val="001404DA"/>
    <w:rsid w:val="0014059C"/>
    <w:rsid w:val="001405B4"/>
    <w:rsid w:val="001405E2"/>
    <w:rsid w:val="00140798"/>
    <w:rsid w:val="00140A54"/>
    <w:rsid w:val="00140BBF"/>
    <w:rsid w:val="00140C27"/>
    <w:rsid w:val="00140CC0"/>
    <w:rsid w:val="00140E58"/>
    <w:rsid w:val="00140FA8"/>
    <w:rsid w:val="00141179"/>
    <w:rsid w:val="00141305"/>
    <w:rsid w:val="00141433"/>
    <w:rsid w:val="001414F8"/>
    <w:rsid w:val="00141538"/>
    <w:rsid w:val="0014154C"/>
    <w:rsid w:val="001416B4"/>
    <w:rsid w:val="001416DA"/>
    <w:rsid w:val="00141720"/>
    <w:rsid w:val="00141919"/>
    <w:rsid w:val="00141E2E"/>
    <w:rsid w:val="00141E8B"/>
    <w:rsid w:val="00141E98"/>
    <w:rsid w:val="0014210A"/>
    <w:rsid w:val="0014216D"/>
    <w:rsid w:val="001421C2"/>
    <w:rsid w:val="0014233A"/>
    <w:rsid w:val="00142713"/>
    <w:rsid w:val="00142AB1"/>
    <w:rsid w:val="00142B6D"/>
    <w:rsid w:val="00142BD6"/>
    <w:rsid w:val="00142FEB"/>
    <w:rsid w:val="00143010"/>
    <w:rsid w:val="001430A9"/>
    <w:rsid w:val="00143292"/>
    <w:rsid w:val="00143653"/>
    <w:rsid w:val="00143896"/>
    <w:rsid w:val="00143946"/>
    <w:rsid w:val="00143A21"/>
    <w:rsid w:val="00143A2D"/>
    <w:rsid w:val="00143B7A"/>
    <w:rsid w:val="00143B80"/>
    <w:rsid w:val="00143BD9"/>
    <w:rsid w:val="00143CBC"/>
    <w:rsid w:val="00143CD8"/>
    <w:rsid w:val="00143EC6"/>
    <w:rsid w:val="00143F1D"/>
    <w:rsid w:val="00143FB1"/>
    <w:rsid w:val="001440D6"/>
    <w:rsid w:val="00144176"/>
    <w:rsid w:val="0014432C"/>
    <w:rsid w:val="00144528"/>
    <w:rsid w:val="0014469B"/>
    <w:rsid w:val="00144935"/>
    <w:rsid w:val="00144BA3"/>
    <w:rsid w:val="00144CFE"/>
    <w:rsid w:val="00144D21"/>
    <w:rsid w:val="001451A1"/>
    <w:rsid w:val="001453C6"/>
    <w:rsid w:val="0014553E"/>
    <w:rsid w:val="001457AA"/>
    <w:rsid w:val="001458EE"/>
    <w:rsid w:val="00145A41"/>
    <w:rsid w:val="00145BAC"/>
    <w:rsid w:val="00145C1D"/>
    <w:rsid w:val="00145FF6"/>
    <w:rsid w:val="001461A5"/>
    <w:rsid w:val="00146415"/>
    <w:rsid w:val="00146E06"/>
    <w:rsid w:val="00147036"/>
    <w:rsid w:val="00147528"/>
    <w:rsid w:val="001475AE"/>
    <w:rsid w:val="001475D0"/>
    <w:rsid w:val="0014771C"/>
    <w:rsid w:val="001477A9"/>
    <w:rsid w:val="0014784D"/>
    <w:rsid w:val="0014797A"/>
    <w:rsid w:val="00147D72"/>
    <w:rsid w:val="00147E0E"/>
    <w:rsid w:val="001500AA"/>
    <w:rsid w:val="0015017C"/>
    <w:rsid w:val="0015035D"/>
    <w:rsid w:val="001504D7"/>
    <w:rsid w:val="001505A5"/>
    <w:rsid w:val="001507C6"/>
    <w:rsid w:val="00150AD6"/>
    <w:rsid w:val="00150C89"/>
    <w:rsid w:val="00151034"/>
    <w:rsid w:val="001512E4"/>
    <w:rsid w:val="0015140D"/>
    <w:rsid w:val="0015148D"/>
    <w:rsid w:val="0015160A"/>
    <w:rsid w:val="00151616"/>
    <w:rsid w:val="00151675"/>
    <w:rsid w:val="00151A1E"/>
    <w:rsid w:val="00151AB8"/>
    <w:rsid w:val="00151DBE"/>
    <w:rsid w:val="00151DC8"/>
    <w:rsid w:val="00151EA5"/>
    <w:rsid w:val="00151F8B"/>
    <w:rsid w:val="001522BF"/>
    <w:rsid w:val="001523FB"/>
    <w:rsid w:val="001525B2"/>
    <w:rsid w:val="00152AD6"/>
    <w:rsid w:val="00152D34"/>
    <w:rsid w:val="00152FD9"/>
    <w:rsid w:val="001531AD"/>
    <w:rsid w:val="0015355E"/>
    <w:rsid w:val="001536BF"/>
    <w:rsid w:val="001538B7"/>
    <w:rsid w:val="001538E6"/>
    <w:rsid w:val="00153980"/>
    <w:rsid w:val="00153A03"/>
    <w:rsid w:val="00153A5C"/>
    <w:rsid w:val="00153AC2"/>
    <w:rsid w:val="00153C5C"/>
    <w:rsid w:val="00153F15"/>
    <w:rsid w:val="0015408C"/>
    <w:rsid w:val="00154150"/>
    <w:rsid w:val="00154208"/>
    <w:rsid w:val="00154534"/>
    <w:rsid w:val="001547E6"/>
    <w:rsid w:val="00154B1E"/>
    <w:rsid w:val="00154BF8"/>
    <w:rsid w:val="00154F33"/>
    <w:rsid w:val="001551EA"/>
    <w:rsid w:val="001551EB"/>
    <w:rsid w:val="001552B8"/>
    <w:rsid w:val="001553EE"/>
    <w:rsid w:val="00155614"/>
    <w:rsid w:val="00155618"/>
    <w:rsid w:val="001558D9"/>
    <w:rsid w:val="00155A43"/>
    <w:rsid w:val="00155A7E"/>
    <w:rsid w:val="00155B41"/>
    <w:rsid w:val="00155E3E"/>
    <w:rsid w:val="001561D7"/>
    <w:rsid w:val="001562C5"/>
    <w:rsid w:val="001563BD"/>
    <w:rsid w:val="001564E0"/>
    <w:rsid w:val="0015656B"/>
    <w:rsid w:val="001565DC"/>
    <w:rsid w:val="00156643"/>
    <w:rsid w:val="00156764"/>
    <w:rsid w:val="0015681D"/>
    <w:rsid w:val="001568F3"/>
    <w:rsid w:val="00156BA6"/>
    <w:rsid w:val="00157435"/>
    <w:rsid w:val="00157690"/>
    <w:rsid w:val="001576EB"/>
    <w:rsid w:val="00157807"/>
    <w:rsid w:val="00157843"/>
    <w:rsid w:val="0015795C"/>
    <w:rsid w:val="00157A2D"/>
    <w:rsid w:val="00157C44"/>
    <w:rsid w:val="001600BD"/>
    <w:rsid w:val="00160199"/>
    <w:rsid w:val="0016035E"/>
    <w:rsid w:val="001604A1"/>
    <w:rsid w:val="0016050A"/>
    <w:rsid w:val="001607B3"/>
    <w:rsid w:val="001608DD"/>
    <w:rsid w:val="00160A8B"/>
    <w:rsid w:val="00160AFC"/>
    <w:rsid w:val="00160B6E"/>
    <w:rsid w:val="00161093"/>
    <w:rsid w:val="001610CE"/>
    <w:rsid w:val="001610D6"/>
    <w:rsid w:val="00161139"/>
    <w:rsid w:val="00161153"/>
    <w:rsid w:val="001611BE"/>
    <w:rsid w:val="001611D3"/>
    <w:rsid w:val="00161240"/>
    <w:rsid w:val="00161BBE"/>
    <w:rsid w:val="00161C64"/>
    <w:rsid w:val="00161CAB"/>
    <w:rsid w:val="00161D88"/>
    <w:rsid w:val="00161ED7"/>
    <w:rsid w:val="00161FF5"/>
    <w:rsid w:val="001620BF"/>
    <w:rsid w:val="001622D8"/>
    <w:rsid w:val="00162706"/>
    <w:rsid w:val="001627B1"/>
    <w:rsid w:val="001629A4"/>
    <w:rsid w:val="00162EBB"/>
    <w:rsid w:val="00163247"/>
    <w:rsid w:val="001634A6"/>
    <w:rsid w:val="001634CD"/>
    <w:rsid w:val="001636A5"/>
    <w:rsid w:val="0016377D"/>
    <w:rsid w:val="00163999"/>
    <w:rsid w:val="001639E8"/>
    <w:rsid w:val="00163DF3"/>
    <w:rsid w:val="00163F68"/>
    <w:rsid w:val="00163FB7"/>
    <w:rsid w:val="00164028"/>
    <w:rsid w:val="0016432B"/>
    <w:rsid w:val="00164492"/>
    <w:rsid w:val="00164521"/>
    <w:rsid w:val="0016461E"/>
    <w:rsid w:val="00164830"/>
    <w:rsid w:val="001648A2"/>
    <w:rsid w:val="00164983"/>
    <w:rsid w:val="00164AB0"/>
    <w:rsid w:val="0016517F"/>
    <w:rsid w:val="001655CE"/>
    <w:rsid w:val="00165608"/>
    <w:rsid w:val="00165D73"/>
    <w:rsid w:val="00165F60"/>
    <w:rsid w:val="00165FBD"/>
    <w:rsid w:val="00166154"/>
    <w:rsid w:val="0016633F"/>
    <w:rsid w:val="001663EF"/>
    <w:rsid w:val="00166983"/>
    <w:rsid w:val="00166D30"/>
    <w:rsid w:val="001674EF"/>
    <w:rsid w:val="001676C7"/>
    <w:rsid w:val="001679B0"/>
    <w:rsid w:val="00167AA0"/>
    <w:rsid w:val="00167E32"/>
    <w:rsid w:val="00167E44"/>
    <w:rsid w:val="00170423"/>
    <w:rsid w:val="0017066A"/>
    <w:rsid w:val="00170B48"/>
    <w:rsid w:val="00170B7D"/>
    <w:rsid w:val="00170E3B"/>
    <w:rsid w:val="00170EF0"/>
    <w:rsid w:val="00170FF9"/>
    <w:rsid w:val="001712EA"/>
    <w:rsid w:val="00171303"/>
    <w:rsid w:val="001717D1"/>
    <w:rsid w:val="00171E88"/>
    <w:rsid w:val="00171E8A"/>
    <w:rsid w:val="00171F03"/>
    <w:rsid w:val="00172618"/>
    <w:rsid w:val="00172801"/>
    <w:rsid w:val="00172B44"/>
    <w:rsid w:val="00172CED"/>
    <w:rsid w:val="00172DB2"/>
    <w:rsid w:val="00172F18"/>
    <w:rsid w:val="00173064"/>
    <w:rsid w:val="0017331F"/>
    <w:rsid w:val="001733F4"/>
    <w:rsid w:val="0017349F"/>
    <w:rsid w:val="0017362D"/>
    <w:rsid w:val="00173833"/>
    <w:rsid w:val="00173D29"/>
    <w:rsid w:val="0017428B"/>
    <w:rsid w:val="0017431D"/>
    <w:rsid w:val="00174377"/>
    <w:rsid w:val="0017439D"/>
    <w:rsid w:val="00174492"/>
    <w:rsid w:val="0017453E"/>
    <w:rsid w:val="00174676"/>
    <w:rsid w:val="00174AE7"/>
    <w:rsid w:val="00174D30"/>
    <w:rsid w:val="00174DE6"/>
    <w:rsid w:val="00174EAA"/>
    <w:rsid w:val="0017504D"/>
    <w:rsid w:val="00175055"/>
    <w:rsid w:val="0017525D"/>
    <w:rsid w:val="0017536C"/>
    <w:rsid w:val="00175538"/>
    <w:rsid w:val="00175AEC"/>
    <w:rsid w:val="00175F74"/>
    <w:rsid w:val="00176224"/>
    <w:rsid w:val="001764CE"/>
    <w:rsid w:val="0017671A"/>
    <w:rsid w:val="001767AF"/>
    <w:rsid w:val="00176848"/>
    <w:rsid w:val="00176998"/>
    <w:rsid w:val="001769A5"/>
    <w:rsid w:val="00176B05"/>
    <w:rsid w:val="00176C4F"/>
    <w:rsid w:val="00176CE0"/>
    <w:rsid w:val="00176D41"/>
    <w:rsid w:val="00176EC1"/>
    <w:rsid w:val="00177168"/>
    <w:rsid w:val="001771C1"/>
    <w:rsid w:val="001771E9"/>
    <w:rsid w:val="00177351"/>
    <w:rsid w:val="00177422"/>
    <w:rsid w:val="0017751E"/>
    <w:rsid w:val="00177887"/>
    <w:rsid w:val="00177DEC"/>
    <w:rsid w:val="00177E3C"/>
    <w:rsid w:val="00177F97"/>
    <w:rsid w:val="0018021E"/>
    <w:rsid w:val="00180398"/>
    <w:rsid w:val="001804E6"/>
    <w:rsid w:val="0018071E"/>
    <w:rsid w:val="00180E42"/>
    <w:rsid w:val="00180FA6"/>
    <w:rsid w:val="0018114D"/>
    <w:rsid w:val="00181349"/>
    <w:rsid w:val="00181A28"/>
    <w:rsid w:val="00181EFB"/>
    <w:rsid w:val="00181EFD"/>
    <w:rsid w:val="00181F0A"/>
    <w:rsid w:val="00182158"/>
    <w:rsid w:val="001822EE"/>
    <w:rsid w:val="001822F0"/>
    <w:rsid w:val="00182366"/>
    <w:rsid w:val="00182598"/>
    <w:rsid w:val="0018290A"/>
    <w:rsid w:val="00182BB2"/>
    <w:rsid w:val="00182BE6"/>
    <w:rsid w:val="00182DCA"/>
    <w:rsid w:val="00182F24"/>
    <w:rsid w:val="0018327B"/>
    <w:rsid w:val="00183386"/>
    <w:rsid w:val="001833EA"/>
    <w:rsid w:val="00183569"/>
    <w:rsid w:val="001839B6"/>
    <w:rsid w:val="00183A19"/>
    <w:rsid w:val="00183BF5"/>
    <w:rsid w:val="00183CC8"/>
    <w:rsid w:val="00183D90"/>
    <w:rsid w:val="0018431C"/>
    <w:rsid w:val="00184490"/>
    <w:rsid w:val="00184524"/>
    <w:rsid w:val="00184544"/>
    <w:rsid w:val="00184590"/>
    <w:rsid w:val="00184737"/>
    <w:rsid w:val="0018492C"/>
    <w:rsid w:val="001849DF"/>
    <w:rsid w:val="00184A0C"/>
    <w:rsid w:val="00184A4F"/>
    <w:rsid w:val="00184BD8"/>
    <w:rsid w:val="00184C60"/>
    <w:rsid w:val="00184F0A"/>
    <w:rsid w:val="001850F6"/>
    <w:rsid w:val="0018515C"/>
    <w:rsid w:val="00185483"/>
    <w:rsid w:val="001855A6"/>
    <w:rsid w:val="00185634"/>
    <w:rsid w:val="00185B69"/>
    <w:rsid w:val="00185B95"/>
    <w:rsid w:val="00185F99"/>
    <w:rsid w:val="00186027"/>
    <w:rsid w:val="0018622F"/>
    <w:rsid w:val="00186230"/>
    <w:rsid w:val="001864DB"/>
    <w:rsid w:val="001864DD"/>
    <w:rsid w:val="001865A3"/>
    <w:rsid w:val="001865AC"/>
    <w:rsid w:val="00186818"/>
    <w:rsid w:val="00186862"/>
    <w:rsid w:val="00186986"/>
    <w:rsid w:val="00186AD3"/>
    <w:rsid w:val="00186BA3"/>
    <w:rsid w:val="00186C33"/>
    <w:rsid w:val="00186C90"/>
    <w:rsid w:val="001870D1"/>
    <w:rsid w:val="001871D0"/>
    <w:rsid w:val="0018730D"/>
    <w:rsid w:val="00187597"/>
    <w:rsid w:val="0018779F"/>
    <w:rsid w:val="0018781E"/>
    <w:rsid w:val="001879F4"/>
    <w:rsid w:val="00187EAC"/>
    <w:rsid w:val="001901C1"/>
    <w:rsid w:val="00190227"/>
    <w:rsid w:val="001905EF"/>
    <w:rsid w:val="0019074F"/>
    <w:rsid w:val="00190848"/>
    <w:rsid w:val="00190916"/>
    <w:rsid w:val="001909C2"/>
    <w:rsid w:val="00190A19"/>
    <w:rsid w:val="00190AE4"/>
    <w:rsid w:val="00190B7C"/>
    <w:rsid w:val="00190E10"/>
    <w:rsid w:val="00190FE4"/>
    <w:rsid w:val="00191538"/>
    <w:rsid w:val="001916B5"/>
    <w:rsid w:val="00191942"/>
    <w:rsid w:val="00191A30"/>
    <w:rsid w:val="00191DF1"/>
    <w:rsid w:val="00191FDA"/>
    <w:rsid w:val="0019234D"/>
    <w:rsid w:val="00192407"/>
    <w:rsid w:val="00192523"/>
    <w:rsid w:val="00192600"/>
    <w:rsid w:val="0019262D"/>
    <w:rsid w:val="00192EC7"/>
    <w:rsid w:val="0019302C"/>
    <w:rsid w:val="0019312C"/>
    <w:rsid w:val="0019315F"/>
    <w:rsid w:val="001932B6"/>
    <w:rsid w:val="0019363E"/>
    <w:rsid w:val="001936AC"/>
    <w:rsid w:val="00193734"/>
    <w:rsid w:val="00193D4F"/>
    <w:rsid w:val="00193E8E"/>
    <w:rsid w:val="00193ECB"/>
    <w:rsid w:val="001941E3"/>
    <w:rsid w:val="001947F2"/>
    <w:rsid w:val="00194B51"/>
    <w:rsid w:val="00194D96"/>
    <w:rsid w:val="00194E1D"/>
    <w:rsid w:val="00195254"/>
    <w:rsid w:val="00195492"/>
    <w:rsid w:val="001958F4"/>
    <w:rsid w:val="00195B96"/>
    <w:rsid w:val="00195DD5"/>
    <w:rsid w:val="0019601D"/>
    <w:rsid w:val="0019612F"/>
    <w:rsid w:val="001961FA"/>
    <w:rsid w:val="00196281"/>
    <w:rsid w:val="00196464"/>
    <w:rsid w:val="001964B9"/>
    <w:rsid w:val="0019655A"/>
    <w:rsid w:val="00196649"/>
    <w:rsid w:val="001966A8"/>
    <w:rsid w:val="001966B1"/>
    <w:rsid w:val="00196768"/>
    <w:rsid w:val="001968AE"/>
    <w:rsid w:val="00196CC4"/>
    <w:rsid w:val="00196DF9"/>
    <w:rsid w:val="001970A1"/>
    <w:rsid w:val="00197216"/>
    <w:rsid w:val="001975FB"/>
    <w:rsid w:val="00197714"/>
    <w:rsid w:val="00197A90"/>
    <w:rsid w:val="00197AA8"/>
    <w:rsid w:val="00197B13"/>
    <w:rsid w:val="00197C2A"/>
    <w:rsid w:val="001A00E8"/>
    <w:rsid w:val="001A020D"/>
    <w:rsid w:val="001A036A"/>
    <w:rsid w:val="001A058A"/>
    <w:rsid w:val="001A0763"/>
    <w:rsid w:val="001A098C"/>
    <w:rsid w:val="001A0C06"/>
    <w:rsid w:val="001A0FCC"/>
    <w:rsid w:val="001A110D"/>
    <w:rsid w:val="001A11E4"/>
    <w:rsid w:val="001A15B0"/>
    <w:rsid w:val="001A16D7"/>
    <w:rsid w:val="001A178B"/>
    <w:rsid w:val="001A1938"/>
    <w:rsid w:val="001A1992"/>
    <w:rsid w:val="001A19BC"/>
    <w:rsid w:val="001A1AE2"/>
    <w:rsid w:val="001A1B35"/>
    <w:rsid w:val="001A213F"/>
    <w:rsid w:val="001A2404"/>
    <w:rsid w:val="001A24BC"/>
    <w:rsid w:val="001A2574"/>
    <w:rsid w:val="001A2665"/>
    <w:rsid w:val="001A268B"/>
    <w:rsid w:val="001A26AC"/>
    <w:rsid w:val="001A2755"/>
    <w:rsid w:val="001A27D1"/>
    <w:rsid w:val="001A284A"/>
    <w:rsid w:val="001A28DA"/>
    <w:rsid w:val="001A2AE4"/>
    <w:rsid w:val="001A2B93"/>
    <w:rsid w:val="001A2E91"/>
    <w:rsid w:val="001A2EE0"/>
    <w:rsid w:val="001A2F7C"/>
    <w:rsid w:val="001A30C4"/>
    <w:rsid w:val="001A3385"/>
    <w:rsid w:val="001A3509"/>
    <w:rsid w:val="001A3669"/>
    <w:rsid w:val="001A3A1C"/>
    <w:rsid w:val="001A408E"/>
    <w:rsid w:val="001A40EA"/>
    <w:rsid w:val="001A4106"/>
    <w:rsid w:val="001A414F"/>
    <w:rsid w:val="001A42F8"/>
    <w:rsid w:val="001A44E2"/>
    <w:rsid w:val="001A4562"/>
    <w:rsid w:val="001A4760"/>
    <w:rsid w:val="001A4761"/>
    <w:rsid w:val="001A4767"/>
    <w:rsid w:val="001A47BF"/>
    <w:rsid w:val="001A48A2"/>
    <w:rsid w:val="001A48EB"/>
    <w:rsid w:val="001A4B6B"/>
    <w:rsid w:val="001A4E05"/>
    <w:rsid w:val="001A4E88"/>
    <w:rsid w:val="001A4EB3"/>
    <w:rsid w:val="001A4FFD"/>
    <w:rsid w:val="001A5230"/>
    <w:rsid w:val="001A5276"/>
    <w:rsid w:val="001A557A"/>
    <w:rsid w:val="001A5B51"/>
    <w:rsid w:val="001A5B77"/>
    <w:rsid w:val="001A5CCC"/>
    <w:rsid w:val="001A5F10"/>
    <w:rsid w:val="001A5F1F"/>
    <w:rsid w:val="001A5F95"/>
    <w:rsid w:val="001A61E0"/>
    <w:rsid w:val="001A65B5"/>
    <w:rsid w:val="001A6617"/>
    <w:rsid w:val="001A66A9"/>
    <w:rsid w:val="001A66FB"/>
    <w:rsid w:val="001A68D1"/>
    <w:rsid w:val="001A69B2"/>
    <w:rsid w:val="001A6A3A"/>
    <w:rsid w:val="001A6AEF"/>
    <w:rsid w:val="001A6DBB"/>
    <w:rsid w:val="001A6F50"/>
    <w:rsid w:val="001A6F61"/>
    <w:rsid w:val="001A6FA2"/>
    <w:rsid w:val="001A7271"/>
    <w:rsid w:val="001A7411"/>
    <w:rsid w:val="001A749B"/>
    <w:rsid w:val="001A7703"/>
    <w:rsid w:val="001A778C"/>
    <w:rsid w:val="001A7842"/>
    <w:rsid w:val="001A7B95"/>
    <w:rsid w:val="001A7E50"/>
    <w:rsid w:val="001B0031"/>
    <w:rsid w:val="001B015A"/>
    <w:rsid w:val="001B02AA"/>
    <w:rsid w:val="001B0454"/>
    <w:rsid w:val="001B04C9"/>
    <w:rsid w:val="001B0A7F"/>
    <w:rsid w:val="001B0AEC"/>
    <w:rsid w:val="001B0B49"/>
    <w:rsid w:val="001B0D9C"/>
    <w:rsid w:val="001B0F42"/>
    <w:rsid w:val="001B12D5"/>
    <w:rsid w:val="001B16A0"/>
    <w:rsid w:val="001B18F1"/>
    <w:rsid w:val="001B1A3A"/>
    <w:rsid w:val="001B1AE0"/>
    <w:rsid w:val="001B1D64"/>
    <w:rsid w:val="001B1E95"/>
    <w:rsid w:val="001B1EA9"/>
    <w:rsid w:val="001B1EB5"/>
    <w:rsid w:val="001B2038"/>
    <w:rsid w:val="001B20F4"/>
    <w:rsid w:val="001B22EF"/>
    <w:rsid w:val="001B22F3"/>
    <w:rsid w:val="001B2901"/>
    <w:rsid w:val="001B2A41"/>
    <w:rsid w:val="001B2A94"/>
    <w:rsid w:val="001B2E6B"/>
    <w:rsid w:val="001B2EA3"/>
    <w:rsid w:val="001B2ED0"/>
    <w:rsid w:val="001B2FAD"/>
    <w:rsid w:val="001B340F"/>
    <w:rsid w:val="001B3459"/>
    <w:rsid w:val="001B35E3"/>
    <w:rsid w:val="001B374C"/>
    <w:rsid w:val="001B39D7"/>
    <w:rsid w:val="001B3D88"/>
    <w:rsid w:val="001B3F27"/>
    <w:rsid w:val="001B400C"/>
    <w:rsid w:val="001B40BD"/>
    <w:rsid w:val="001B43CC"/>
    <w:rsid w:val="001B48C5"/>
    <w:rsid w:val="001B48EE"/>
    <w:rsid w:val="001B4C39"/>
    <w:rsid w:val="001B4E21"/>
    <w:rsid w:val="001B4E29"/>
    <w:rsid w:val="001B4F75"/>
    <w:rsid w:val="001B50B2"/>
    <w:rsid w:val="001B51B6"/>
    <w:rsid w:val="001B51F8"/>
    <w:rsid w:val="001B5424"/>
    <w:rsid w:val="001B5516"/>
    <w:rsid w:val="001B5582"/>
    <w:rsid w:val="001B5857"/>
    <w:rsid w:val="001B5970"/>
    <w:rsid w:val="001B5D6E"/>
    <w:rsid w:val="001B5E11"/>
    <w:rsid w:val="001B609E"/>
    <w:rsid w:val="001B6152"/>
    <w:rsid w:val="001B61AB"/>
    <w:rsid w:val="001B65B2"/>
    <w:rsid w:val="001B6F1E"/>
    <w:rsid w:val="001B702A"/>
    <w:rsid w:val="001B72B8"/>
    <w:rsid w:val="001B748B"/>
    <w:rsid w:val="001B74EB"/>
    <w:rsid w:val="001B7532"/>
    <w:rsid w:val="001B75CB"/>
    <w:rsid w:val="001B7627"/>
    <w:rsid w:val="001B7946"/>
    <w:rsid w:val="001B7A7E"/>
    <w:rsid w:val="001B7B0A"/>
    <w:rsid w:val="001B7B87"/>
    <w:rsid w:val="001B7C68"/>
    <w:rsid w:val="001B7CEF"/>
    <w:rsid w:val="001B7E77"/>
    <w:rsid w:val="001B7E9A"/>
    <w:rsid w:val="001B7ED2"/>
    <w:rsid w:val="001C00C2"/>
    <w:rsid w:val="001C0259"/>
    <w:rsid w:val="001C061D"/>
    <w:rsid w:val="001C095C"/>
    <w:rsid w:val="001C0AB2"/>
    <w:rsid w:val="001C0BA4"/>
    <w:rsid w:val="001C0DB1"/>
    <w:rsid w:val="001C15AE"/>
    <w:rsid w:val="001C15DB"/>
    <w:rsid w:val="001C1855"/>
    <w:rsid w:val="001C1856"/>
    <w:rsid w:val="001C1A5F"/>
    <w:rsid w:val="001C1B4F"/>
    <w:rsid w:val="001C1CB2"/>
    <w:rsid w:val="001C2111"/>
    <w:rsid w:val="001C27DD"/>
    <w:rsid w:val="001C27F8"/>
    <w:rsid w:val="001C2C9E"/>
    <w:rsid w:val="001C2E1C"/>
    <w:rsid w:val="001C2E9B"/>
    <w:rsid w:val="001C2F11"/>
    <w:rsid w:val="001C3278"/>
    <w:rsid w:val="001C357B"/>
    <w:rsid w:val="001C365D"/>
    <w:rsid w:val="001C37C8"/>
    <w:rsid w:val="001C385A"/>
    <w:rsid w:val="001C38BB"/>
    <w:rsid w:val="001C3E24"/>
    <w:rsid w:val="001C3EB8"/>
    <w:rsid w:val="001C4034"/>
    <w:rsid w:val="001C45EC"/>
    <w:rsid w:val="001C4C44"/>
    <w:rsid w:val="001C4E34"/>
    <w:rsid w:val="001C5385"/>
    <w:rsid w:val="001C538F"/>
    <w:rsid w:val="001C53C6"/>
    <w:rsid w:val="001C57A9"/>
    <w:rsid w:val="001C5903"/>
    <w:rsid w:val="001C59DA"/>
    <w:rsid w:val="001C5B11"/>
    <w:rsid w:val="001C61FE"/>
    <w:rsid w:val="001C621C"/>
    <w:rsid w:val="001C62B0"/>
    <w:rsid w:val="001C6552"/>
    <w:rsid w:val="001C655E"/>
    <w:rsid w:val="001C69B3"/>
    <w:rsid w:val="001C6C11"/>
    <w:rsid w:val="001C6C81"/>
    <w:rsid w:val="001C741B"/>
    <w:rsid w:val="001C76EA"/>
    <w:rsid w:val="001C78EA"/>
    <w:rsid w:val="001C7925"/>
    <w:rsid w:val="001C7A30"/>
    <w:rsid w:val="001C7AE7"/>
    <w:rsid w:val="001D0682"/>
    <w:rsid w:val="001D088E"/>
    <w:rsid w:val="001D0990"/>
    <w:rsid w:val="001D0AC7"/>
    <w:rsid w:val="001D0B22"/>
    <w:rsid w:val="001D0F46"/>
    <w:rsid w:val="001D0FB5"/>
    <w:rsid w:val="001D1202"/>
    <w:rsid w:val="001D14F6"/>
    <w:rsid w:val="001D1858"/>
    <w:rsid w:val="001D1871"/>
    <w:rsid w:val="001D1BBE"/>
    <w:rsid w:val="001D222E"/>
    <w:rsid w:val="001D2304"/>
    <w:rsid w:val="001D23C7"/>
    <w:rsid w:val="001D259A"/>
    <w:rsid w:val="001D25DD"/>
    <w:rsid w:val="001D25F5"/>
    <w:rsid w:val="001D2619"/>
    <w:rsid w:val="001D2730"/>
    <w:rsid w:val="001D280C"/>
    <w:rsid w:val="001D2A92"/>
    <w:rsid w:val="001D2AF3"/>
    <w:rsid w:val="001D2B0D"/>
    <w:rsid w:val="001D2B59"/>
    <w:rsid w:val="001D2BF2"/>
    <w:rsid w:val="001D2DE0"/>
    <w:rsid w:val="001D2FEF"/>
    <w:rsid w:val="001D308A"/>
    <w:rsid w:val="001D322F"/>
    <w:rsid w:val="001D3368"/>
    <w:rsid w:val="001D37C1"/>
    <w:rsid w:val="001D3A13"/>
    <w:rsid w:val="001D3D1E"/>
    <w:rsid w:val="001D3D26"/>
    <w:rsid w:val="001D3E03"/>
    <w:rsid w:val="001D3E41"/>
    <w:rsid w:val="001D3FDF"/>
    <w:rsid w:val="001D4047"/>
    <w:rsid w:val="001D4098"/>
    <w:rsid w:val="001D4288"/>
    <w:rsid w:val="001D4535"/>
    <w:rsid w:val="001D45D3"/>
    <w:rsid w:val="001D4631"/>
    <w:rsid w:val="001D47DB"/>
    <w:rsid w:val="001D4952"/>
    <w:rsid w:val="001D498A"/>
    <w:rsid w:val="001D499A"/>
    <w:rsid w:val="001D4A8F"/>
    <w:rsid w:val="001D4C59"/>
    <w:rsid w:val="001D4FE6"/>
    <w:rsid w:val="001D51F2"/>
    <w:rsid w:val="001D5302"/>
    <w:rsid w:val="001D5595"/>
    <w:rsid w:val="001D5B2B"/>
    <w:rsid w:val="001D5B74"/>
    <w:rsid w:val="001D5C25"/>
    <w:rsid w:val="001D5C6C"/>
    <w:rsid w:val="001D622E"/>
    <w:rsid w:val="001D6414"/>
    <w:rsid w:val="001D646B"/>
    <w:rsid w:val="001D6670"/>
    <w:rsid w:val="001D67BF"/>
    <w:rsid w:val="001D67F8"/>
    <w:rsid w:val="001D716E"/>
    <w:rsid w:val="001D7563"/>
    <w:rsid w:val="001D7874"/>
    <w:rsid w:val="001D78F8"/>
    <w:rsid w:val="001D790A"/>
    <w:rsid w:val="001D7C93"/>
    <w:rsid w:val="001D7DE8"/>
    <w:rsid w:val="001D7F22"/>
    <w:rsid w:val="001E00D8"/>
    <w:rsid w:val="001E04B0"/>
    <w:rsid w:val="001E05D4"/>
    <w:rsid w:val="001E07B5"/>
    <w:rsid w:val="001E1C37"/>
    <w:rsid w:val="001E1CC9"/>
    <w:rsid w:val="001E1FF7"/>
    <w:rsid w:val="001E2069"/>
    <w:rsid w:val="001E25D8"/>
    <w:rsid w:val="001E277E"/>
    <w:rsid w:val="001E279A"/>
    <w:rsid w:val="001E27FC"/>
    <w:rsid w:val="001E2A8E"/>
    <w:rsid w:val="001E2A8F"/>
    <w:rsid w:val="001E2B67"/>
    <w:rsid w:val="001E2FB8"/>
    <w:rsid w:val="001E3266"/>
    <w:rsid w:val="001E3339"/>
    <w:rsid w:val="001E3706"/>
    <w:rsid w:val="001E3A48"/>
    <w:rsid w:val="001E3BAB"/>
    <w:rsid w:val="001E3DE6"/>
    <w:rsid w:val="001E3ECF"/>
    <w:rsid w:val="001E4475"/>
    <w:rsid w:val="001E46A9"/>
    <w:rsid w:val="001E474F"/>
    <w:rsid w:val="001E475C"/>
    <w:rsid w:val="001E485A"/>
    <w:rsid w:val="001E48DD"/>
    <w:rsid w:val="001E49CA"/>
    <w:rsid w:val="001E4EB1"/>
    <w:rsid w:val="001E51E4"/>
    <w:rsid w:val="001E549A"/>
    <w:rsid w:val="001E550E"/>
    <w:rsid w:val="001E5589"/>
    <w:rsid w:val="001E56D3"/>
    <w:rsid w:val="001E57AC"/>
    <w:rsid w:val="001E5D38"/>
    <w:rsid w:val="001E6455"/>
    <w:rsid w:val="001E6483"/>
    <w:rsid w:val="001E696C"/>
    <w:rsid w:val="001E6F18"/>
    <w:rsid w:val="001E7119"/>
    <w:rsid w:val="001E730E"/>
    <w:rsid w:val="001E73CC"/>
    <w:rsid w:val="001E759F"/>
    <w:rsid w:val="001E765C"/>
    <w:rsid w:val="001E78F1"/>
    <w:rsid w:val="001F0588"/>
    <w:rsid w:val="001F076A"/>
    <w:rsid w:val="001F0A60"/>
    <w:rsid w:val="001F0AE9"/>
    <w:rsid w:val="001F0C29"/>
    <w:rsid w:val="001F0C97"/>
    <w:rsid w:val="001F0F17"/>
    <w:rsid w:val="001F1264"/>
    <w:rsid w:val="001F131B"/>
    <w:rsid w:val="001F1F5F"/>
    <w:rsid w:val="001F1F8C"/>
    <w:rsid w:val="001F2060"/>
    <w:rsid w:val="001F211E"/>
    <w:rsid w:val="001F21FA"/>
    <w:rsid w:val="001F2203"/>
    <w:rsid w:val="001F25C3"/>
    <w:rsid w:val="001F29AC"/>
    <w:rsid w:val="001F2D07"/>
    <w:rsid w:val="001F2E6F"/>
    <w:rsid w:val="001F2EF4"/>
    <w:rsid w:val="001F3037"/>
    <w:rsid w:val="001F3347"/>
    <w:rsid w:val="001F35DE"/>
    <w:rsid w:val="001F36DD"/>
    <w:rsid w:val="001F3B40"/>
    <w:rsid w:val="001F3CF2"/>
    <w:rsid w:val="001F3D2B"/>
    <w:rsid w:val="001F4189"/>
    <w:rsid w:val="001F42E5"/>
    <w:rsid w:val="001F45EF"/>
    <w:rsid w:val="001F4B8C"/>
    <w:rsid w:val="001F4B8E"/>
    <w:rsid w:val="001F4FBB"/>
    <w:rsid w:val="001F5003"/>
    <w:rsid w:val="001F50C3"/>
    <w:rsid w:val="001F50D7"/>
    <w:rsid w:val="001F524A"/>
    <w:rsid w:val="001F53B8"/>
    <w:rsid w:val="001F5562"/>
    <w:rsid w:val="001F562B"/>
    <w:rsid w:val="001F5656"/>
    <w:rsid w:val="001F5766"/>
    <w:rsid w:val="001F5784"/>
    <w:rsid w:val="001F57AF"/>
    <w:rsid w:val="001F57CB"/>
    <w:rsid w:val="001F5994"/>
    <w:rsid w:val="001F5B59"/>
    <w:rsid w:val="001F5E35"/>
    <w:rsid w:val="001F5FF7"/>
    <w:rsid w:val="001F6106"/>
    <w:rsid w:val="001F62B3"/>
    <w:rsid w:val="001F62D9"/>
    <w:rsid w:val="001F62F6"/>
    <w:rsid w:val="001F687E"/>
    <w:rsid w:val="001F69E4"/>
    <w:rsid w:val="001F6C0E"/>
    <w:rsid w:val="001F7431"/>
    <w:rsid w:val="001F7474"/>
    <w:rsid w:val="001F7762"/>
    <w:rsid w:val="001F788A"/>
    <w:rsid w:val="001F7AE9"/>
    <w:rsid w:val="00200008"/>
    <w:rsid w:val="002002CC"/>
    <w:rsid w:val="00200435"/>
    <w:rsid w:val="0020054F"/>
    <w:rsid w:val="00200626"/>
    <w:rsid w:val="00200BA7"/>
    <w:rsid w:val="00200C78"/>
    <w:rsid w:val="00201440"/>
    <w:rsid w:val="00201472"/>
    <w:rsid w:val="00201EDE"/>
    <w:rsid w:val="002025F3"/>
    <w:rsid w:val="00202E68"/>
    <w:rsid w:val="0020368D"/>
    <w:rsid w:val="00203A53"/>
    <w:rsid w:val="00203B8D"/>
    <w:rsid w:val="00203D8C"/>
    <w:rsid w:val="00203FFD"/>
    <w:rsid w:val="002040C1"/>
    <w:rsid w:val="00204120"/>
    <w:rsid w:val="0020436E"/>
    <w:rsid w:val="0020460C"/>
    <w:rsid w:val="00204AB3"/>
    <w:rsid w:val="00204C45"/>
    <w:rsid w:val="00205043"/>
    <w:rsid w:val="002050A8"/>
    <w:rsid w:val="00205315"/>
    <w:rsid w:val="002056CE"/>
    <w:rsid w:val="002057E3"/>
    <w:rsid w:val="0020589F"/>
    <w:rsid w:val="002059D3"/>
    <w:rsid w:val="00205AC5"/>
    <w:rsid w:val="00205BA5"/>
    <w:rsid w:val="00205D4B"/>
    <w:rsid w:val="00205DA4"/>
    <w:rsid w:val="00206195"/>
    <w:rsid w:val="002064AF"/>
    <w:rsid w:val="002065D0"/>
    <w:rsid w:val="00206745"/>
    <w:rsid w:val="00206856"/>
    <w:rsid w:val="0020699A"/>
    <w:rsid w:val="002069B2"/>
    <w:rsid w:val="00206AD2"/>
    <w:rsid w:val="00206D29"/>
    <w:rsid w:val="00206F1E"/>
    <w:rsid w:val="002073E7"/>
    <w:rsid w:val="002075EF"/>
    <w:rsid w:val="002077FA"/>
    <w:rsid w:val="002077FC"/>
    <w:rsid w:val="00207858"/>
    <w:rsid w:val="0020785E"/>
    <w:rsid w:val="002078AA"/>
    <w:rsid w:val="002078C0"/>
    <w:rsid w:val="00207B4F"/>
    <w:rsid w:val="00207B8D"/>
    <w:rsid w:val="00207F4B"/>
    <w:rsid w:val="002102BD"/>
    <w:rsid w:val="00210502"/>
    <w:rsid w:val="00210594"/>
    <w:rsid w:val="00210770"/>
    <w:rsid w:val="002108E7"/>
    <w:rsid w:val="002109A3"/>
    <w:rsid w:val="00210A0E"/>
    <w:rsid w:val="00210BA3"/>
    <w:rsid w:val="00210CDA"/>
    <w:rsid w:val="00210CFF"/>
    <w:rsid w:val="00210D2D"/>
    <w:rsid w:val="00210EA5"/>
    <w:rsid w:val="00211209"/>
    <w:rsid w:val="00211405"/>
    <w:rsid w:val="0021156E"/>
    <w:rsid w:val="00211B0F"/>
    <w:rsid w:val="00211B56"/>
    <w:rsid w:val="00211CEE"/>
    <w:rsid w:val="00211E5F"/>
    <w:rsid w:val="00211E6A"/>
    <w:rsid w:val="00211ED9"/>
    <w:rsid w:val="00211F38"/>
    <w:rsid w:val="00212047"/>
    <w:rsid w:val="00212489"/>
    <w:rsid w:val="002125B4"/>
    <w:rsid w:val="0021274C"/>
    <w:rsid w:val="00212767"/>
    <w:rsid w:val="00212A96"/>
    <w:rsid w:val="00212ACB"/>
    <w:rsid w:val="00212E8B"/>
    <w:rsid w:val="00213104"/>
    <w:rsid w:val="00213154"/>
    <w:rsid w:val="00213872"/>
    <w:rsid w:val="00213991"/>
    <w:rsid w:val="002139BB"/>
    <w:rsid w:val="00213C1D"/>
    <w:rsid w:val="00213D69"/>
    <w:rsid w:val="00213E56"/>
    <w:rsid w:val="00214106"/>
    <w:rsid w:val="00214184"/>
    <w:rsid w:val="0021441B"/>
    <w:rsid w:val="002145E5"/>
    <w:rsid w:val="00214798"/>
    <w:rsid w:val="002147E9"/>
    <w:rsid w:val="0021486C"/>
    <w:rsid w:val="00214872"/>
    <w:rsid w:val="002148B2"/>
    <w:rsid w:val="00214AE9"/>
    <w:rsid w:val="00214B03"/>
    <w:rsid w:val="00214D54"/>
    <w:rsid w:val="00214FE2"/>
    <w:rsid w:val="00215026"/>
    <w:rsid w:val="002151AD"/>
    <w:rsid w:val="002151FC"/>
    <w:rsid w:val="002155B8"/>
    <w:rsid w:val="002155E3"/>
    <w:rsid w:val="002157FA"/>
    <w:rsid w:val="00215BEA"/>
    <w:rsid w:val="00215C62"/>
    <w:rsid w:val="002164F7"/>
    <w:rsid w:val="0021665D"/>
    <w:rsid w:val="002166ED"/>
    <w:rsid w:val="002167D2"/>
    <w:rsid w:val="00216A9B"/>
    <w:rsid w:val="00216E0F"/>
    <w:rsid w:val="00216FFC"/>
    <w:rsid w:val="002178FC"/>
    <w:rsid w:val="00217983"/>
    <w:rsid w:val="002179BE"/>
    <w:rsid w:val="00217D92"/>
    <w:rsid w:val="0022027A"/>
    <w:rsid w:val="00220736"/>
    <w:rsid w:val="002209C6"/>
    <w:rsid w:val="00220A17"/>
    <w:rsid w:val="00220ACC"/>
    <w:rsid w:val="00221261"/>
    <w:rsid w:val="002213C0"/>
    <w:rsid w:val="0022151B"/>
    <w:rsid w:val="0022154D"/>
    <w:rsid w:val="002217BA"/>
    <w:rsid w:val="002218A7"/>
    <w:rsid w:val="00221AC0"/>
    <w:rsid w:val="00221B65"/>
    <w:rsid w:val="00221BDD"/>
    <w:rsid w:val="00221C0E"/>
    <w:rsid w:val="00221C17"/>
    <w:rsid w:val="00221DCC"/>
    <w:rsid w:val="00221EE4"/>
    <w:rsid w:val="00221FF7"/>
    <w:rsid w:val="00222370"/>
    <w:rsid w:val="00222436"/>
    <w:rsid w:val="00222527"/>
    <w:rsid w:val="002226AE"/>
    <w:rsid w:val="00222A8F"/>
    <w:rsid w:val="00222C3B"/>
    <w:rsid w:val="00222CFE"/>
    <w:rsid w:val="00222DC9"/>
    <w:rsid w:val="00222DFD"/>
    <w:rsid w:val="00222E2F"/>
    <w:rsid w:val="00222EC6"/>
    <w:rsid w:val="00223478"/>
    <w:rsid w:val="002234ED"/>
    <w:rsid w:val="00223524"/>
    <w:rsid w:val="00223548"/>
    <w:rsid w:val="0022396B"/>
    <w:rsid w:val="00223C0A"/>
    <w:rsid w:val="00223D60"/>
    <w:rsid w:val="00223EF6"/>
    <w:rsid w:val="00224340"/>
    <w:rsid w:val="002244BC"/>
    <w:rsid w:val="00224534"/>
    <w:rsid w:val="0022469B"/>
    <w:rsid w:val="0022474F"/>
    <w:rsid w:val="00224839"/>
    <w:rsid w:val="002249B2"/>
    <w:rsid w:val="00224B96"/>
    <w:rsid w:val="00224D68"/>
    <w:rsid w:val="002250FF"/>
    <w:rsid w:val="00225342"/>
    <w:rsid w:val="00225513"/>
    <w:rsid w:val="002256AD"/>
    <w:rsid w:val="00225760"/>
    <w:rsid w:val="002257C5"/>
    <w:rsid w:val="002259B3"/>
    <w:rsid w:val="00225B51"/>
    <w:rsid w:val="00225B89"/>
    <w:rsid w:val="00225BF9"/>
    <w:rsid w:val="00226026"/>
    <w:rsid w:val="00226291"/>
    <w:rsid w:val="00226574"/>
    <w:rsid w:val="00226E8B"/>
    <w:rsid w:val="00226EB7"/>
    <w:rsid w:val="00226F01"/>
    <w:rsid w:val="002270DD"/>
    <w:rsid w:val="0022729B"/>
    <w:rsid w:val="002272B9"/>
    <w:rsid w:val="002275E0"/>
    <w:rsid w:val="002278EC"/>
    <w:rsid w:val="00227CDC"/>
    <w:rsid w:val="00227E2F"/>
    <w:rsid w:val="00227E8F"/>
    <w:rsid w:val="00227FC4"/>
    <w:rsid w:val="002302A4"/>
    <w:rsid w:val="00230523"/>
    <w:rsid w:val="002305A9"/>
    <w:rsid w:val="0023083E"/>
    <w:rsid w:val="00230B0B"/>
    <w:rsid w:val="00230BAA"/>
    <w:rsid w:val="00230D5C"/>
    <w:rsid w:val="00230D89"/>
    <w:rsid w:val="00230DAA"/>
    <w:rsid w:val="00230F80"/>
    <w:rsid w:val="002310BC"/>
    <w:rsid w:val="0023128F"/>
    <w:rsid w:val="00231840"/>
    <w:rsid w:val="00231919"/>
    <w:rsid w:val="00231958"/>
    <w:rsid w:val="0023211F"/>
    <w:rsid w:val="0023224A"/>
    <w:rsid w:val="002322DB"/>
    <w:rsid w:val="00232439"/>
    <w:rsid w:val="002326A2"/>
    <w:rsid w:val="002326B8"/>
    <w:rsid w:val="00232702"/>
    <w:rsid w:val="0023280E"/>
    <w:rsid w:val="0023291C"/>
    <w:rsid w:val="0023294D"/>
    <w:rsid w:val="00232A95"/>
    <w:rsid w:val="00232BBF"/>
    <w:rsid w:val="00232ED9"/>
    <w:rsid w:val="00232F72"/>
    <w:rsid w:val="00232FB2"/>
    <w:rsid w:val="00233021"/>
    <w:rsid w:val="002331E8"/>
    <w:rsid w:val="00233438"/>
    <w:rsid w:val="002338C6"/>
    <w:rsid w:val="00233992"/>
    <w:rsid w:val="00233D52"/>
    <w:rsid w:val="00233D94"/>
    <w:rsid w:val="00233DEA"/>
    <w:rsid w:val="00233EEF"/>
    <w:rsid w:val="00233F26"/>
    <w:rsid w:val="00234042"/>
    <w:rsid w:val="002349AE"/>
    <w:rsid w:val="002349B4"/>
    <w:rsid w:val="00234A28"/>
    <w:rsid w:val="00234A62"/>
    <w:rsid w:val="00234EC9"/>
    <w:rsid w:val="002350E2"/>
    <w:rsid w:val="002351A3"/>
    <w:rsid w:val="00235367"/>
    <w:rsid w:val="00235709"/>
    <w:rsid w:val="00235A57"/>
    <w:rsid w:val="00235AFD"/>
    <w:rsid w:val="00235B54"/>
    <w:rsid w:val="00235C75"/>
    <w:rsid w:val="002361E7"/>
    <w:rsid w:val="002362A6"/>
    <w:rsid w:val="002363DA"/>
    <w:rsid w:val="002369F6"/>
    <w:rsid w:val="00236A38"/>
    <w:rsid w:val="00236D3B"/>
    <w:rsid w:val="00236F39"/>
    <w:rsid w:val="00237040"/>
    <w:rsid w:val="0023710C"/>
    <w:rsid w:val="00237242"/>
    <w:rsid w:val="00237271"/>
    <w:rsid w:val="002373A6"/>
    <w:rsid w:val="002374D9"/>
    <w:rsid w:val="002377D1"/>
    <w:rsid w:val="00237892"/>
    <w:rsid w:val="00237AFE"/>
    <w:rsid w:val="00237C2F"/>
    <w:rsid w:val="00237C8A"/>
    <w:rsid w:val="00237FF8"/>
    <w:rsid w:val="00240005"/>
    <w:rsid w:val="00240458"/>
    <w:rsid w:val="00240511"/>
    <w:rsid w:val="002405F3"/>
    <w:rsid w:val="0024083B"/>
    <w:rsid w:val="0024085A"/>
    <w:rsid w:val="002409D9"/>
    <w:rsid w:val="00240AAD"/>
    <w:rsid w:val="00240C1F"/>
    <w:rsid w:val="0024145F"/>
    <w:rsid w:val="0024150E"/>
    <w:rsid w:val="0024162B"/>
    <w:rsid w:val="002418AE"/>
    <w:rsid w:val="00241AEE"/>
    <w:rsid w:val="00241CD6"/>
    <w:rsid w:val="00242043"/>
    <w:rsid w:val="00242285"/>
    <w:rsid w:val="00242703"/>
    <w:rsid w:val="002428E6"/>
    <w:rsid w:val="00242B68"/>
    <w:rsid w:val="00242B7E"/>
    <w:rsid w:val="00242DA3"/>
    <w:rsid w:val="00242FCE"/>
    <w:rsid w:val="0024311D"/>
    <w:rsid w:val="0024318B"/>
    <w:rsid w:val="00243237"/>
    <w:rsid w:val="00243326"/>
    <w:rsid w:val="00243580"/>
    <w:rsid w:val="00243859"/>
    <w:rsid w:val="00243940"/>
    <w:rsid w:val="00243CB6"/>
    <w:rsid w:val="00243D55"/>
    <w:rsid w:val="00243E8B"/>
    <w:rsid w:val="00243EBB"/>
    <w:rsid w:val="00244012"/>
    <w:rsid w:val="0024444C"/>
    <w:rsid w:val="0024460B"/>
    <w:rsid w:val="002446D0"/>
    <w:rsid w:val="00244749"/>
    <w:rsid w:val="00244A87"/>
    <w:rsid w:val="00244B66"/>
    <w:rsid w:val="00244B90"/>
    <w:rsid w:val="00244D03"/>
    <w:rsid w:val="00244D5F"/>
    <w:rsid w:val="00244F3B"/>
    <w:rsid w:val="00245074"/>
    <w:rsid w:val="002450CD"/>
    <w:rsid w:val="002452B0"/>
    <w:rsid w:val="00245399"/>
    <w:rsid w:val="002454E2"/>
    <w:rsid w:val="00245565"/>
    <w:rsid w:val="002457AD"/>
    <w:rsid w:val="002457DF"/>
    <w:rsid w:val="00245842"/>
    <w:rsid w:val="00245930"/>
    <w:rsid w:val="00245A30"/>
    <w:rsid w:val="00246155"/>
    <w:rsid w:val="00246303"/>
    <w:rsid w:val="00246370"/>
    <w:rsid w:val="002465D4"/>
    <w:rsid w:val="002468AF"/>
    <w:rsid w:val="00246BC2"/>
    <w:rsid w:val="00246BDD"/>
    <w:rsid w:val="00246BFE"/>
    <w:rsid w:val="00246C5A"/>
    <w:rsid w:val="002470A2"/>
    <w:rsid w:val="00247164"/>
    <w:rsid w:val="00247614"/>
    <w:rsid w:val="00247704"/>
    <w:rsid w:val="0024794E"/>
    <w:rsid w:val="00247C8C"/>
    <w:rsid w:val="00250038"/>
    <w:rsid w:val="00250235"/>
    <w:rsid w:val="002502F0"/>
    <w:rsid w:val="002506BC"/>
    <w:rsid w:val="002507BE"/>
    <w:rsid w:val="00250AE5"/>
    <w:rsid w:val="00250EB0"/>
    <w:rsid w:val="0025115B"/>
    <w:rsid w:val="002513E7"/>
    <w:rsid w:val="00251430"/>
    <w:rsid w:val="00251491"/>
    <w:rsid w:val="0025167A"/>
    <w:rsid w:val="00251802"/>
    <w:rsid w:val="002519A5"/>
    <w:rsid w:val="00251CEF"/>
    <w:rsid w:val="0025208F"/>
    <w:rsid w:val="00252094"/>
    <w:rsid w:val="002522C0"/>
    <w:rsid w:val="00252629"/>
    <w:rsid w:val="00253646"/>
    <w:rsid w:val="00253918"/>
    <w:rsid w:val="00253CAC"/>
    <w:rsid w:val="00253E21"/>
    <w:rsid w:val="00254333"/>
    <w:rsid w:val="00254345"/>
    <w:rsid w:val="00254771"/>
    <w:rsid w:val="00254901"/>
    <w:rsid w:val="00254B24"/>
    <w:rsid w:val="00254B41"/>
    <w:rsid w:val="00254B64"/>
    <w:rsid w:val="00254E54"/>
    <w:rsid w:val="00254F0B"/>
    <w:rsid w:val="00255017"/>
    <w:rsid w:val="002550B6"/>
    <w:rsid w:val="00255136"/>
    <w:rsid w:val="00255312"/>
    <w:rsid w:val="002555BB"/>
    <w:rsid w:val="002558B6"/>
    <w:rsid w:val="002558F5"/>
    <w:rsid w:val="00255923"/>
    <w:rsid w:val="00255A8E"/>
    <w:rsid w:val="00255C3A"/>
    <w:rsid w:val="00255D4E"/>
    <w:rsid w:val="00255E20"/>
    <w:rsid w:val="00255E3D"/>
    <w:rsid w:val="00255EA7"/>
    <w:rsid w:val="00255ED5"/>
    <w:rsid w:val="002561E6"/>
    <w:rsid w:val="0025632D"/>
    <w:rsid w:val="0025638C"/>
    <w:rsid w:val="00256449"/>
    <w:rsid w:val="0025644F"/>
    <w:rsid w:val="00256517"/>
    <w:rsid w:val="00256709"/>
    <w:rsid w:val="00256A5F"/>
    <w:rsid w:val="00256B02"/>
    <w:rsid w:val="00256C14"/>
    <w:rsid w:val="00256CF5"/>
    <w:rsid w:val="00256E0E"/>
    <w:rsid w:val="00256E37"/>
    <w:rsid w:val="0025793D"/>
    <w:rsid w:val="00257C8A"/>
    <w:rsid w:val="00257D0B"/>
    <w:rsid w:val="002600F5"/>
    <w:rsid w:val="0026030A"/>
    <w:rsid w:val="002604EF"/>
    <w:rsid w:val="00260757"/>
    <w:rsid w:val="0026079E"/>
    <w:rsid w:val="0026081B"/>
    <w:rsid w:val="00260ADB"/>
    <w:rsid w:val="002611D2"/>
    <w:rsid w:val="00261298"/>
    <w:rsid w:val="0026132B"/>
    <w:rsid w:val="00261756"/>
    <w:rsid w:val="002617C1"/>
    <w:rsid w:val="00261B5A"/>
    <w:rsid w:val="00261C06"/>
    <w:rsid w:val="00261DEA"/>
    <w:rsid w:val="00261F6A"/>
    <w:rsid w:val="002620C0"/>
    <w:rsid w:val="0026214C"/>
    <w:rsid w:val="0026260C"/>
    <w:rsid w:val="00262661"/>
    <w:rsid w:val="002627C2"/>
    <w:rsid w:val="00262922"/>
    <w:rsid w:val="002629ED"/>
    <w:rsid w:val="00262A2A"/>
    <w:rsid w:val="00262ABE"/>
    <w:rsid w:val="00262BA6"/>
    <w:rsid w:val="00263471"/>
    <w:rsid w:val="00263508"/>
    <w:rsid w:val="00263650"/>
    <w:rsid w:val="00263829"/>
    <w:rsid w:val="00263932"/>
    <w:rsid w:val="00263BEA"/>
    <w:rsid w:val="00263CF0"/>
    <w:rsid w:val="00263FDE"/>
    <w:rsid w:val="002640B3"/>
    <w:rsid w:val="00264149"/>
    <w:rsid w:val="0026433F"/>
    <w:rsid w:val="002643A1"/>
    <w:rsid w:val="00264557"/>
    <w:rsid w:val="0026471B"/>
    <w:rsid w:val="00264950"/>
    <w:rsid w:val="00264996"/>
    <w:rsid w:val="00264D02"/>
    <w:rsid w:val="00264DCB"/>
    <w:rsid w:val="00264F0B"/>
    <w:rsid w:val="002650CB"/>
    <w:rsid w:val="00265142"/>
    <w:rsid w:val="00265149"/>
    <w:rsid w:val="0026555D"/>
    <w:rsid w:val="002658E2"/>
    <w:rsid w:val="002659B9"/>
    <w:rsid w:val="002659D5"/>
    <w:rsid w:val="00265A69"/>
    <w:rsid w:val="00265CCA"/>
    <w:rsid w:val="00265E86"/>
    <w:rsid w:val="002662D1"/>
    <w:rsid w:val="0026650B"/>
    <w:rsid w:val="00266693"/>
    <w:rsid w:val="00266B43"/>
    <w:rsid w:val="00266B82"/>
    <w:rsid w:val="002674B4"/>
    <w:rsid w:val="0026752D"/>
    <w:rsid w:val="00267701"/>
    <w:rsid w:val="0026773D"/>
    <w:rsid w:val="00267C3E"/>
    <w:rsid w:val="00267C83"/>
    <w:rsid w:val="00267DEC"/>
    <w:rsid w:val="00267E59"/>
    <w:rsid w:val="00270156"/>
    <w:rsid w:val="002705D4"/>
    <w:rsid w:val="00271019"/>
    <w:rsid w:val="002710D6"/>
    <w:rsid w:val="0027118E"/>
    <w:rsid w:val="0027121F"/>
    <w:rsid w:val="002717B5"/>
    <w:rsid w:val="0027185B"/>
    <w:rsid w:val="00271971"/>
    <w:rsid w:val="00271A40"/>
    <w:rsid w:val="00271A80"/>
    <w:rsid w:val="00271B37"/>
    <w:rsid w:val="00271D93"/>
    <w:rsid w:val="0027224D"/>
    <w:rsid w:val="00272290"/>
    <w:rsid w:val="0027229D"/>
    <w:rsid w:val="00272576"/>
    <w:rsid w:val="00272810"/>
    <w:rsid w:val="00272879"/>
    <w:rsid w:val="002728E6"/>
    <w:rsid w:val="00272B1F"/>
    <w:rsid w:val="002732C7"/>
    <w:rsid w:val="00273474"/>
    <w:rsid w:val="00273651"/>
    <w:rsid w:val="0027383B"/>
    <w:rsid w:val="002739CE"/>
    <w:rsid w:val="00273F96"/>
    <w:rsid w:val="002740CB"/>
    <w:rsid w:val="002741E9"/>
    <w:rsid w:val="0027424F"/>
    <w:rsid w:val="00274497"/>
    <w:rsid w:val="00274519"/>
    <w:rsid w:val="00274769"/>
    <w:rsid w:val="0027494B"/>
    <w:rsid w:val="00274B0C"/>
    <w:rsid w:val="00274D83"/>
    <w:rsid w:val="00274D96"/>
    <w:rsid w:val="00274DE0"/>
    <w:rsid w:val="00274E87"/>
    <w:rsid w:val="00274EE1"/>
    <w:rsid w:val="002753B4"/>
    <w:rsid w:val="002754BD"/>
    <w:rsid w:val="002754C3"/>
    <w:rsid w:val="0027579A"/>
    <w:rsid w:val="00275C0A"/>
    <w:rsid w:val="00275C12"/>
    <w:rsid w:val="00275C47"/>
    <w:rsid w:val="00275CCB"/>
    <w:rsid w:val="00275E31"/>
    <w:rsid w:val="0027600A"/>
    <w:rsid w:val="00276AF3"/>
    <w:rsid w:val="00276C3F"/>
    <w:rsid w:val="00276C72"/>
    <w:rsid w:val="00276D3F"/>
    <w:rsid w:val="00276EB8"/>
    <w:rsid w:val="00277039"/>
    <w:rsid w:val="00277076"/>
    <w:rsid w:val="002770ED"/>
    <w:rsid w:val="00277113"/>
    <w:rsid w:val="0027729C"/>
    <w:rsid w:val="00277359"/>
    <w:rsid w:val="002774BE"/>
    <w:rsid w:val="002778FC"/>
    <w:rsid w:val="00277C0C"/>
    <w:rsid w:val="00277D34"/>
    <w:rsid w:val="00277EAD"/>
    <w:rsid w:val="00280280"/>
    <w:rsid w:val="0028052A"/>
    <w:rsid w:val="002805AB"/>
    <w:rsid w:val="002805F0"/>
    <w:rsid w:val="0028068F"/>
    <w:rsid w:val="00280693"/>
    <w:rsid w:val="0028077B"/>
    <w:rsid w:val="002807BD"/>
    <w:rsid w:val="0028098B"/>
    <w:rsid w:val="00280C04"/>
    <w:rsid w:val="00280C5E"/>
    <w:rsid w:val="00280C9A"/>
    <w:rsid w:val="00280CAA"/>
    <w:rsid w:val="00280EFC"/>
    <w:rsid w:val="00280FE0"/>
    <w:rsid w:val="0028101D"/>
    <w:rsid w:val="002811C0"/>
    <w:rsid w:val="0028133D"/>
    <w:rsid w:val="002814E6"/>
    <w:rsid w:val="00281654"/>
    <w:rsid w:val="00281765"/>
    <w:rsid w:val="00281A45"/>
    <w:rsid w:val="00281BC6"/>
    <w:rsid w:val="00281CBD"/>
    <w:rsid w:val="00281D83"/>
    <w:rsid w:val="00281D8F"/>
    <w:rsid w:val="0028207F"/>
    <w:rsid w:val="00282229"/>
    <w:rsid w:val="002824ED"/>
    <w:rsid w:val="002825D5"/>
    <w:rsid w:val="00282816"/>
    <w:rsid w:val="00282944"/>
    <w:rsid w:val="00282C0E"/>
    <w:rsid w:val="00282C3C"/>
    <w:rsid w:val="002830A8"/>
    <w:rsid w:val="0028310C"/>
    <w:rsid w:val="002834CC"/>
    <w:rsid w:val="002834F1"/>
    <w:rsid w:val="00283C02"/>
    <w:rsid w:val="00283D4C"/>
    <w:rsid w:val="00283DBB"/>
    <w:rsid w:val="00284158"/>
    <w:rsid w:val="00284204"/>
    <w:rsid w:val="0028420C"/>
    <w:rsid w:val="0028459F"/>
    <w:rsid w:val="002845FB"/>
    <w:rsid w:val="00284836"/>
    <w:rsid w:val="0028487A"/>
    <w:rsid w:val="00284900"/>
    <w:rsid w:val="00284962"/>
    <w:rsid w:val="00284E8A"/>
    <w:rsid w:val="00284EAA"/>
    <w:rsid w:val="00285006"/>
    <w:rsid w:val="0028518F"/>
    <w:rsid w:val="00285872"/>
    <w:rsid w:val="00285CFE"/>
    <w:rsid w:val="00285FF0"/>
    <w:rsid w:val="00286022"/>
    <w:rsid w:val="0028607D"/>
    <w:rsid w:val="0028607F"/>
    <w:rsid w:val="00286335"/>
    <w:rsid w:val="00286373"/>
    <w:rsid w:val="0028681C"/>
    <w:rsid w:val="00286831"/>
    <w:rsid w:val="00286B4D"/>
    <w:rsid w:val="00286D6A"/>
    <w:rsid w:val="002871A8"/>
    <w:rsid w:val="002873BF"/>
    <w:rsid w:val="002873D9"/>
    <w:rsid w:val="002875F9"/>
    <w:rsid w:val="002876B2"/>
    <w:rsid w:val="00287CA7"/>
    <w:rsid w:val="00287CEF"/>
    <w:rsid w:val="00287DFC"/>
    <w:rsid w:val="00290008"/>
    <w:rsid w:val="002903CA"/>
    <w:rsid w:val="00290468"/>
    <w:rsid w:val="00290786"/>
    <w:rsid w:val="0029082A"/>
    <w:rsid w:val="00290947"/>
    <w:rsid w:val="0029098D"/>
    <w:rsid w:val="0029099B"/>
    <w:rsid w:val="00290F1C"/>
    <w:rsid w:val="00291208"/>
    <w:rsid w:val="0029122A"/>
    <w:rsid w:val="0029125A"/>
    <w:rsid w:val="0029146F"/>
    <w:rsid w:val="00291576"/>
    <w:rsid w:val="00291764"/>
    <w:rsid w:val="00291773"/>
    <w:rsid w:val="00291822"/>
    <w:rsid w:val="00291B4A"/>
    <w:rsid w:val="00291BA6"/>
    <w:rsid w:val="00291DDF"/>
    <w:rsid w:val="00291ED8"/>
    <w:rsid w:val="0029214B"/>
    <w:rsid w:val="00292378"/>
    <w:rsid w:val="0029270F"/>
    <w:rsid w:val="00292891"/>
    <w:rsid w:val="00292906"/>
    <w:rsid w:val="00292B47"/>
    <w:rsid w:val="00292D94"/>
    <w:rsid w:val="00292E38"/>
    <w:rsid w:val="00292EB3"/>
    <w:rsid w:val="00292F7F"/>
    <w:rsid w:val="002932C9"/>
    <w:rsid w:val="002936B0"/>
    <w:rsid w:val="00293AA1"/>
    <w:rsid w:val="00293B53"/>
    <w:rsid w:val="00293D4C"/>
    <w:rsid w:val="00293EFC"/>
    <w:rsid w:val="00293F7E"/>
    <w:rsid w:val="00293F99"/>
    <w:rsid w:val="00293FF1"/>
    <w:rsid w:val="00293FF6"/>
    <w:rsid w:val="002940EF"/>
    <w:rsid w:val="002941F6"/>
    <w:rsid w:val="00294225"/>
    <w:rsid w:val="00294268"/>
    <w:rsid w:val="002943DB"/>
    <w:rsid w:val="002944D9"/>
    <w:rsid w:val="00294750"/>
    <w:rsid w:val="002949AA"/>
    <w:rsid w:val="00294BF0"/>
    <w:rsid w:val="00294D25"/>
    <w:rsid w:val="00294D3D"/>
    <w:rsid w:val="002950E1"/>
    <w:rsid w:val="0029530A"/>
    <w:rsid w:val="002953A2"/>
    <w:rsid w:val="002954AA"/>
    <w:rsid w:val="002954FC"/>
    <w:rsid w:val="00295684"/>
    <w:rsid w:val="00295A44"/>
    <w:rsid w:val="00295CE7"/>
    <w:rsid w:val="00296144"/>
    <w:rsid w:val="0029614F"/>
    <w:rsid w:val="002965D4"/>
    <w:rsid w:val="0029684A"/>
    <w:rsid w:val="00296BCF"/>
    <w:rsid w:val="00296E86"/>
    <w:rsid w:val="00297098"/>
    <w:rsid w:val="002970B7"/>
    <w:rsid w:val="00297105"/>
    <w:rsid w:val="002971FB"/>
    <w:rsid w:val="00297214"/>
    <w:rsid w:val="002972E3"/>
    <w:rsid w:val="00297308"/>
    <w:rsid w:val="002973FE"/>
    <w:rsid w:val="0029740B"/>
    <w:rsid w:val="00297555"/>
    <w:rsid w:val="0029781D"/>
    <w:rsid w:val="00297857"/>
    <w:rsid w:val="00297A07"/>
    <w:rsid w:val="00297A31"/>
    <w:rsid w:val="00297AC3"/>
    <w:rsid w:val="00297B9D"/>
    <w:rsid w:val="00297E12"/>
    <w:rsid w:val="002A00FD"/>
    <w:rsid w:val="002A026A"/>
    <w:rsid w:val="002A068F"/>
    <w:rsid w:val="002A0782"/>
    <w:rsid w:val="002A0874"/>
    <w:rsid w:val="002A09F4"/>
    <w:rsid w:val="002A0BA8"/>
    <w:rsid w:val="002A0D80"/>
    <w:rsid w:val="002A0F22"/>
    <w:rsid w:val="002A0FEB"/>
    <w:rsid w:val="002A15BD"/>
    <w:rsid w:val="002A15DB"/>
    <w:rsid w:val="002A1609"/>
    <w:rsid w:val="002A163B"/>
    <w:rsid w:val="002A168C"/>
    <w:rsid w:val="002A1B17"/>
    <w:rsid w:val="002A1B3D"/>
    <w:rsid w:val="002A1E5E"/>
    <w:rsid w:val="002A2030"/>
    <w:rsid w:val="002A23AC"/>
    <w:rsid w:val="002A260D"/>
    <w:rsid w:val="002A2BEA"/>
    <w:rsid w:val="002A2D4E"/>
    <w:rsid w:val="002A32C6"/>
    <w:rsid w:val="002A343D"/>
    <w:rsid w:val="002A3518"/>
    <w:rsid w:val="002A379E"/>
    <w:rsid w:val="002A3883"/>
    <w:rsid w:val="002A3A58"/>
    <w:rsid w:val="002A3ADD"/>
    <w:rsid w:val="002A3B0E"/>
    <w:rsid w:val="002A3B52"/>
    <w:rsid w:val="002A3BE9"/>
    <w:rsid w:val="002A3CBB"/>
    <w:rsid w:val="002A3CCE"/>
    <w:rsid w:val="002A3D62"/>
    <w:rsid w:val="002A3DC1"/>
    <w:rsid w:val="002A3DC7"/>
    <w:rsid w:val="002A3F56"/>
    <w:rsid w:val="002A4016"/>
    <w:rsid w:val="002A4187"/>
    <w:rsid w:val="002A4385"/>
    <w:rsid w:val="002A43D1"/>
    <w:rsid w:val="002A441E"/>
    <w:rsid w:val="002A453F"/>
    <w:rsid w:val="002A4AA9"/>
    <w:rsid w:val="002A4EA0"/>
    <w:rsid w:val="002A4EAC"/>
    <w:rsid w:val="002A4FD3"/>
    <w:rsid w:val="002A54C4"/>
    <w:rsid w:val="002A55E7"/>
    <w:rsid w:val="002A5679"/>
    <w:rsid w:val="002A5705"/>
    <w:rsid w:val="002A58BE"/>
    <w:rsid w:val="002A59E4"/>
    <w:rsid w:val="002A5A03"/>
    <w:rsid w:val="002A5B04"/>
    <w:rsid w:val="002A5C3A"/>
    <w:rsid w:val="002A5DFD"/>
    <w:rsid w:val="002A6AEF"/>
    <w:rsid w:val="002A6B6A"/>
    <w:rsid w:val="002A6DAF"/>
    <w:rsid w:val="002A739E"/>
    <w:rsid w:val="002A7901"/>
    <w:rsid w:val="002A7935"/>
    <w:rsid w:val="002A7B5A"/>
    <w:rsid w:val="002A7E7D"/>
    <w:rsid w:val="002A7FF5"/>
    <w:rsid w:val="002B04A4"/>
    <w:rsid w:val="002B0695"/>
    <w:rsid w:val="002B079F"/>
    <w:rsid w:val="002B0898"/>
    <w:rsid w:val="002B0962"/>
    <w:rsid w:val="002B097D"/>
    <w:rsid w:val="002B0B72"/>
    <w:rsid w:val="002B0C98"/>
    <w:rsid w:val="002B0DFD"/>
    <w:rsid w:val="002B11A3"/>
    <w:rsid w:val="002B1392"/>
    <w:rsid w:val="002B15CA"/>
    <w:rsid w:val="002B1691"/>
    <w:rsid w:val="002B19A6"/>
    <w:rsid w:val="002B19BF"/>
    <w:rsid w:val="002B1B07"/>
    <w:rsid w:val="002B1BEC"/>
    <w:rsid w:val="002B1D23"/>
    <w:rsid w:val="002B1DC5"/>
    <w:rsid w:val="002B219C"/>
    <w:rsid w:val="002B2245"/>
    <w:rsid w:val="002B2340"/>
    <w:rsid w:val="002B2445"/>
    <w:rsid w:val="002B2491"/>
    <w:rsid w:val="002B255C"/>
    <w:rsid w:val="002B2A23"/>
    <w:rsid w:val="002B2C20"/>
    <w:rsid w:val="002B2CF8"/>
    <w:rsid w:val="002B2F24"/>
    <w:rsid w:val="002B2F9E"/>
    <w:rsid w:val="002B2FE4"/>
    <w:rsid w:val="002B3008"/>
    <w:rsid w:val="002B3121"/>
    <w:rsid w:val="002B3259"/>
    <w:rsid w:val="002B3343"/>
    <w:rsid w:val="002B3586"/>
    <w:rsid w:val="002B35DF"/>
    <w:rsid w:val="002B3643"/>
    <w:rsid w:val="002B36B4"/>
    <w:rsid w:val="002B3B2F"/>
    <w:rsid w:val="002B3CD3"/>
    <w:rsid w:val="002B3E0B"/>
    <w:rsid w:val="002B3F29"/>
    <w:rsid w:val="002B404E"/>
    <w:rsid w:val="002B4067"/>
    <w:rsid w:val="002B49BB"/>
    <w:rsid w:val="002B49E2"/>
    <w:rsid w:val="002B512C"/>
    <w:rsid w:val="002B51AB"/>
    <w:rsid w:val="002B561D"/>
    <w:rsid w:val="002B5B20"/>
    <w:rsid w:val="002B5DA9"/>
    <w:rsid w:val="002B5FA6"/>
    <w:rsid w:val="002B60A5"/>
    <w:rsid w:val="002B638C"/>
    <w:rsid w:val="002B63C0"/>
    <w:rsid w:val="002B6423"/>
    <w:rsid w:val="002B67D6"/>
    <w:rsid w:val="002B6B05"/>
    <w:rsid w:val="002B6F14"/>
    <w:rsid w:val="002B7232"/>
    <w:rsid w:val="002B723F"/>
    <w:rsid w:val="002B733C"/>
    <w:rsid w:val="002B7349"/>
    <w:rsid w:val="002B734D"/>
    <w:rsid w:val="002B73BB"/>
    <w:rsid w:val="002B748D"/>
    <w:rsid w:val="002B76FB"/>
    <w:rsid w:val="002B7752"/>
    <w:rsid w:val="002B785E"/>
    <w:rsid w:val="002B7B00"/>
    <w:rsid w:val="002B7B78"/>
    <w:rsid w:val="002B7C44"/>
    <w:rsid w:val="002C0569"/>
    <w:rsid w:val="002C0727"/>
    <w:rsid w:val="002C09D3"/>
    <w:rsid w:val="002C0D18"/>
    <w:rsid w:val="002C0D29"/>
    <w:rsid w:val="002C0F73"/>
    <w:rsid w:val="002C0FF4"/>
    <w:rsid w:val="002C137A"/>
    <w:rsid w:val="002C15E1"/>
    <w:rsid w:val="002C16DC"/>
    <w:rsid w:val="002C1967"/>
    <w:rsid w:val="002C19D7"/>
    <w:rsid w:val="002C1B9C"/>
    <w:rsid w:val="002C1E59"/>
    <w:rsid w:val="002C1E5D"/>
    <w:rsid w:val="002C221B"/>
    <w:rsid w:val="002C23A1"/>
    <w:rsid w:val="002C2486"/>
    <w:rsid w:val="002C2696"/>
    <w:rsid w:val="002C27A9"/>
    <w:rsid w:val="002C27E4"/>
    <w:rsid w:val="002C294E"/>
    <w:rsid w:val="002C2AD7"/>
    <w:rsid w:val="002C2B17"/>
    <w:rsid w:val="002C3030"/>
    <w:rsid w:val="002C3523"/>
    <w:rsid w:val="002C3680"/>
    <w:rsid w:val="002C36C2"/>
    <w:rsid w:val="002C385E"/>
    <w:rsid w:val="002C39A1"/>
    <w:rsid w:val="002C39EB"/>
    <w:rsid w:val="002C3B98"/>
    <w:rsid w:val="002C3BA8"/>
    <w:rsid w:val="002C3DE3"/>
    <w:rsid w:val="002C3ED8"/>
    <w:rsid w:val="002C3F39"/>
    <w:rsid w:val="002C3FE6"/>
    <w:rsid w:val="002C4127"/>
    <w:rsid w:val="002C4361"/>
    <w:rsid w:val="002C45F5"/>
    <w:rsid w:val="002C4616"/>
    <w:rsid w:val="002C4663"/>
    <w:rsid w:val="002C46FC"/>
    <w:rsid w:val="002C4A04"/>
    <w:rsid w:val="002C4C9F"/>
    <w:rsid w:val="002C4F17"/>
    <w:rsid w:val="002C4F3C"/>
    <w:rsid w:val="002C509A"/>
    <w:rsid w:val="002C5530"/>
    <w:rsid w:val="002C5565"/>
    <w:rsid w:val="002C5B13"/>
    <w:rsid w:val="002C5E60"/>
    <w:rsid w:val="002C60C7"/>
    <w:rsid w:val="002C6289"/>
    <w:rsid w:val="002C6451"/>
    <w:rsid w:val="002C65F5"/>
    <w:rsid w:val="002C6748"/>
    <w:rsid w:val="002C6799"/>
    <w:rsid w:val="002C685D"/>
    <w:rsid w:val="002C68AE"/>
    <w:rsid w:val="002C68D8"/>
    <w:rsid w:val="002C6937"/>
    <w:rsid w:val="002C6955"/>
    <w:rsid w:val="002C79C7"/>
    <w:rsid w:val="002C7C48"/>
    <w:rsid w:val="002D0152"/>
    <w:rsid w:val="002D0223"/>
    <w:rsid w:val="002D032B"/>
    <w:rsid w:val="002D0775"/>
    <w:rsid w:val="002D084C"/>
    <w:rsid w:val="002D0C49"/>
    <w:rsid w:val="002D0E8A"/>
    <w:rsid w:val="002D102D"/>
    <w:rsid w:val="002D1263"/>
    <w:rsid w:val="002D17D3"/>
    <w:rsid w:val="002D192C"/>
    <w:rsid w:val="002D199E"/>
    <w:rsid w:val="002D1C4E"/>
    <w:rsid w:val="002D1D45"/>
    <w:rsid w:val="002D1E46"/>
    <w:rsid w:val="002D1F38"/>
    <w:rsid w:val="002D20A5"/>
    <w:rsid w:val="002D2806"/>
    <w:rsid w:val="002D298A"/>
    <w:rsid w:val="002D2AAA"/>
    <w:rsid w:val="002D2D97"/>
    <w:rsid w:val="002D30BA"/>
    <w:rsid w:val="002D3215"/>
    <w:rsid w:val="002D326C"/>
    <w:rsid w:val="002D3635"/>
    <w:rsid w:val="002D3DD0"/>
    <w:rsid w:val="002D3DE1"/>
    <w:rsid w:val="002D3F05"/>
    <w:rsid w:val="002D3F64"/>
    <w:rsid w:val="002D4019"/>
    <w:rsid w:val="002D4166"/>
    <w:rsid w:val="002D41BB"/>
    <w:rsid w:val="002D4404"/>
    <w:rsid w:val="002D496B"/>
    <w:rsid w:val="002D4A12"/>
    <w:rsid w:val="002D4B1F"/>
    <w:rsid w:val="002D4BB2"/>
    <w:rsid w:val="002D4C9B"/>
    <w:rsid w:val="002D4F10"/>
    <w:rsid w:val="002D53A7"/>
    <w:rsid w:val="002D55AE"/>
    <w:rsid w:val="002D55C5"/>
    <w:rsid w:val="002D562D"/>
    <w:rsid w:val="002D58AF"/>
    <w:rsid w:val="002D58C1"/>
    <w:rsid w:val="002D5908"/>
    <w:rsid w:val="002D5974"/>
    <w:rsid w:val="002D5AD2"/>
    <w:rsid w:val="002D5B5E"/>
    <w:rsid w:val="002D5F90"/>
    <w:rsid w:val="002D6205"/>
    <w:rsid w:val="002D6543"/>
    <w:rsid w:val="002D67A2"/>
    <w:rsid w:val="002D6E57"/>
    <w:rsid w:val="002D7243"/>
    <w:rsid w:val="002D72BC"/>
    <w:rsid w:val="002D72ED"/>
    <w:rsid w:val="002D7580"/>
    <w:rsid w:val="002D7842"/>
    <w:rsid w:val="002D797D"/>
    <w:rsid w:val="002D7AC0"/>
    <w:rsid w:val="002D7C94"/>
    <w:rsid w:val="002D7DB6"/>
    <w:rsid w:val="002E01BE"/>
    <w:rsid w:val="002E07AC"/>
    <w:rsid w:val="002E07C4"/>
    <w:rsid w:val="002E0B8E"/>
    <w:rsid w:val="002E0BB1"/>
    <w:rsid w:val="002E136E"/>
    <w:rsid w:val="002E19D4"/>
    <w:rsid w:val="002E1D80"/>
    <w:rsid w:val="002E1E9D"/>
    <w:rsid w:val="002E1F3A"/>
    <w:rsid w:val="002E2009"/>
    <w:rsid w:val="002E2229"/>
    <w:rsid w:val="002E2673"/>
    <w:rsid w:val="002E2704"/>
    <w:rsid w:val="002E2893"/>
    <w:rsid w:val="002E28BD"/>
    <w:rsid w:val="002E298A"/>
    <w:rsid w:val="002E2AC8"/>
    <w:rsid w:val="002E2DB8"/>
    <w:rsid w:val="002E2E20"/>
    <w:rsid w:val="002E3199"/>
    <w:rsid w:val="002E32A5"/>
    <w:rsid w:val="002E3318"/>
    <w:rsid w:val="002E3392"/>
    <w:rsid w:val="002E34CB"/>
    <w:rsid w:val="002E34F3"/>
    <w:rsid w:val="002E399B"/>
    <w:rsid w:val="002E3A69"/>
    <w:rsid w:val="002E3C2F"/>
    <w:rsid w:val="002E3CBC"/>
    <w:rsid w:val="002E3E57"/>
    <w:rsid w:val="002E3E64"/>
    <w:rsid w:val="002E40F5"/>
    <w:rsid w:val="002E417F"/>
    <w:rsid w:val="002E4727"/>
    <w:rsid w:val="002E4BA8"/>
    <w:rsid w:val="002E4CF3"/>
    <w:rsid w:val="002E4DCA"/>
    <w:rsid w:val="002E529F"/>
    <w:rsid w:val="002E5501"/>
    <w:rsid w:val="002E558F"/>
    <w:rsid w:val="002E57E4"/>
    <w:rsid w:val="002E5C0F"/>
    <w:rsid w:val="002E5E63"/>
    <w:rsid w:val="002E5FDF"/>
    <w:rsid w:val="002E60D6"/>
    <w:rsid w:val="002E619B"/>
    <w:rsid w:val="002E623E"/>
    <w:rsid w:val="002E63A2"/>
    <w:rsid w:val="002E6C4D"/>
    <w:rsid w:val="002E71C6"/>
    <w:rsid w:val="002E76A3"/>
    <w:rsid w:val="002E7710"/>
    <w:rsid w:val="002E790D"/>
    <w:rsid w:val="002E7A3F"/>
    <w:rsid w:val="002E7AEC"/>
    <w:rsid w:val="002E7CEC"/>
    <w:rsid w:val="002E7E89"/>
    <w:rsid w:val="002E7FFB"/>
    <w:rsid w:val="002F007E"/>
    <w:rsid w:val="002F01AC"/>
    <w:rsid w:val="002F0296"/>
    <w:rsid w:val="002F0565"/>
    <w:rsid w:val="002F0573"/>
    <w:rsid w:val="002F065F"/>
    <w:rsid w:val="002F06EC"/>
    <w:rsid w:val="002F0832"/>
    <w:rsid w:val="002F0A24"/>
    <w:rsid w:val="002F0AF2"/>
    <w:rsid w:val="002F0BC4"/>
    <w:rsid w:val="002F0BF2"/>
    <w:rsid w:val="002F0C78"/>
    <w:rsid w:val="002F0E09"/>
    <w:rsid w:val="002F123A"/>
    <w:rsid w:val="002F12CF"/>
    <w:rsid w:val="002F1403"/>
    <w:rsid w:val="002F14D8"/>
    <w:rsid w:val="002F1752"/>
    <w:rsid w:val="002F17DC"/>
    <w:rsid w:val="002F181F"/>
    <w:rsid w:val="002F195F"/>
    <w:rsid w:val="002F1965"/>
    <w:rsid w:val="002F19CD"/>
    <w:rsid w:val="002F1E39"/>
    <w:rsid w:val="002F208D"/>
    <w:rsid w:val="002F2656"/>
    <w:rsid w:val="002F2742"/>
    <w:rsid w:val="002F2753"/>
    <w:rsid w:val="002F2937"/>
    <w:rsid w:val="002F299E"/>
    <w:rsid w:val="002F2AA3"/>
    <w:rsid w:val="002F2AAB"/>
    <w:rsid w:val="002F2CB1"/>
    <w:rsid w:val="002F2D71"/>
    <w:rsid w:val="002F2F0A"/>
    <w:rsid w:val="002F328D"/>
    <w:rsid w:val="002F3419"/>
    <w:rsid w:val="002F3467"/>
    <w:rsid w:val="002F34A8"/>
    <w:rsid w:val="002F371D"/>
    <w:rsid w:val="002F3916"/>
    <w:rsid w:val="002F3DEF"/>
    <w:rsid w:val="002F3E6D"/>
    <w:rsid w:val="002F3FA8"/>
    <w:rsid w:val="002F4126"/>
    <w:rsid w:val="002F4397"/>
    <w:rsid w:val="002F4B19"/>
    <w:rsid w:val="002F50CA"/>
    <w:rsid w:val="002F529E"/>
    <w:rsid w:val="002F5483"/>
    <w:rsid w:val="002F54F3"/>
    <w:rsid w:val="002F5546"/>
    <w:rsid w:val="002F5657"/>
    <w:rsid w:val="002F574E"/>
    <w:rsid w:val="002F5B41"/>
    <w:rsid w:val="002F5B6D"/>
    <w:rsid w:val="002F5C14"/>
    <w:rsid w:val="002F5C8B"/>
    <w:rsid w:val="002F5CA7"/>
    <w:rsid w:val="002F5DB8"/>
    <w:rsid w:val="002F5F8A"/>
    <w:rsid w:val="002F60D5"/>
    <w:rsid w:val="002F6157"/>
    <w:rsid w:val="002F632B"/>
    <w:rsid w:val="002F64A4"/>
    <w:rsid w:val="002F6602"/>
    <w:rsid w:val="002F6710"/>
    <w:rsid w:val="002F67B8"/>
    <w:rsid w:val="002F681A"/>
    <w:rsid w:val="002F689A"/>
    <w:rsid w:val="002F6B12"/>
    <w:rsid w:val="002F6B59"/>
    <w:rsid w:val="002F6DF4"/>
    <w:rsid w:val="002F6F7E"/>
    <w:rsid w:val="002F6FB9"/>
    <w:rsid w:val="002F700F"/>
    <w:rsid w:val="002F72AB"/>
    <w:rsid w:val="002F73FF"/>
    <w:rsid w:val="002F77C0"/>
    <w:rsid w:val="002F7C7B"/>
    <w:rsid w:val="002F7F95"/>
    <w:rsid w:val="003001FA"/>
    <w:rsid w:val="003002E1"/>
    <w:rsid w:val="00300758"/>
    <w:rsid w:val="003008F2"/>
    <w:rsid w:val="00300BFF"/>
    <w:rsid w:val="00300CAE"/>
    <w:rsid w:val="00300D13"/>
    <w:rsid w:val="00300E0A"/>
    <w:rsid w:val="00301356"/>
    <w:rsid w:val="0030138C"/>
    <w:rsid w:val="003017C2"/>
    <w:rsid w:val="00301966"/>
    <w:rsid w:val="00301978"/>
    <w:rsid w:val="00301C94"/>
    <w:rsid w:val="00301E31"/>
    <w:rsid w:val="00301FE9"/>
    <w:rsid w:val="003020AF"/>
    <w:rsid w:val="00302132"/>
    <w:rsid w:val="00302338"/>
    <w:rsid w:val="00302365"/>
    <w:rsid w:val="0030242B"/>
    <w:rsid w:val="003024FD"/>
    <w:rsid w:val="00302713"/>
    <w:rsid w:val="003027C9"/>
    <w:rsid w:val="00302A1B"/>
    <w:rsid w:val="00302A29"/>
    <w:rsid w:val="00302A9A"/>
    <w:rsid w:val="00302B30"/>
    <w:rsid w:val="00302C37"/>
    <w:rsid w:val="00302D0B"/>
    <w:rsid w:val="00302D10"/>
    <w:rsid w:val="00302F86"/>
    <w:rsid w:val="0030332C"/>
    <w:rsid w:val="00303743"/>
    <w:rsid w:val="0030385A"/>
    <w:rsid w:val="00303B68"/>
    <w:rsid w:val="00303B89"/>
    <w:rsid w:val="00303B91"/>
    <w:rsid w:val="00303EBE"/>
    <w:rsid w:val="00303F1C"/>
    <w:rsid w:val="00304257"/>
    <w:rsid w:val="00304324"/>
    <w:rsid w:val="003043D7"/>
    <w:rsid w:val="0030473D"/>
    <w:rsid w:val="0030487F"/>
    <w:rsid w:val="00304B16"/>
    <w:rsid w:val="00304D2D"/>
    <w:rsid w:val="00304D2E"/>
    <w:rsid w:val="00304DC5"/>
    <w:rsid w:val="00304E09"/>
    <w:rsid w:val="00304E10"/>
    <w:rsid w:val="00304ECC"/>
    <w:rsid w:val="00305173"/>
    <w:rsid w:val="003051C2"/>
    <w:rsid w:val="0030523F"/>
    <w:rsid w:val="00305356"/>
    <w:rsid w:val="003053E3"/>
    <w:rsid w:val="003054AE"/>
    <w:rsid w:val="0030576B"/>
    <w:rsid w:val="00305B75"/>
    <w:rsid w:val="00305E53"/>
    <w:rsid w:val="00305E74"/>
    <w:rsid w:val="00306046"/>
    <w:rsid w:val="003060A7"/>
    <w:rsid w:val="003060AC"/>
    <w:rsid w:val="003066CA"/>
    <w:rsid w:val="003067D0"/>
    <w:rsid w:val="0030684F"/>
    <w:rsid w:val="00306A9F"/>
    <w:rsid w:val="00306C79"/>
    <w:rsid w:val="00306DA6"/>
    <w:rsid w:val="0030702F"/>
    <w:rsid w:val="0030720A"/>
    <w:rsid w:val="0030738D"/>
    <w:rsid w:val="0030740C"/>
    <w:rsid w:val="00307642"/>
    <w:rsid w:val="003076F6"/>
    <w:rsid w:val="003078A1"/>
    <w:rsid w:val="003078BD"/>
    <w:rsid w:val="00307A18"/>
    <w:rsid w:val="00307CF7"/>
    <w:rsid w:val="00310064"/>
    <w:rsid w:val="003102BE"/>
    <w:rsid w:val="003105ED"/>
    <w:rsid w:val="00310934"/>
    <w:rsid w:val="00310A89"/>
    <w:rsid w:val="00310C4A"/>
    <w:rsid w:val="003110AA"/>
    <w:rsid w:val="003111A3"/>
    <w:rsid w:val="0031147A"/>
    <w:rsid w:val="003114C7"/>
    <w:rsid w:val="003116BD"/>
    <w:rsid w:val="003116BE"/>
    <w:rsid w:val="0031191D"/>
    <w:rsid w:val="00311B06"/>
    <w:rsid w:val="00311E7D"/>
    <w:rsid w:val="00311EB6"/>
    <w:rsid w:val="003120A2"/>
    <w:rsid w:val="00312114"/>
    <w:rsid w:val="00312296"/>
    <w:rsid w:val="003124C5"/>
    <w:rsid w:val="00312751"/>
    <w:rsid w:val="00312A6F"/>
    <w:rsid w:val="00312B5F"/>
    <w:rsid w:val="00312B80"/>
    <w:rsid w:val="00312C0A"/>
    <w:rsid w:val="00312D6C"/>
    <w:rsid w:val="00312F11"/>
    <w:rsid w:val="003131F9"/>
    <w:rsid w:val="00313238"/>
    <w:rsid w:val="0031348E"/>
    <w:rsid w:val="00313A55"/>
    <w:rsid w:val="00313B7F"/>
    <w:rsid w:val="00313BCD"/>
    <w:rsid w:val="00313CC3"/>
    <w:rsid w:val="00313DD8"/>
    <w:rsid w:val="00313E8D"/>
    <w:rsid w:val="00314160"/>
    <w:rsid w:val="003143D4"/>
    <w:rsid w:val="00314618"/>
    <w:rsid w:val="003146DB"/>
    <w:rsid w:val="003147EB"/>
    <w:rsid w:val="003148A8"/>
    <w:rsid w:val="00314AFD"/>
    <w:rsid w:val="00314E61"/>
    <w:rsid w:val="00314F0E"/>
    <w:rsid w:val="00314F78"/>
    <w:rsid w:val="00315026"/>
    <w:rsid w:val="00315031"/>
    <w:rsid w:val="003150D2"/>
    <w:rsid w:val="0031522C"/>
    <w:rsid w:val="00315257"/>
    <w:rsid w:val="00315295"/>
    <w:rsid w:val="0031576C"/>
    <w:rsid w:val="00315779"/>
    <w:rsid w:val="0031592F"/>
    <w:rsid w:val="00315A85"/>
    <w:rsid w:val="00315A95"/>
    <w:rsid w:val="00315AB6"/>
    <w:rsid w:val="0031644E"/>
    <w:rsid w:val="0031653E"/>
    <w:rsid w:val="0031658D"/>
    <w:rsid w:val="003165E7"/>
    <w:rsid w:val="003168C5"/>
    <w:rsid w:val="00316C1E"/>
    <w:rsid w:val="00316CED"/>
    <w:rsid w:val="00316E93"/>
    <w:rsid w:val="00316F13"/>
    <w:rsid w:val="00316F6E"/>
    <w:rsid w:val="00317037"/>
    <w:rsid w:val="003171DE"/>
    <w:rsid w:val="003173D0"/>
    <w:rsid w:val="0031751D"/>
    <w:rsid w:val="00317561"/>
    <w:rsid w:val="003175D0"/>
    <w:rsid w:val="00317643"/>
    <w:rsid w:val="003178A8"/>
    <w:rsid w:val="00317B75"/>
    <w:rsid w:val="00317C82"/>
    <w:rsid w:val="00317D3D"/>
    <w:rsid w:val="00317E83"/>
    <w:rsid w:val="0032005A"/>
    <w:rsid w:val="003205D0"/>
    <w:rsid w:val="003207E0"/>
    <w:rsid w:val="00320914"/>
    <w:rsid w:val="00320B4F"/>
    <w:rsid w:val="00320C61"/>
    <w:rsid w:val="00320D4E"/>
    <w:rsid w:val="00320D59"/>
    <w:rsid w:val="003211BA"/>
    <w:rsid w:val="00321255"/>
    <w:rsid w:val="0032159C"/>
    <w:rsid w:val="0032186F"/>
    <w:rsid w:val="00321AD2"/>
    <w:rsid w:val="00321B44"/>
    <w:rsid w:val="00321C96"/>
    <w:rsid w:val="00321CE8"/>
    <w:rsid w:val="00321D8E"/>
    <w:rsid w:val="00322244"/>
    <w:rsid w:val="003224E0"/>
    <w:rsid w:val="0032270D"/>
    <w:rsid w:val="00322738"/>
    <w:rsid w:val="0032275A"/>
    <w:rsid w:val="003227E7"/>
    <w:rsid w:val="00322CBE"/>
    <w:rsid w:val="00322E5F"/>
    <w:rsid w:val="00322EFC"/>
    <w:rsid w:val="00322F90"/>
    <w:rsid w:val="00323097"/>
    <w:rsid w:val="00323460"/>
    <w:rsid w:val="00323494"/>
    <w:rsid w:val="00323574"/>
    <w:rsid w:val="003236A6"/>
    <w:rsid w:val="0032378B"/>
    <w:rsid w:val="003239AD"/>
    <w:rsid w:val="00323E69"/>
    <w:rsid w:val="003240D8"/>
    <w:rsid w:val="00324456"/>
    <w:rsid w:val="00324631"/>
    <w:rsid w:val="00324871"/>
    <w:rsid w:val="00324959"/>
    <w:rsid w:val="00324B15"/>
    <w:rsid w:val="00324D68"/>
    <w:rsid w:val="00324E6E"/>
    <w:rsid w:val="00324F0B"/>
    <w:rsid w:val="00324F62"/>
    <w:rsid w:val="00324FBD"/>
    <w:rsid w:val="0032508D"/>
    <w:rsid w:val="00325601"/>
    <w:rsid w:val="00325703"/>
    <w:rsid w:val="00325928"/>
    <w:rsid w:val="00325B66"/>
    <w:rsid w:val="00325BC6"/>
    <w:rsid w:val="00325D0B"/>
    <w:rsid w:val="00325E4A"/>
    <w:rsid w:val="00325F7E"/>
    <w:rsid w:val="00325FE7"/>
    <w:rsid w:val="0032630D"/>
    <w:rsid w:val="0032633B"/>
    <w:rsid w:val="003265B3"/>
    <w:rsid w:val="003265EA"/>
    <w:rsid w:val="00326B7A"/>
    <w:rsid w:val="00326F78"/>
    <w:rsid w:val="00327850"/>
    <w:rsid w:val="003279C3"/>
    <w:rsid w:val="003279CA"/>
    <w:rsid w:val="003279D6"/>
    <w:rsid w:val="00327D05"/>
    <w:rsid w:val="00327D37"/>
    <w:rsid w:val="00327FCC"/>
    <w:rsid w:val="0033004F"/>
    <w:rsid w:val="003305C2"/>
    <w:rsid w:val="00330746"/>
    <w:rsid w:val="00330921"/>
    <w:rsid w:val="00330ABF"/>
    <w:rsid w:val="00331322"/>
    <w:rsid w:val="0033141A"/>
    <w:rsid w:val="003314BD"/>
    <w:rsid w:val="00331550"/>
    <w:rsid w:val="003315B5"/>
    <w:rsid w:val="00331666"/>
    <w:rsid w:val="003316AD"/>
    <w:rsid w:val="00331A0C"/>
    <w:rsid w:val="00331C79"/>
    <w:rsid w:val="00331C7B"/>
    <w:rsid w:val="00331D3D"/>
    <w:rsid w:val="00331F41"/>
    <w:rsid w:val="00332054"/>
    <w:rsid w:val="0033215D"/>
    <w:rsid w:val="003321A3"/>
    <w:rsid w:val="003325D7"/>
    <w:rsid w:val="00332832"/>
    <w:rsid w:val="00332863"/>
    <w:rsid w:val="0033295A"/>
    <w:rsid w:val="00332BB3"/>
    <w:rsid w:val="00332D4D"/>
    <w:rsid w:val="00333355"/>
    <w:rsid w:val="00333456"/>
    <w:rsid w:val="00333811"/>
    <w:rsid w:val="00333B76"/>
    <w:rsid w:val="003340E1"/>
    <w:rsid w:val="003342BA"/>
    <w:rsid w:val="0033453F"/>
    <w:rsid w:val="003347E7"/>
    <w:rsid w:val="003348F2"/>
    <w:rsid w:val="00334A0C"/>
    <w:rsid w:val="00334E14"/>
    <w:rsid w:val="00335558"/>
    <w:rsid w:val="003355CC"/>
    <w:rsid w:val="00335709"/>
    <w:rsid w:val="00335870"/>
    <w:rsid w:val="00335A57"/>
    <w:rsid w:val="00335B59"/>
    <w:rsid w:val="00335CDD"/>
    <w:rsid w:val="00335D17"/>
    <w:rsid w:val="00335DBF"/>
    <w:rsid w:val="00335EE6"/>
    <w:rsid w:val="00335FCF"/>
    <w:rsid w:val="003360C7"/>
    <w:rsid w:val="00336113"/>
    <w:rsid w:val="0033617D"/>
    <w:rsid w:val="00336245"/>
    <w:rsid w:val="0033628C"/>
    <w:rsid w:val="003363FB"/>
    <w:rsid w:val="003365EB"/>
    <w:rsid w:val="00336712"/>
    <w:rsid w:val="00336815"/>
    <w:rsid w:val="0033684D"/>
    <w:rsid w:val="00336948"/>
    <w:rsid w:val="0033695A"/>
    <w:rsid w:val="00336A79"/>
    <w:rsid w:val="00336CB9"/>
    <w:rsid w:val="00336E54"/>
    <w:rsid w:val="00336E8E"/>
    <w:rsid w:val="00336EA7"/>
    <w:rsid w:val="003370A9"/>
    <w:rsid w:val="0033716E"/>
    <w:rsid w:val="00337369"/>
    <w:rsid w:val="00337383"/>
    <w:rsid w:val="0033754C"/>
    <w:rsid w:val="00337849"/>
    <w:rsid w:val="00337B42"/>
    <w:rsid w:val="00337BB6"/>
    <w:rsid w:val="00337D63"/>
    <w:rsid w:val="00337E0C"/>
    <w:rsid w:val="00340195"/>
    <w:rsid w:val="003401EC"/>
    <w:rsid w:val="00340269"/>
    <w:rsid w:val="00340463"/>
    <w:rsid w:val="003404FB"/>
    <w:rsid w:val="00340554"/>
    <w:rsid w:val="003407F3"/>
    <w:rsid w:val="0034098C"/>
    <w:rsid w:val="00340A5C"/>
    <w:rsid w:val="00340C1B"/>
    <w:rsid w:val="003411B3"/>
    <w:rsid w:val="003412B3"/>
    <w:rsid w:val="003413C4"/>
    <w:rsid w:val="00341420"/>
    <w:rsid w:val="003416B2"/>
    <w:rsid w:val="00341AB6"/>
    <w:rsid w:val="00341B0C"/>
    <w:rsid w:val="00341B15"/>
    <w:rsid w:val="00341B42"/>
    <w:rsid w:val="00341CBF"/>
    <w:rsid w:val="00341D9C"/>
    <w:rsid w:val="00341DC6"/>
    <w:rsid w:val="00341E5B"/>
    <w:rsid w:val="00341FCB"/>
    <w:rsid w:val="0034219B"/>
    <w:rsid w:val="003424A1"/>
    <w:rsid w:val="0034267F"/>
    <w:rsid w:val="0034270B"/>
    <w:rsid w:val="00342C17"/>
    <w:rsid w:val="00342E47"/>
    <w:rsid w:val="00343039"/>
    <w:rsid w:val="0034348F"/>
    <w:rsid w:val="003436D4"/>
    <w:rsid w:val="00343961"/>
    <w:rsid w:val="00343B42"/>
    <w:rsid w:val="003444D4"/>
    <w:rsid w:val="00344A9A"/>
    <w:rsid w:val="00344FC8"/>
    <w:rsid w:val="00345137"/>
    <w:rsid w:val="00345496"/>
    <w:rsid w:val="00345872"/>
    <w:rsid w:val="00345AC4"/>
    <w:rsid w:val="00345E4D"/>
    <w:rsid w:val="00346165"/>
    <w:rsid w:val="003461D1"/>
    <w:rsid w:val="003462D8"/>
    <w:rsid w:val="003464BD"/>
    <w:rsid w:val="0034663E"/>
    <w:rsid w:val="00346788"/>
    <w:rsid w:val="0034679D"/>
    <w:rsid w:val="003467F1"/>
    <w:rsid w:val="00346C11"/>
    <w:rsid w:val="00346E62"/>
    <w:rsid w:val="0034730B"/>
    <w:rsid w:val="0034742F"/>
    <w:rsid w:val="003474DC"/>
    <w:rsid w:val="003478FF"/>
    <w:rsid w:val="00347A6D"/>
    <w:rsid w:val="00347A81"/>
    <w:rsid w:val="00347A8A"/>
    <w:rsid w:val="00350234"/>
    <w:rsid w:val="0035042D"/>
    <w:rsid w:val="00350DE4"/>
    <w:rsid w:val="00351006"/>
    <w:rsid w:val="003511CC"/>
    <w:rsid w:val="003511ED"/>
    <w:rsid w:val="003513A7"/>
    <w:rsid w:val="003515DA"/>
    <w:rsid w:val="00351749"/>
    <w:rsid w:val="00351770"/>
    <w:rsid w:val="003519CD"/>
    <w:rsid w:val="00351B7D"/>
    <w:rsid w:val="00351DC0"/>
    <w:rsid w:val="00351E83"/>
    <w:rsid w:val="00351EE8"/>
    <w:rsid w:val="00351EED"/>
    <w:rsid w:val="0035233F"/>
    <w:rsid w:val="003524CA"/>
    <w:rsid w:val="003524E8"/>
    <w:rsid w:val="00352593"/>
    <w:rsid w:val="00352671"/>
    <w:rsid w:val="00352703"/>
    <w:rsid w:val="003527B9"/>
    <w:rsid w:val="00352CD3"/>
    <w:rsid w:val="00352EA1"/>
    <w:rsid w:val="003532C2"/>
    <w:rsid w:val="003532C4"/>
    <w:rsid w:val="003533E8"/>
    <w:rsid w:val="003534CD"/>
    <w:rsid w:val="003535C9"/>
    <w:rsid w:val="003536F2"/>
    <w:rsid w:val="00353795"/>
    <w:rsid w:val="003537B9"/>
    <w:rsid w:val="003539D7"/>
    <w:rsid w:val="00353A27"/>
    <w:rsid w:val="00353AE2"/>
    <w:rsid w:val="00353D3E"/>
    <w:rsid w:val="00353E2A"/>
    <w:rsid w:val="003543AF"/>
    <w:rsid w:val="003545E9"/>
    <w:rsid w:val="00354930"/>
    <w:rsid w:val="003549FD"/>
    <w:rsid w:val="00354C28"/>
    <w:rsid w:val="00354C84"/>
    <w:rsid w:val="00354DA1"/>
    <w:rsid w:val="003555BC"/>
    <w:rsid w:val="0035587C"/>
    <w:rsid w:val="003560A1"/>
    <w:rsid w:val="0035642F"/>
    <w:rsid w:val="003564F4"/>
    <w:rsid w:val="00356653"/>
    <w:rsid w:val="0035677D"/>
    <w:rsid w:val="00356B85"/>
    <w:rsid w:val="00356ED1"/>
    <w:rsid w:val="00356F38"/>
    <w:rsid w:val="00357176"/>
    <w:rsid w:val="003571BE"/>
    <w:rsid w:val="0035743F"/>
    <w:rsid w:val="00357524"/>
    <w:rsid w:val="0035764C"/>
    <w:rsid w:val="00357773"/>
    <w:rsid w:val="00357BE2"/>
    <w:rsid w:val="00357D08"/>
    <w:rsid w:val="0036019F"/>
    <w:rsid w:val="003602A2"/>
    <w:rsid w:val="003602C4"/>
    <w:rsid w:val="003602D6"/>
    <w:rsid w:val="00360567"/>
    <w:rsid w:val="003605CF"/>
    <w:rsid w:val="00360A5B"/>
    <w:rsid w:val="00360F10"/>
    <w:rsid w:val="0036105D"/>
    <w:rsid w:val="003611BB"/>
    <w:rsid w:val="003611DB"/>
    <w:rsid w:val="003612BE"/>
    <w:rsid w:val="00361379"/>
    <w:rsid w:val="003616EB"/>
    <w:rsid w:val="0036170C"/>
    <w:rsid w:val="0036172A"/>
    <w:rsid w:val="0036178D"/>
    <w:rsid w:val="003617E4"/>
    <w:rsid w:val="003618AA"/>
    <w:rsid w:val="003618DE"/>
    <w:rsid w:val="00361955"/>
    <w:rsid w:val="00361A19"/>
    <w:rsid w:val="00361AB0"/>
    <w:rsid w:val="0036201C"/>
    <w:rsid w:val="0036243C"/>
    <w:rsid w:val="003625B2"/>
    <w:rsid w:val="003626C6"/>
    <w:rsid w:val="00362901"/>
    <w:rsid w:val="00362935"/>
    <w:rsid w:val="003629D7"/>
    <w:rsid w:val="00362B13"/>
    <w:rsid w:val="00362BBB"/>
    <w:rsid w:val="00362F38"/>
    <w:rsid w:val="003630A6"/>
    <w:rsid w:val="003630F1"/>
    <w:rsid w:val="0036328D"/>
    <w:rsid w:val="0036347E"/>
    <w:rsid w:val="00363895"/>
    <w:rsid w:val="00363A1E"/>
    <w:rsid w:val="00363B2E"/>
    <w:rsid w:val="00363B9B"/>
    <w:rsid w:val="00363D91"/>
    <w:rsid w:val="003642B2"/>
    <w:rsid w:val="00364621"/>
    <w:rsid w:val="00364C0A"/>
    <w:rsid w:val="003650D3"/>
    <w:rsid w:val="00365280"/>
    <w:rsid w:val="00365398"/>
    <w:rsid w:val="003656B4"/>
    <w:rsid w:val="003656ED"/>
    <w:rsid w:val="0036572E"/>
    <w:rsid w:val="003657EF"/>
    <w:rsid w:val="003658A4"/>
    <w:rsid w:val="00365D2B"/>
    <w:rsid w:val="00365F7F"/>
    <w:rsid w:val="0036673F"/>
    <w:rsid w:val="003667A8"/>
    <w:rsid w:val="00366A0B"/>
    <w:rsid w:val="00366E0F"/>
    <w:rsid w:val="00366E31"/>
    <w:rsid w:val="00366F24"/>
    <w:rsid w:val="0036719B"/>
    <w:rsid w:val="003672E6"/>
    <w:rsid w:val="00367380"/>
    <w:rsid w:val="00367A5F"/>
    <w:rsid w:val="00370564"/>
    <w:rsid w:val="0037066C"/>
    <w:rsid w:val="00370DB2"/>
    <w:rsid w:val="00370E62"/>
    <w:rsid w:val="00370E70"/>
    <w:rsid w:val="003715C9"/>
    <w:rsid w:val="00371719"/>
    <w:rsid w:val="00371927"/>
    <w:rsid w:val="00371E81"/>
    <w:rsid w:val="00371E84"/>
    <w:rsid w:val="00371ECD"/>
    <w:rsid w:val="00371F20"/>
    <w:rsid w:val="00371F49"/>
    <w:rsid w:val="00371F80"/>
    <w:rsid w:val="00371FF7"/>
    <w:rsid w:val="00372676"/>
    <w:rsid w:val="0037269D"/>
    <w:rsid w:val="0037277A"/>
    <w:rsid w:val="00372A4C"/>
    <w:rsid w:val="00372D4A"/>
    <w:rsid w:val="00372EA6"/>
    <w:rsid w:val="00372EDE"/>
    <w:rsid w:val="0037302E"/>
    <w:rsid w:val="00373036"/>
    <w:rsid w:val="003730DC"/>
    <w:rsid w:val="003732B2"/>
    <w:rsid w:val="003737C2"/>
    <w:rsid w:val="00373905"/>
    <w:rsid w:val="00373912"/>
    <w:rsid w:val="00373CEA"/>
    <w:rsid w:val="00373DE3"/>
    <w:rsid w:val="00374016"/>
    <w:rsid w:val="00374105"/>
    <w:rsid w:val="00374996"/>
    <w:rsid w:val="00374B3A"/>
    <w:rsid w:val="00374B7B"/>
    <w:rsid w:val="00374C4B"/>
    <w:rsid w:val="00374CC7"/>
    <w:rsid w:val="00374E4A"/>
    <w:rsid w:val="003750D7"/>
    <w:rsid w:val="003751D8"/>
    <w:rsid w:val="0037531E"/>
    <w:rsid w:val="003753EF"/>
    <w:rsid w:val="0037552D"/>
    <w:rsid w:val="003758A2"/>
    <w:rsid w:val="0037597E"/>
    <w:rsid w:val="00375AF0"/>
    <w:rsid w:val="00375B8F"/>
    <w:rsid w:val="00375D3A"/>
    <w:rsid w:val="00375EF6"/>
    <w:rsid w:val="003760C3"/>
    <w:rsid w:val="003763B8"/>
    <w:rsid w:val="00376438"/>
    <w:rsid w:val="0037654B"/>
    <w:rsid w:val="0037656A"/>
    <w:rsid w:val="00376628"/>
    <w:rsid w:val="00376770"/>
    <w:rsid w:val="00376A59"/>
    <w:rsid w:val="00376AFB"/>
    <w:rsid w:val="00376B3B"/>
    <w:rsid w:val="00376CA9"/>
    <w:rsid w:val="00376E57"/>
    <w:rsid w:val="003772BC"/>
    <w:rsid w:val="003772E8"/>
    <w:rsid w:val="003774B0"/>
    <w:rsid w:val="00377600"/>
    <w:rsid w:val="003776E5"/>
    <w:rsid w:val="003778F6"/>
    <w:rsid w:val="00377B71"/>
    <w:rsid w:val="00377D80"/>
    <w:rsid w:val="00377F25"/>
    <w:rsid w:val="00377F38"/>
    <w:rsid w:val="00377FB1"/>
    <w:rsid w:val="003801B7"/>
    <w:rsid w:val="00380673"/>
    <w:rsid w:val="00380A9D"/>
    <w:rsid w:val="00380AB9"/>
    <w:rsid w:val="00380C08"/>
    <w:rsid w:val="00380D29"/>
    <w:rsid w:val="00380E7D"/>
    <w:rsid w:val="00380FE0"/>
    <w:rsid w:val="003814B8"/>
    <w:rsid w:val="00381531"/>
    <w:rsid w:val="0038156D"/>
    <w:rsid w:val="00381792"/>
    <w:rsid w:val="003818B3"/>
    <w:rsid w:val="00381A72"/>
    <w:rsid w:val="00381A95"/>
    <w:rsid w:val="00381ACD"/>
    <w:rsid w:val="00381B5C"/>
    <w:rsid w:val="00381D95"/>
    <w:rsid w:val="00382030"/>
    <w:rsid w:val="00382031"/>
    <w:rsid w:val="0038218E"/>
    <w:rsid w:val="003822FF"/>
    <w:rsid w:val="0038240A"/>
    <w:rsid w:val="00382566"/>
    <w:rsid w:val="0038257D"/>
    <w:rsid w:val="003828C2"/>
    <w:rsid w:val="003828E2"/>
    <w:rsid w:val="003829AB"/>
    <w:rsid w:val="003829D2"/>
    <w:rsid w:val="00382A5A"/>
    <w:rsid w:val="00382F18"/>
    <w:rsid w:val="0038304D"/>
    <w:rsid w:val="003830B3"/>
    <w:rsid w:val="0038316D"/>
    <w:rsid w:val="0038325D"/>
    <w:rsid w:val="00383270"/>
    <w:rsid w:val="00383375"/>
    <w:rsid w:val="003837C2"/>
    <w:rsid w:val="00383AD4"/>
    <w:rsid w:val="00383B2A"/>
    <w:rsid w:val="00383CC5"/>
    <w:rsid w:val="00383D2B"/>
    <w:rsid w:val="00383E2D"/>
    <w:rsid w:val="00384354"/>
    <w:rsid w:val="00384428"/>
    <w:rsid w:val="003844EA"/>
    <w:rsid w:val="003845C0"/>
    <w:rsid w:val="00384676"/>
    <w:rsid w:val="0038480F"/>
    <w:rsid w:val="00384AF5"/>
    <w:rsid w:val="00384DB2"/>
    <w:rsid w:val="00384F6D"/>
    <w:rsid w:val="003850E9"/>
    <w:rsid w:val="003851AD"/>
    <w:rsid w:val="003853EF"/>
    <w:rsid w:val="003853FA"/>
    <w:rsid w:val="00385574"/>
    <w:rsid w:val="003855F4"/>
    <w:rsid w:val="0038565A"/>
    <w:rsid w:val="003857DF"/>
    <w:rsid w:val="003858CB"/>
    <w:rsid w:val="003859A5"/>
    <w:rsid w:val="00385EC5"/>
    <w:rsid w:val="00385F83"/>
    <w:rsid w:val="00385FA2"/>
    <w:rsid w:val="0038623B"/>
    <w:rsid w:val="003864D1"/>
    <w:rsid w:val="00386AC7"/>
    <w:rsid w:val="00386ACD"/>
    <w:rsid w:val="003873AA"/>
    <w:rsid w:val="0038784F"/>
    <w:rsid w:val="00387AB6"/>
    <w:rsid w:val="00387FE1"/>
    <w:rsid w:val="0039010A"/>
    <w:rsid w:val="003904DF"/>
    <w:rsid w:val="003906D5"/>
    <w:rsid w:val="0039082D"/>
    <w:rsid w:val="00390857"/>
    <w:rsid w:val="003908B2"/>
    <w:rsid w:val="00390943"/>
    <w:rsid w:val="00390955"/>
    <w:rsid w:val="00390B13"/>
    <w:rsid w:val="00390F39"/>
    <w:rsid w:val="0039106E"/>
    <w:rsid w:val="00391486"/>
    <w:rsid w:val="003915A5"/>
    <w:rsid w:val="0039174A"/>
    <w:rsid w:val="00391859"/>
    <w:rsid w:val="00391903"/>
    <w:rsid w:val="00391950"/>
    <w:rsid w:val="00391A78"/>
    <w:rsid w:val="00391D57"/>
    <w:rsid w:val="0039211D"/>
    <w:rsid w:val="00392131"/>
    <w:rsid w:val="00392249"/>
    <w:rsid w:val="0039254E"/>
    <w:rsid w:val="003925BB"/>
    <w:rsid w:val="00392648"/>
    <w:rsid w:val="00392672"/>
    <w:rsid w:val="003928E1"/>
    <w:rsid w:val="00392985"/>
    <w:rsid w:val="00393042"/>
    <w:rsid w:val="003931FA"/>
    <w:rsid w:val="0039324E"/>
    <w:rsid w:val="00393277"/>
    <w:rsid w:val="003933B8"/>
    <w:rsid w:val="00393465"/>
    <w:rsid w:val="00393770"/>
    <w:rsid w:val="0039384A"/>
    <w:rsid w:val="003939F0"/>
    <w:rsid w:val="00393A17"/>
    <w:rsid w:val="00393B97"/>
    <w:rsid w:val="00393D8B"/>
    <w:rsid w:val="00393EA7"/>
    <w:rsid w:val="003944D9"/>
    <w:rsid w:val="003945B0"/>
    <w:rsid w:val="00394717"/>
    <w:rsid w:val="0039484F"/>
    <w:rsid w:val="003948D4"/>
    <w:rsid w:val="0039499E"/>
    <w:rsid w:val="00394CE6"/>
    <w:rsid w:val="00394DA7"/>
    <w:rsid w:val="00394DE1"/>
    <w:rsid w:val="00394E21"/>
    <w:rsid w:val="00395268"/>
    <w:rsid w:val="003952A8"/>
    <w:rsid w:val="00395449"/>
    <w:rsid w:val="003956EB"/>
    <w:rsid w:val="00395A5A"/>
    <w:rsid w:val="00395C5A"/>
    <w:rsid w:val="00395DCE"/>
    <w:rsid w:val="00395EB5"/>
    <w:rsid w:val="003962F3"/>
    <w:rsid w:val="00396373"/>
    <w:rsid w:val="003965AB"/>
    <w:rsid w:val="003966BA"/>
    <w:rsid w:val="003967DD"/>
    <w:rsid w:val="00396931"/>
    <w:rsid w:val="00396D65"/>
    <w:rsid w:val="00396E2A"/>
    <w:rsid w:val="003974C5"/>
    <w:rsid w:val="003976EB"/>
    <w:rsid w:val="003978DD"/>
    <w:rsid w:val="003979C6"/>
    <w:rsid w:val="00397C04"/>
    <w:rsid w:val="00397C82"/>
    <w:rsid w:val="003A01F3"/>
    <w:rsid w:val="003A093B"/>
    <w:rsid w:val="003A0A7F"/>
    <w:rsid w:val="003A0C4E"/>
    <w:rsid w:val="003A11CE"/>
    <w:rsid w:val="003A120A"/>
    <w:rsid w:val="003A1399"/>
    <w:rsid w:val="003A13B0"/>
    <w:rsid w:val="003A1406"/>
    <w:rsid w:val="003A1656"/>
    <w:rsid w:val="003A1939"/>
    <w:rsid w:val="003A198E"/>
    <w:rsid w:val="003A1BB5"/>
    <w:rsid w:val="003A1E5B"/>
    <w:rsid w:val="003A1EFD"/>
    <w:rsid w:val="003A1F68"/>
    <w:rsid w:val="003A219D"/>
    <w:rsid w:val="003A2A30"/>
    <w:rsid w:val="003A2D53"/>
    <w:rsid w:val="003A2D77"/>
    <w:rsid w:val="003A2FA6"/>
    <w:rsid w:val="003A3086"/>
    <w:rsid w:val="003A30E1"/>
    <w:rsid w:val="003A31C6"/>
    <w:rsid w:val="003A327A"/>
    <w:rsid w:val="003A342E"/>
    <w:rsid w:val="003A357F"/>
    <w:rsid w:val="003A3A7C"/>
    <w:rsid w:val="003A3DAF"/>
    <w:rsid w:val="003A3FDA"/>
    <w:rsid w:val="003A4314"/>
    <w:rsid w:val="003A431C"/>
    <w:rsid w:val="003A4401"/>
    <w:rsid w:val="003A4BF3"/>
    <w:rsid w:val="003A4C5C"/>
    <w:rsid w:val="003A4F1F"/>
    <w:rsid w:val="003A512E"/>
    <w:rsid w:val="003A5655"/>
    <w:rsid w:val="003A5729"/>
    <w:rsid w:val="003A58C0"/>
    <w:rsid w:val="003A5E19"/>
    <w:rsid w:val="003A5F13"/>
    <w:rsid w:val="003A630D"/>
    <w:rsid w:val="003A6331"/>
    <w:rsid w:val="003A6467"/>
    <w:rsid w:val="003A64C3"/>
    <w:rsid w:val="003A652C"/>
    <w:rsid w:val="003A6A38"/>
    <w:rsid w:val="003A6B53"/>
    <w:rsid w:val="003A6C4A"/>
    <w:rsid w:val="003A6C4E"/>
    <w:rsid w:val="003A6E45"/>
    <w:rsid w:val="003A6EA3"/>
    <w:rsid w:val="003A6FD1"/>
    <w:rsid w:val="003A71B8"/>
    <w:rsid w:val="003A72AF"/>
    <w:rsid w:val="003A7543"/>
    <w:rsid w:val="003A7AFF"/>
    <w:rsid w:val="003A7CA9"/>
    <w:rsid w:val="003A7D81"/>
    <w:rsid w:val="003A7E34"/>
    <w:rsid w:val="003A7E87"/>
    <w:rsid w:val="003B0104"/>
    <w:rsid w:val="003B02A3"/>
    <w:rsid w:val="003B0350"/>
    <w:rsid w:val="003B04E8"/>
    <w:rsid w:val="003B050F"/>
    <w:rsid w:val="003B0547"/>
    <w:rsid w:val="003B0691"/>
    <w:rsid w:val="003B085F"/>
    <w:rsid w:val="003B0BB6"/>
    <w:rsid w:val="003B0E45"/>
    <w:rsid w:val="003B0E5F"/>
    <w:rsid w:val="003B110C"/>
    <w:rsid w:val="003B19A2"/>
    <w:rsid w:val="003B1C10"/>
    <w:rsid w:val="003B1CFB"/>
    <w:rsid w:val="003B1DB2"/>
    <w:rsid w:val="003B1E22"/>
    <w:rsid w:val="003B1E85"/>
    <w:rsid w:val="003B224E"/>
    <w:rsid w:val="003B2260"/>
    <w:rsid w:val="003B22AA"/>
    <w:rsid w:val="003B2409"/>
    <w:rsid w:val="003B2464"/>
    <w:rsid w:val="003B2599"/>
    <w:rsid w:val="003B2656"/>
    <w:rsid w:val="003B266B"/>
    <w:rsid w:val="003B29D6"/>
    <w:rsid w:val="003B2A34"/>
    <w:rsid w:val="003B2A4C"/>
    <w:rsid w:val="003B2B44"/>
    <w:rsid w:val="003B2CF6"/>
    <w:rsid w:val="003B2F9B"/>
    <w:rsid w:val="003B3214"/>
    <w:rsid w:val="003B347E"/>
    <w:rsid w:val="003B3B15"/>
    <w:rsid w:val="003B3BD2"/>
    <w:rsid w:val="003B3D7C"/>
    <w:rsid w:val="003B420D"/>
    <w:rsid w:val="003B4457"/>
    <w:rsid w:val="003B4B44"/>
    <w:rsid w:val="003B4D7C"/>
    <w:rsid w:val="003B4EB5"/>
    <w:rsid w:val="003B4ED7"/>
    <w:rsid w:val="003B4EFA"/>
    <w:rsid w:val="003B4F02"/>
    <w:rsid w:val="003B5019"/>
    <w:rsid w:val="003B50CF"/>
    <w:rsid w:val="003B5105"/>
    <w:rsid w:val="003B563F"/>
    <w:rsid w:val="003B57EA"/>
    <w:rsid w:val="003B588D"/>
    <w:rsid w:val="003B58BA"/>
    <w:rsid w:val="003B5ABA"/>
    <w:rsid w:val="003B5C11"/>
    <w:rsid w:val="003B5CA0"/>
    <w:rsid w:val="003B5F52"/>
    <w:rsid w:val="003B609E"/>
    <w:rsid w:val="003B627A"/>
    <w:rsid w:val="003B66E1"/>
    <w:rsid w:val="003B68F0"/>
    <w:rsid w:val="003B6DE5"/>
    <w:rsid w:val="003B6E09"/>
    <w:rsid w:val="003B6FC6"/>
    <w:rsid w:val="003B706A"/>
    <w:rsid w:val="003B72C4"/>
    <w:rsid w:val="003B73F0"/>
    <w:rsid w:val="003B744E"/>
    <w:rsid w:val="003B74EA"/>
    <w:rsid w:val="003B7519"/>
    <w:rsid w:val="003B7565"/>
    <w:rsid w:val="003B75B2"/>
    <w:rsid w:val="003B7A93"/>
    <w:rsid w:val="003B7B71"/>
    <w:rsid w:val="003B7C79"/>
    <w:rsid w:val="003B7C8B"/>
    <w:rsid w:val="003B7EA7"/>
    <w:rsid w:val="003B7FAE"/>
    <w:rsid w:val="003B7FF5"/>
    <w:rsid w:val="003C01E4"/>
    <w:rsid w:val="003C038E"/>
    <w:rsid w:val="003C0399"/>
    <w:rsid w:val="003C070B"/>
    <w:rsid w:val="003C0962"/>
    <w:rsid w:val="003C0BE0"/>
    <w:rsid w:val="003C0C52"/>
    <w:rsid w:val="003C0F7D"/>
    <w:rsid w:val="003C10A1"/>
    <w:rsid w:val="003C13B4"/>
    <w:rsid w:val="003C1433"/>
    <w:rsid w:val="003C16DF"/>
    <w:rsid w:val="003C188E"/>
    <w:rsid w:val="003C19A8"/>
    <w:rsid w:val="003C1F02"/>
    <w:rsid w:val="003C1F69"/>
    <w:rsid w:val="003C2135"/>
    <w:rsid w:val="003C21DC"/>
    <w:rsid w:val="003C2284"/>
    <w:rsid w:val="003C2498"/>
    <w:rsid w:val="003C2663"/>
    <w:rsid w:val="003C2705"/>
    <w:rsid w:val="003C27B4"/>
    <w:rsid w:val="003C2EC2"/>
    <w:rsid w:val="003C30E4"/>
    <w:rsid w:val="003C340E"/>
    <w:rsid w:val="003C34C0"/>
    <w:rsid w:val="003C3707"/>
    <w:rsid w:val="003C3DD9"/>
    <w:rsid w:val="003C3E75"/>
    <w:rsid w:val="003C4256"/>
    <w:rsid w:val="003C43F5"/>
    <w:rsid w:val="003C4413"/>
    <w:rsid w:val="003C4494"/>
    <w:rsid w:val="003C44D4"/>
    <w:rsid w:val="003C4D66"/>
    <w:rsid w:val="003C4E91"/>
    <w:rsid w:val="003C4F03"/>
    <w:rsid w:val="003C4FA9"/>
    <w:rsid w:val="003C519E"/>
    <w:rsid w:val="003C51E5"/>
    <w:rsid w:val="003C53C5"/>
    <w:rsid w:val="003C549B"/>
    <w:rsid w:val="003C556C"/>
    <w:rsid w:val="003C55A1"/>
    <w:rsid w:val="003C5698"/>
    <w:rsid w:val="003C57B1"/>
    <w:rsid w:val="003C5944"/>
    <w:rsid w:val="003C62E4"/>
    <w:rsid w:val="003C638A"/>
    <w:rsid w:val="003C68E0"/>
    <w:rsid w:val="003C6928"/>
    <w:rsid w:val="003C6A31"/>
    <w:rsid w:val="003C6AD6"/>
    <w:rsid w:val="003C6C16"/>
    <w:rsid w:val="003C6C52"/>
    <w:rsid w:val="003C6F66"/>
    <w:rsid w:val="003C6FEC"/>
    <w:rsid w:val="003C7127"/>
    <w:rsid w:val="003C7476"/>
    <w:rsid w:val="003C7659"/>
    <w:rsid w:val="003C799C"/>
    <w:rsid w:val="003C7B17"/>
    <w:rsid w:val="003C7BE2"/>
    <w:rsid w:val="003C7BFD"/>
    <w:rsid w:val="003C7C7F"/>
    <w:rsid w:val="003C7F3D"/>
    <w:rsid w:val="003C7FD2"/>
    <w:rsid w:val="003D0032"/>
    <w:rsid w:val="003D054A"/>
    <w:rsid w:val="003D09DC"/>
    <w:rsid w:val="003D09EC"/>
    <w:rsid w:val="003D0C59"/>
    <w:rsid w:val="003D0CC5"/>
    <w:rsid w:val="003D0DA5"/>
    <w:rsid w:val="003D0E9D"/>
    <w:rsid w:val="003D0F00"/>
    <w:rsid w:val="003D0F04"/>
    <w:rsid w:val="003D0F1D"/>
    <w:rsid w:val="003D14D2"/>
    <w:rsid w:val="003D14E8"/>
    <w:rsid w:val="003D1836"/>
    <w:rsid w:val="003D185A"/>
    <w:rsid w:val="003D1B46"/>
    <w:rsid w:val="003D1D6A"/>
    <w:rsid w:val="003D1F18"/>
    <w:rsid w:val="003D1F6F"/>
    <w:rsid w:val="003D234D"/>
    <w:rsid w:val="003D23AA"/>
    <w:rsid w:val="003D263A"/>
    <w:rsid w:val="003D265C"/>
    <w:rsid w:val="003D26AD"/>
    <w:rsid w:val="003D2806"/>
    <w:rsid w:val="003D28CA"/>
    <w:rsid w:val="003D2995"/>
    <w:rsid w:val="003D2C59"/>
    <w:rsid w:val="003D2FBE"/>
    <w:rsid w:val="003D32CE"/>
    <w:rsid w:val="003D332A"/>
    <w:rsid w:val="003D352B"/>
    <w:rsid w:val="003D381D"/>
    <w:rsid w:val="003D3829"/>
    <w:rsid w:val="003D39D0"/>
    <w:rsid w:val="003D3A95"/>
    <w:rsid w:val="003D4126"/>
    <w:rsid w:val="003D4232"/>
    <w:rsid w:val="003D43A8"/>
    <w:rsid w:val="003D4499"/>
    <w:rsid w:val="003D4608"/>
    <w:rsid w:val="003D4EEA"/>
    <w:rsid w:val="003D4F8E"/>
    <w:rsid w:val="003D4FE3"/>
    <w:rsid w:val="003D5035"/>
    <w:rsid w:val="003D5298"/>
    <w:rsid w:val="003D5320"/>
    <w:rsid w:val="003D53BD"/>
    <w:rsid w:val="003D53F7"/>
    <w:rsid w:val="003D5CC0"/>
    <w:rsid w:val="003D5D49"/>
    <w:rsid w:val="003D5D97"/>
    <w:rsid w:val="003D60B6"/>
    <w:rsid w:val="003D6322"/>
    <w:rsid w:val="003D6364"/>
    <w:rsid w:val="003D6AF8"/>
    <w:rsid w:val="003D6EA5"/>
    <w:rsid w:val="003D6F01"/>
    <w:rsid w:val="003D6F37"/>
    <w:rsid w:val="003D7672"/>
    <w:rsid w:val="003D7941"/>
    <w:rsid w:val="003D794D"/>
    <w:rsid w:val="003D79C5"/>
    <w:rsid w:val="003D7A8A"/>
    <w:rsid w:val="003D7C1A"/>
    <w:rsid w:val="003E05EA"/>
    <w:rsid w:val="003E076F"/>
    <w:rsid w:val="003E0AC1"/>
    <w:rsid w:val="003E0CEF"/>
    <w:rsid w:val="003E0DC4"/>
    <w:rsid w:val="003E0E18"/>
    <w:rsid w:val="003E0E2F"/>
    <w:rsid w:val="003E0EA9"/>
    <w:rsid w:val="003E0F48"/>
    <w:rsid w:val="003E1022"/>
    <w:rsid w:val="003E1166"/>
    <w:rsid w:val="003E1371"/>
    <w:rsid w:val="003E18F3"/>
    <w:rsid w:val="003E1979"/>
    <w:rsid w:val="003E197C"/>
    <w:rsid w:val="003E1B5C"/>
    <w:rsid w:val="003E1EAE"/>
    <w:rsid w:val="003E1F96"/>
    <w:rsid w:val="003E213C"/>
    <w:rsid w:val="003E23B1"/>
    <w:rsid w:val="003E2494"/>
    <w:rsid w:val="003E250A"/>
    <w:rsid w:val="003E27FC"/>
    <w:rsid w:val="003E2973"/>
    <w:rsid w:val="003E29AA"/>
    <w:rsid w:val="003E2F4C"/>
    <w:rsid w:val="003E3058"/>
    <w:rsid w:val="003E3160"/>
    <w:rsid w:val="003E325D"/>
    <w:rsid w:val="003E35B3"/>
    <w:rsid w:val="003E363A"/>
    <w:rsid w:val="003E368B"/>
    <w:rsid w:val="003E3767"/>
    <w:rsid w:val="003E4113"/>
    <w:rsid w:val="003E4343"/>
    <w:rsid w:val="003E43F2"/>
    <w:rsid w:val="003E4616"/>
    <w:rsid w:val="003E46DA"/>
    <w:rsid w:val="003E48CD"/>
    <w:rsid w:val="003E4989"/>
    <w:rsid w:val="003E4A6D"/>
    <w:rsid w:val="003E4BAA"/>
    <w:rsid w:val="003E4F68"/>
    <w:rsid w:val="003E4F86"/>
    <w:rsid w:val="003E5005"/>
    <w:rsid w:val="003E5030"/>
    <w:rsid w:val="003E508F"/>
    <w:rsid w:val="003E52E5"/>
    <w:rsid w:val="003E5352"/>
    <w:rsid w:val="003E54D0"/>
    <w:rsid w:val="003E54EB"/>
    <w:rsid w:val="003E55D5"/>
    <w:rsid w:val="003E5923"/>
    <w:rsid w:val="003E5C90"/>
    <w:rsid w:val="003E5D4B"/>
    <w:rsid w:val="003E6140"/>
    <w:rsid w:val="003E623B"/>
    <w:rsid w:val="003E625F"/>
    <w:rsid w:val="003E627F"/>
    <w:rsid w:val="003E641E"/>
    <w:rsid w:val="003E6430"/>
    <w:rsid w:val="003E649F"/>
    <w:rsid w:val="003E65BD"/>
    <w:rsid w:val="003E66DA"/>
    <w:rsid w:val="003E677C"/>
    <w:rsid w:val="003E6C62"/>
    <w:rsid w:val="003E6EC6"/>
    <w:rsid w:val="003E6F6D"/>
    <w:rsid w:val="003E7017"/>
    <w:rsid w:val="003E71E1"/>
    <w:rsid w:val="003E724C"/>
    <w:rsid w:val="003E73E1"/>
    <w:rsid w:val="003E7433"/>
    <w:rsid w:val="003E74F2"/>
    <w:rsid w:val="003E7519"/>
    <w:rsid w:val="003E753E"/>
    <w:rsid w:val="003E7609"/>
    <w:rsid w:val="003E7694"/>
    <w:rsid w:val="003E76A9"/>
    <w:rsid w:val="003E7893"/>
    <w:rsid w:val="003E78FB"/>
    <w:rsid w:val="003E7B8C"/>
    <w:rsid w:val="003E7FA9"/>
    <w:rsid w:val="003F0163"/>
    <w:rsid w:val="003F0302"/>
    <w:rsid w:val="003F0314"/>
    <w:rsid w:val="003F0369"/>
    <w:rsid w:val="003F0442"/>
    <w:rsid w:val="003F0809"/>
    <w:rsid w:val="003F0A13"/>
    <w:rsid w:val="003F0BAE"/>
    <w:rsid w:val="003F0CD4"/>
    <w:rsid w:val="003F0E30"/>
    <w:rsid w:val="003F1261"/>
    <w:rsid w:val="003F1269"/>
    <w:rsid w:val="003F195E"/>
    <w:rsid w:val="003F1A11"/>
    <w:rsid w:val="003F1D12"/>
    <w:rsid w:val="003F1D81"/>
    <w:rsid w:val="003F1E8F"/>
    <w:rsid w:val="003F1F74"/>
    <w:rsid w:val="003F2383"/>
    <w:rsid w:val="003F2584"/>
    <w:rsid w:val="003F2590"/>
    <w:rsid w:val="003F25DF"/>
    <w:rsid w:val="003F25FB"/>
    <w:rsid w:val="003F269E"/>
    <w:rsid w:val="003F271B"/>
    <w:rsid w:val="003F2B4C"/>
    <w:rsid w:val="003F2C5E"/>
    <w:rsid w:val="003F2CC3"/>
    <w:rsid w:val="003F2E4D"/>
    <w:rsid w:val="003F3146"/>
    <w:rsid w:val="003F33FD"/>
    <w:rsid w:val="003F34DB"/>
    <w:rsid w:val="003F3538"/>
    <w:rsid w:val="003F36A1"/>
    <w:rsid w:val="003F39D8"/>
    <w:rsid w:val="003F3AFA"/>
    <w:rsid w:val="003F3DF5"/>
    <w:rsid w:val="003F426F"/>
    <w:rsid w:val="003F431B"/>
    <w:rsid w:val="003F45EC"/>
    <w:rsid w:val="003F4654"/>
    <w:rsid w:val="003F4880"/>
    <w:rsid w:val="003F4C57"/>
    <w:rsid w:val="003F4C74"/>
    <w:rsid w:val="003F4DAC"/>
    <w:rsid w:val="003F5543"/>
    <w:rsid w:val="003F5835"/>
    <w:rsid w:val="003F5CCA"/>
    <w:rsid w:val="003F5D3E"/>
    <w:rsid w:val="003F5E5E"/>
    <w:rsid w:val="003F5FDC"/>
    <w:rsid w:val="003F5FDF"/>
    <w:rsid w:val="003F6568"/>
    <w:rsid w:val="003F68C2"/>
    <w:rsid w:val="003F6924"/>
    <w:rsid w:val="003F6A8C"/>
    <w:rsid w:val="003F6D48"/>
    <w:rsid w:val="003F7087"/>
    <w:rsid w:val="003F7133"/>
    <w:rsid w:val="003F7329"/>
    <w:rsid w:val="003F755C"/>
    <w:rsid w:val="003F76D8"/>
    <w:rsid w:val="003F7CC3"/>
    <w:rsid w:val="003F7E2E"/>
    <w:rsid w:val="003F7EA2"/>
    <w:rsid w:val="00400013"/>
    <w:rsid w:val="0040033D"/>
    <w:rsid w:val="00400435"/>
    <w:rsid w:val="0040068A"/>
    <w:rsid w:val="004008E7"/>
    <w:rsid w:val="00400A12"/>
    <w:rsid w:val="00400A86"/>
    <w:rsid w:val="00400AC1"/>
    <w:rsid w:val="00400C17"/>
    <w:rsid w:val="0040105E"/>
    <w:rsid w:val="00401087"/>
    <w:rsid w:val="00401304"/>
    <w:rsid w:val="0040136C"/>
    <w:rsid w:val="00401609"/>
    <w:rsid w:val="0040164C"/>
    <w:rsid w:val="00401764"/>
    <w:rsid w:val="004017A9"/>
    <w:rsid w:val="00401B80"/>
    <w:rsid w:val="00401C86"/>
    <w:rsid w:val="00402113"/>
    <w:rsid w:val="00402228"/>
    <w:rsid w:val="0040263B"/>
    <w:rsid w:val="0040295D"/>
    <w:rsid w:val="00402A29"/>
    <w:rsid w:val="00402B2A"/>
    <w:rsid w:val="00403186"/>
    <w:rsid w:val="004031E4"/>
    <w:rsid w:val="00403305"/>
    <w:rsid w:val="0040343F"/>
    <w:rsid w:val="0040350B"/>
    <w:rsid w:val="00403718"/>
    <w:rsid w:val="00403778"/>
    <w:rsid w:val="004038AB"/>
    <w:rsid w:val="004038E3"/>
    <w:rsid w:val="00403CA3"/>
    <w:rsid w:val="00403E46"/>
    <w:rsid w:val="00403F3C"/>
    <w:rsid w:val="00403F6B"/>
    <w:rsid w:val="00404345"/>
    <w:rsid w:val="004044F7"/>
    <w:rsid w:val="0040455E"/>
    <w:rsid w:val="004048B3"/>
    <w:rsid w:val="004048CD"/>
    <w:rsid w:val="004048F9"/>
    <w:rsid w:val="00404B25"/>
    <w:rsid w:val="00404C63"/>
    <w:rsid w:val="00404DB6"/>
    <w:rsid w:val="00404E0B"/>
    <w:rsid w:val="00404FA4"/>
    <w:rsid w:val="0040526D"/>
    <w:rsid w:val="004055A9"/>
    <w:rsid w:val="004057F3"/>
    <w:rsid w:val="00405ADE"/>
    <w:rsid w:val="00405D5B"/>
    <w:rsid w:val="00405DD3"/>
    <w:rsid w:val="00405E42"/>
    <w:rsid w:val="00406141"/>
    <w:rsid w:val="004063BA"/>
    <w:rsid w:val="0040675C"/>
    <w:rsid w:val="004069F4"/>
    <w:rsid w:val="00406C27"/>
    <w:rsid w:val="00406C61"/>
    <w:rsid w:val="00406E49"/>
    <w:rsid w:val="00406F01"/>
    <w:rsid w:val="004070AA"/>
    <w:rsid w:val="00407197"/>
    <w:rsid w:val="00407200"/>
    <w:rsid w:val="004073EC"/>
    <w:rsid w:val="0040740C"/>
    <w:rsid w:val="0040749A"/>
    <w:rsid w:val="004074E8"/>
    <w:rsid w:val="004075AB"/>
    <w:rsid w:val="004075B9"/>
    <w:rsid w:val="0040774C"/>
    <w:rsid w:val="0040777D"/>
    <w:rsid w:val="00407B94"/>
    <w:rsid w:val="00407CA6"/>
    <w:rsid w:val="00407E75"/>
    <w:rsid w:val="004100C0"/>
    <w:rsid w:val="0041035C"/>
    <w:rsid w:val="0041039B"/>
    <w:rsid w:val="004103B0"/>
    <w:rsid w:val="0041069F"/>
    <w:rsid w:val="00410975"/>
    <w:rsid w:val="00410C0F"/>
    <w:rsid w:val="00411479"/>
    <w:rsid w:val="0041155C"/>
    <w:rsid w:val="00411561"/>
    <w:rsid w:val="004115F0"/>
    <w:rsid w:val="00411657"/>
    <w:rsid w:val="004116B0"/>
    <w:rsid w:val="004119BA"/>
    <w:rsid w:val="004119C0"/>
    <w:rsid w:val="00411A3A"/>
    <w:rsid w:val="00411AF1"/>
    <w:rsid w:val="00411BF4"/>
    <w:rsid w:val="00411DC0"/>
    <w:rsid w:val="00411EE2"/>
    <w:rsid w:val="00411FD0"/>
    <w:rsid w:val="00411FF8"/>
    <w:rsid w:val="00412364"/>
    <w:rsid w:val="004123DF"/>
    <w:rsid w:val="004124B5"/>
    <w:rsid w:val="00412585"/>
    <w:rsid w:val="00412650"/>
    <w:rsid w:val="0041274F"/>
    <w:rsid w:val="0041279A"/>
    <w:rsid w:val="00412B6D"/>
    <w:rsid w:val="00412D17"/>
    <w:rsid w:val="00412F79"/>
    <w:rsid w:val="00412F8B"/>
    <w:rsid w:val="00413000"/>
    <w:rsid w:val="0041302B"/>
    <w:rsid w:val="0041310B"/>
    <w:rsid w:val="00413312"/>
    <w:rsid w:val="004135FF"/>
    <w:rsid w:val="00413762"/>
    <w:rsid w:val="004139F1"/>
    <w:rsid w:val="00413EE9"/>
    <w:rsid w:val="00413F94"/>
    <w:rsid w:val="00414043"/>
    <w:rsid w:val="00414105"/>
    <w:rsid w:val="0041411D"/>
    <w:rsid w:val="0041455D"/>
    <w:rsid w:val="00414679"/>
    <w:rsid w:val="004149D1"/>
    <w:rsid w:val="00414A03"/>
    <w:rsid w:val="00414B22"/>
    <w:rsid w:val="00414D08"/>
    <w:rsid w:val="00414D41"/>
    <w:rsid w:val="004155A9"/>
    <w:rsid w:val="004156F7"/>
    <w:rsid w:val="004158E8"/>
    <w:rsid w:val="00415CDB"/>
    <w:rsid w:val="00415E95"/>
    <w:rsid w:val="00416389"/>
    <w:rsid w:val="00416655"/>
    <w:rsid w:val="0041667C"/>
    <w:rsid w:val="0041673E"/>
    <w:rsid w:val="0041676F"/>
    <w:rsid w:val="00416D50"/>
    <w:rsid w:val="00416E7B"/>
    <w:rsid w:val="00416F1F"/>
    <w:rsid w:val="00416F7F"/>
    <w:rsid w:val="00416FD5"/>
    <w:rsid w:val="004173B1"/>
    <w:rsid w:val="00417449"/>
    <w:rsid w:val="0041747A"/>
    <w:rsid w:val="004174EB"/>
    <w:rsid w:val="0041768C"/>
    <w:rsid w:val="004176B0"/>
    <w:rsid w:val="00417772"/>
    <w:rsid w:val="00417BB8"/>
    <w:rsid w:val="00417ED5"/>
    <w:rsid w:val="00417EEA"/>
    <w:rsid w:val="00417F3F"/>
    <w:rsid w:val="00417FA8"/>
    <w:rsid w:val="00417FAA"/>
    <w:rsid w:val="0042005D"/>
    <w:rsid w:val="00420065"/>
    <w:rsid w:val="004201C6"/>
    <w:rsid w:val="004206BC"/>
    <w:rsid w:val="0042079F"/>
    <w:rsid w:val="00420937"/>
    <w:rsid w:val="0042097D"/>
    <w:rsid w:val="00420CD0"/>
    <w:rsid w:val="00420D2D"/>
    <w:rsid w:val="00420D31"/>
    <w:rsid w:val="00420DDD"/>
    <w:rsid w:val="00420E36"/>
    <w:rsid w:val="00420E6A"/>
    <w:rsid w:val="00421065"/>
    <w:rsid w:val="0042122F"/>
    <w:rsid w:val="004216A7"/>
    <w:rsid w:val="00421F01"/>
    <w:rsid w:val="004220CA"/>
    <w:rsid w:val="00422227"/>
    <w:rsid w:val="004229D8"/>
    <w:rsid w:val="00422B33"/>
    <w:rsid w:val="00422D16"/>
    <w:rsid w:val="00422D8E"/>
    <w:rsid w:val="00422D90"/>
    <w:rsid w:val="00422F50"/>
    <w:rsid w:val="004230DF"/>
    <w:rsid w:val="00423320"/>
    <w:rsid w:val="00423555"/>
    <w:rsid w:val="004238D2"/>
    <w:rsid w:val="00423A14"/>
    <w:rsid w:val="00423A3D"/>
    <w:rsid w:val="00423B9C"/>
    <w:rsid w:val="00423C95"/>
    <w:rsid w:val="00423F23"/>
    <w:rsid w:val="004243BC"/>
    <w:rsid w:val="00424453"/>
    <w:rsid w:val="0042450F"/>
    <w:rsid w:val="0042454A"/>
    <w:rsid w:val="00424570"/>
    <w:rsid w:val="004245F9"/>
    <w:rsid w:val="00424624"/>
    <w:rsid w:val="00424CDB"/>
    <w:rsid w:val="00424D59"/>
    <w:rsid w:val="00424EB6"/>
    <w:rsid w:val="00424F49"/>
    <w:rsid w:val="00425354"/>
    <w:rsid w:val="00425382"/>
    <w:rsid w:val="00425429"/>
    <w:rsid w:val="004254AB"/>
    <w:rsid w:val="004255A3"/>
    <w:rsid w:val="004255E0"/>
    <w:rsid w:val="00425622"/>
    <w:rsid w:val="004258DE"/>
    <w:rsid w:val="00425A9E"/>
    <w:rsid w:val="00425BFB"/>
    <w:rsid w:val="00426230"/>
    <w:rsid w:val="004263BB"/>
    <w:rsid w:val="0042643A"/>
    <w:rsid w:val="0042647F"/>
    <w:rsid w:val="00426D6B"/>
    <w:rsid w:val="00426DAF"/>
    <w:rsid w:val="00426F3E"/>
    <w:rsid w:val="004271D2"/>
    <w:rsid w:val="00427210"/>
    <w:rsid w:val="004275DB"/>
    <w:rsid w:val="0042790B"/>
    <w:rsid w:val="0042794F"/>
    <w:rsid w:val="00427A9A"/>
    <w:rsid w:val="004300A4"/>
    <w:rsid w:val="004302AA"/>
    <w:rsid w:val="0043038A"/>
    <w:rsid w:val="00430490"/>
    <w:rsid w:val="004305CF"/>
    <w:rsid w:val="00430619"/>
    <w:rsid w:val="00430A83"/>
    <w:rsid w:val="00431008"/>
    <w:rsid w:val="0043157A"/>
    <w:rsid w:val="0043160A"/>
    <w:rsid w:val="004317D6"/>
    <w:rsid w:val="00431E6C"/>
    <w:rsid w:val="00431E83"/>
    <w:rsid w:val="00431ECB"/>
    <w:rsid w:val="00431FF7"/>
    <w:rsid w:val="0043201F"/>
    <w:rsid w:val="004322AB"/>
    <w:rsid w:val="00432366"/>
    <w:rsid w:val="004324AF"/>
    <w:rsid w:val="004326B0"/>
    <w:rsid w:val="0043281D"/>
    <w:rsid w:val="004328EB"/>
    <w:rsid w:val="004329DE"/>
    <w:rsid w:val="00432C8B"/>
    <w:rsid w:val="00432CC8"/>
    <w:rsid w:val="00432CD4"/>
    <w:rsid w:val="00432D47"/>
    <w:rsid w:val="004330FF"/>
    <w:rsid w:val="00433100"/>
    <w:rsid w:val="0043334D"/>
    <w:rsid w:val="004336C3"/>
    <w:rsid w:val="00433895"/>
    <w:rsid w:val="00433939"/>
    <w:rsid w:val="0043397D"/>
    <w:rsid w:val="00433AA0"/>
    <w:rsid w:val="00433C29"/>
    <w:rsid w:val="00433CE7"/>
    <w:rsid w:val="00433CED"/>
    <w:rsid w:val="00433DA7"/>
    <w:rsid w:val="00433E84"/>
    <w:rsid w:val="00434081"/>
    <w:rsid w:val="004340D6"/>
    <w:rsid w:val="004341B9"/>
    <w:rsid w:val="004342E7"/>
    <w:rsid w:val="004343B6"/>
    <w:rsid w:val="0043447D"/>
    <w:rsid w:val="0043498C"/>
    <w:rsid w:val="00434C48"/>
    <w:rsid w:val="00434CF4"/>
    <w:rsid w:val="00434DEB"/>
    <w:rsid w:val="00434E02"/>
    <w:rsid w:val="00435108"/>
    <w:rsid w:val="00435225"/>
    <w:rsid w:val="00435298"/>
    <w:rsid w:val="004355A2"/>
    <w:rsid w:val="004357F3"/>
    <w:rsid w:val="00435C81"/>
    <w:rsid w:val="00435F52"/>
    <w:rsid w:val="00435F61"/>
    <w:rsid w:val="0043601A"/>
    <w:rsid w:val="004360E2"/>
    <w:rsid w:val="00436155"/>
    <w:rsid w:val="00436331"/>
    <w:rsid w:val="004364CD"/>
    <w:rsid w:val="00436556"/>
    <w:rsid w:val="004367F1"/>
    <w:rsid w:val="00436E9B"/>
    <w:rsid w:val="00436F2E"/>
    <w:rsid w:val="00437191"/>
    <w:rsid w:val="004375A4"/>
    <w:rsid w:val="00437601"/>
    <w:rsid w:val="0043764E"/>
    <w:rsid w:val="00437854"/>
    <w:rsid w:val="004379C3"/>
    <w:rsid w:val="00437AFD"/>
    <w:rsid w:val="00437C22"/>
    <w:rsid w:val="00437DE6"/>
    <w:rsid w:val="00437F1A"/>
    <w:rsid w:val="00440087"/>
    <w:rsid w:val="0044013B"/>
    <w:rsid w:val="00440197"/>
    <w:rsid w:val="004403AA"/>
    <w:rsid w:val="00440727"/>
    <w:rsid w:val="00440790"/>
    <w:rsid w:val="004408CF"/>
    <w:rsid w:val="00440AA6"/>
    <w:rsid w:val="00440D0C"/>
    <w:rsid w:val="00440D57"/>
    <w:rsid w:val="00440D83"/>
    <w:rsid w:val="00440E2F"/>
    <w:rsid w:val="00440EE9"/>
    <w:rsid w:val="004410C1"/>
    <w:rsid w:val="004411DF"/>
    <w:rsid w:val="0044123A"/>
    <w:rsid w:val="00441761"/>
    <w:rsid w:val="004418D2"/>
    <w:rsid w:val="00441A4E"/>
    <w:rsid w:val="00441DD1"/>
    <w:rsid w:val="00441F4C"/>
    <w:rsid w:val="0044203E"/>
    <w:rsid w:val="00442278"/>
    <w:rsid w:val="0044278A"/>
    <w:rsid w:val="00442816"/>
    <w:rsid w:val="00442A48"/>
    <w:rsid w:val="004433DB"/>
    <w:rsid w:val="004434C5"/>
    <w:rsid w:val="00443556"/>
    <w:rsid w:val="0044355E"/>
    <w:rsid w:val="00443602"/>
    <w:rsid w:val="00443619"/>
    <w:rsid w:val="0044369C"/>
    <w:rsid w:val="004439EE"/>
    <w:rsid w:val="00443A9E"/>
    <w:rsid w:val="00443AC3"/>
    <w:rsid w:val="00443B8C"/>
    <w:rsid w:val="00443BA3"/>
    <w:rsid w:val="00443E19"/>
    <w:rsid w:val="00443E1F"/>
    <w:rsid w:val="00443E67"/>
    <w:rsid w:val="00443E88"/>
    <w:rsid w:val="00444171"/>
    <w:rsid w:val="004442A9"/>
    <w:rsid w:val="004443A3"/>
    <w:rsid w:val="00444403"/>
    <w:rsid w:val="00444841"/>
    <w:rsid w:val="004448CC"/>
    <w:rsid w:val="00444A3C"/>
    <w:rsid w:val="00444B95"/>
    <w:rsid w:val="00444BCE"/>
    <w:rsid w:val="00444E67"/>
    <w:rsid w:val="00445146"/>
    <w:rsid w:val="00445228"/>
    <w:rsid w:val="0044533A"/>
    <w:rsid w:val="0044552E"/>
    <w:rsid w:val="004456D6"/>
    <w:rsid w:val="0044582A"/>
    <w:rsid w:val="00445C35"/>
    <w:rsid w:val="00446051"/>
    <w:rsid w:val="00446281"/>
    <w:rsid w:val="004462B9"/>
    <w:rsid w:val="004465DF"/>
    <w:rsid w:val="00446780"/>
    <w:rsid w:val="004467C9"/>
    <w:rsid w:val="004467F5"/>
    <w:rsid w:val="0044689D"/>
    <w:rsid w:val="00446C65"/>
    <w:rsid w:val="00446F70"/>
    <w:rsid w:val="00446F7E"/>
    <w:rsid w:val="0044749B"/>
    <w:rsid w:val="0044752C"/>
    <w:rsid w:val="004476CD"/>
    <w:rsid w:val="00447CEA"/>
    <w:rsid w:val="00447D74"/>
    <w:rsid w:val="004501DB"/>
    <w:rsid w:val="00450239"/>
    <w:rsid w:val="00450332"/>
    <w:rsid w:val="00450844"/>
    <w:rsid w:val="00450E1A"/>
    <w:rsid w:val="00450EF1"/>
    <w:rsid w:val="00450F36"/>
    <w:rsid w:val="00450F3E"/>
    <w:rsid w:val="004511E9"/>
    <w:rsid w:val="00451225"/>
    <w:rsid w:val="0045135C"/>
    <w:rsid w:val="0045158D"/>
    <w:rsid w:val="00451696"/>
    <w:rsid w:val="0045184A"/>
    <w:rsid w:val="00451884"/>
    <w:rsid w:val="00451BE6"/>
    <w:rsid w:val="00451E03"/>
    <w:rsid w:val="00451F37"/>
    <w:rsid w:val="004522F5"/>
    <w:rsid w:val="00452518"/>
    <w:rsid w:val="004526BB"/>
    <w:rsid w:val="00452716"/>
    <w:rsid w:val="00452738"/>
    <w:rsid w:val="00452756"/>
    <w:rsid w:val="004527F0"/>
    <w:rsid w:val="0045294A"/>
    <w:rsid w:val="00452A59"/>
    <w:rsid w:val="00452DC1"/>
    <w:rsid w:val="00452DFC"/>
    <w:rsid w:val="004534B2"/>
    <w:rsid w:val="004534EE"/>
    <w:rsid w:val="00453D3C"/>
    <w:rsid w:val="00453D71"/>
    <w:rsid w:val="0045402F"/>
    <w:rsid w:val="004543D4"/>
    <w:rsid w:val="004545AB"/>
    <w:rsid w:val="00454795"/>
    <w:rsid w:val="00454889"/>
    <w:rsid w:val="004549E8"/>
    <w:rsid w:val="00454DE5"/>
    <w:rsid w:val="00454E3D"/>
    <w:rsid w:val="004553E7"/>
    <w:rsid w:val="004553FB"/>
    <w:rsid w:val="004554F0"/>
    <w:rsid w:val="00455A2A"/>
    <w:rsid w:val="00455DCD"/>
    <w:rsid w:val="00456091"/>
    <w:rsid w:val="004562E5"/>
    <w:rsid w:val="004564A2"/>
    <w:rsid w:val="004564C2"/>
    <w:rsid w:val="004564E9"/>
    <w:rsid w:val="0045669A"/>
    <w:rsid w:val="0045677A"/>
    <w:rsid w:val="00456B14"/>
    <w:rsid w:val="00456C50"/>
    <w:rsid w:val="00456DD2"/>
    <w:rsid w:val="00456E9F"/>
    <w:rsid w:val="00456FC4"/>
    <w:rsid w:val="00457097"/>
    <w:rsid w:val="00457600"/>
    <w:rsid w:val="00457750"/>
    <w:rsid w:val="00457CBA"/>
    <w:rsid w:val="00457D6F"/>
    <w:rsid w:val="004601C5"/>
    <w:rsid w:val="0046036C"/>
    <w:rsid w:val="004603B9"/>
    <w:rsid w:val="004603BD"/>
    <w:rsid w:val="00460459"/>
    <w:rsid w:val="00460500"/>
    <w:rsid w:val="0046053B"/>
    <w:rsid w:val="004605CB"/>
    <w:rsid w:val="004606F8"/>
    <w:rsid w:val="004606F9"/>
    <w:rsid w:val="004607D1"/>
    <w:rsid w:val="00460826"/>
    <w:rsid w:val="00460AA0"/>
    <w:rsid w:val="00460BB3"/>
    <w:rsid w:val="00460CD7"/>
    <w:rsid w:val="00460E31"/>
    <w:rsid w:val="00460EB7"/>
    <w:rsid w:val="00460F30"/>
    <w:rsid w:val="004616A0"/>
    <w:rsid w:val="004616F6"/>
    <w:rsid w:val="0046184D"/>
    <w:rsid w:val="00461A3D"/>
    <w:rsid w:val="00461C27"/>
    <w:rsid w:val="00461E08"/>
    <w:rsid w:val="00461ECB"/>
    <w:rsid w:val="004624C0"/>
    <w:rsid w:val="0046274E"/>
    <w:rsid w:val="00462803"/>
    <w:rsid w:val="004629FE"/>
    <w:rsid w:val="00462C56"/>
    <w:rsid w:val="00462CA2"/>
    <w:rsid w:val="00462DAC"/>
    <w:rsid w:val="00462E26"/>
    <w:rsid w:val="00462FE0"/>
    <w:rsid w:val="0046300F"/>
    <w:rsid w:val="004632D8"/>
    <w:rsid w:val="0046344E"/>
    <w:rsid w:val="0046347B"/>
    <w:rsid w:val="00463504"/>
    <w:rsid w:val="00463A49"/>
    <w:rsid w:val="00463A86"/>
    <w:rsid w:val="00463AB6"/>
    <w:rsid w:val="00463B00"/>
    <w:rsid w:val="00463C64"/>
    <w:rsid w:val="00463D7F"/>
    <w:rsid w:val="00463DAC"/>
    <w:rsid w:val="00463DFA"/>
    <w:rsid w:val="00464161"/>
    <w:rsid w:val="004641D4"/>
    <w:rsid w:val="0046430B"/>
    <w:rsid w:val="00464457"/>
    <w:rsid w:val="00464522"/>
    <w:rsid w:val="004647D4"/>
    <w:rsid w:val="00464E1E"/>
    <w:rsid w:val="00465307"/>
    <w:rsid w:val="00465516"/>
    <w:rsid w:val="004656B3"/>
    <w:rsid w:val="0046595B"/>
    <w:rsid w:val="00465B69"/>
    <w:rsid w:val="00465D33"/>
    <w:rsid w:val="00465F9A"/>
    <w:rsid w:val="00465FAA"/>
    <w:rsid w:val="004661B3"/>
    <w:rsid w:val="004661FB"/>
    <w:rsid w:val="00466321"/>
    <w:rsid w:val="0046633E"/>
    <w:rsid w:val="0046645A"/>
    <w:rsid w:val="004665BE"/>
    <w:rsid w:val="0046662E"/>
    <w:rsid w:val="00466781"/>
    <w:rsid w:val="004667FB"/>
    <w:rsid w:val="0046693B"/>
    <w:rsid w:val="00466BCC"/>
    <w:rsid w:val="00466BE3"/>
    <w:rsid w:val="00466C52"/>
    <w:rsid w:val="00466DB3"/>
    <w:rsid w:val="00466DD0"/>
    <w:rsid w:val="00467178"/>
    <w:rsid w:val="00467256"/>
    <w:rsid w:val="0046768C"/>
    <w:rsid w:val="00467781"/>
    <w:rsid w:val="00467B94"/>
    <w:rsid w:val="00467C0D"/>
    <w:rsid w:val="004700DE"/>
    <w:rsid w:val="00470211"/>
    <w:rsid w:val="0047029D"/>
    <w:rsid w:val="004702C7"/>
    <w:rsid w:val="00470347"/>
    <w:rsid w:val="0047054A"/>
    <w:rsid w:val="004707DA"/>
    <w:rsid w:val="00470A8D"/>
    <w:rsid w:val="00470ACA"/>
    <w:rsid w:val="00470EA7"/>
    <w:rsid w:val="00470F05"/>
    <w:rsid w:val="00470FFE"/>
    <w:rsid w:val="00471044"/>
    <w:rsid w:val="004715EB"/>
    <w:rsid w:val="0047181A"/>
    <w:rsid w:val="004718C9"/>
    <w:rsid w:val="00471971"/>
    <w:rsid w:val="00471AEF"/>
    <w:rsid w:val="00471DB0"/>
    <w:rsid w:val="00472016"/>
    <w:rsid w:val="00472341"/>
    <w:rsid w:val="00472551"/>
    <w:rsid w:val="00472588"/>
    <w:rsid w:val="00472826"/>
    <w:rsid w:val="00472874"/>
    <w:rsid w:val="004728C0"/>
    <w:rsid w:val="00472AC1"/>
    <w:rsid w:val="00472C4A"/>
    <w:rsid w:val="00472CB1"/>
    <w:rsid w:val="00472DD6"/>
    <w:rsid w:val="00472E75"/>
    <w:rsid w:val="00473268"/>
    <w:rsid w:val="00473288"/>
    <w:rsid w:val="00473453"/>
    <w:rsid w:val="00473667"/>
    <w:rsid w:val="004738DA"/>
    <w:rsid w:val="004738E6"/>
    <w:rsid w:val="004739B6"/>
    <w:rsid w:val="004739D2"/>
    <w:rsid w:val="00473AE9"/>
    <w:rsid w:val="00473B3D"/>
    <w:rsid w:val="00473BF5"/>
    <w:rsid w:val="00473CCC"/>
    <w:rsid w:val="00473D6C"/>
    <w:rsid w:val="00473E1E"/>
    <w:rsid w:val="00473F15"/>
    <w:rsid w:val="00473F8B"/>
    <w:rsid w:val="00474146"/>
    <w:rsid w:val="00474A6B"/>
    <w:rsid w:val="00474B49"/>
    <w:rsid w:val="00474C89"/>
    <w:rsid w:val="00474C93"/>
    <w:rsid w:val="00474CE3"/>
    <w:rsid w:val="00474D13"/>
    <w:rsid w:val="00474F2D"/>
    <w:rsid w:val="00475065"/>
    <w:rsid w:val="004750FF"/>
    <w:rsid w:val="0047541C"/>
    <w:rsid w:val="00475442"/>
    <w:rsid w:val="004754E9"/>
    <w:rsid w:val="004758F5"/>
    <w:rsid w:val="00475C68"/>
    <w:rsid w:val="00475CE3"/>
    <w:rsid w:val="004761A5"/>
    <w:rsid w:val="00476380"/>
    <w:rsid w:val="004764E5"/>
    <w:rsid w:val="00476534"/>
    <w:rsid w:val="004765D5"/>
    <w:rsid w:val="0047665B"/>
    <w:rsid w:val="00476776"/>
    <w:rsid w:val="004767B0"/>
    <w:rsid w:val="004767B3"/>
    <w:rsid w:val="00476807"/>
    <w:rsid w:val="00476AB1"/>
    <w:rsid w:val="00476BA8"/>
    <w:rsid w:val="00476EEA"/>
    <w:rsid w:val="00477385"/>
    <w:rsid w:val="0047743A"/>
    <w:rsid w:val="00477546"/>
    <w:rsid w:val="00477E47"/>
    <w:rsid w:val="00480073"/>
    <w:rsid w:val="004800BF"/>
    <w:rsid w:val="004800F8"/>
    <w:rsid w:val="004804D3"/>
    <w:rsid w:val="00480777"/>
    <w:rsid w:val="00480889"/>
    <w:rsid w:val="00480944"/>
    <w:rsid w:val="00480A67"/>
    <w:rsid w:val="00480C4B"/>
    <w:rsid w:val="00480C87"/>
    <w:rsid w:val="004810CA"/>
    <w:rsid w:val="00481426"/>
    <w:rsid w:val="004815BF"/>
    <w:rsid w:val="004818A9"/>
    <w:rsid w:val="00481BEE"/>
    <w:rsid w:val="00481CE6"/>
    <w:rsid w:val="00481EEE"/>
    <w:rsid w:val="00481EF6"/>
    <w:rsid w:val="0048240C"/>
    <w:rsid w:val="004825C0"/>
    <w:rsid w:val="0048261D"/>
    <w:rsid w:val="004828A0"/>
    <w:rsid w:val="0048299D"/>
    <w:rsid w:val="00482C94"/>
    <w:rsid w:val="00482FDF"/>
    <w:rsid w:val="00483097"/>
    <w:rsid w:val="004831B0"/>
    <w:rsid w:val="004832A9"/>
    <w:rsid w:val="00483331"/>
    <w:rsid w:val="00483779"/>
    <w:rsid w:val="00483E7A"/>
    <w:rsid w:val="00483EB5"/>
    <w:rsid w:val="00483F2A"/>
    <w:rsid w:val="00483F68"/>
    <w:rsid w:val="00483FE5"/>
    <w:rsid w:val="004841ED"/>
    <w:rsid w:val="0048423D"/>
    <w:rsid w:val="00484344"/>
    <w:rsid w:val="004845C4"/>
    <w:rsid w:val="00484737"/>
    <w:rsid w:val="00484B9B"/>
    <w:rsid w:val="00484BA9"/>
    <w:rsid w:val="00484ED7"/>
    <w:rsid w:val="0048518F"/>
    <w:rsid w:val="004851A1"/>
    <w:rsid w:val="004853C5"/>
    <w:rsid w:val="004855F6"/>
    <w:rsid w:val="004858BD"/>
    <w:rsid w:val="00485CF5"/>
    <w:rsid w:val="00485E72"/>
    <w:rsid w:val="00485F53"/>
    <w:rsid w:val="00485F6D"/>
    <w:rsid w:val="004861F0"/>
    <w:rsid w:val="00486205"/>
    <w:rsid w:val="0048661E"/>
    <w:rsid w:val="0048691E"/>
    <w:rsid w:val="00486AF2"/>
    <w:rsid w:val="00486E1A"/>
    <w:rsid w:val="00486F64"/>
    <w:rsid w:val="00487170"/>
    <w:rsid w:val="0048746B"/>
    <w:rsid w:val="00487709"/>
    <w:rsid w:val="00487A48"/>
    <w:rsid w:val="00487C44"/>
    <w:rsid w:val="00487D39"/>
    <w:rsid w:val="00487DAF"/>
    <w:rsid w:val="00487FA4"/>
    <w:rsid w:val="004902C2"/>
    <w:rsid w:val="004905FE"/>
    <w:rsid w:val="004906E1"/>
    <w:rsid w:val="00490868"/>
    <w:rsid w:val="0049086B"/>
    <w:rsid w:val="00490CE4"/>
    <w:rsid w:val="00490EF1"/>
    <w:rsid w:val="0049107F"/>
    <w:rsid w:val="004911F2"/>
    <w:rsid w:val="004912B4"/>
    <w:rsid w:val="0049148C"/>
    <w:rsid w:val="00491998"/>
    <w:rsid w:val="00491AE8"/>
    <w:rsid w:val="00491C09"/>
    <w:rsid w:val="00491CDC"/>
    <w:rsid w:val="00492407"/>
    <w:rsid w:val="00492948"/>
    <w:rsid w:val="00492A49"/>
    <w:rsid w:val="00492BD4"/>
    <w:rsid w:val="00492C09"/>
    <w:rsid w:val="00492D1A"/>
    <w:rsid w:val="00493111"/>
    <w:rsid w:val="0049345A"/>
    <w:rsid w:val="00493468"/>
    <w:rsid w:val="004938BC"/>
    <w:rsid w:val="0049397A"/>
    <w:rsid w:val="004939D9"/>
    <w:rsid w:val="00493A32"/>
    <w:rsid w:val="00493F17"/>
    <w:rsid w:val="00494089"/>
    <w:rsid w:val="0049418D"/>
    <w:rsid w:val="004941BF"/>
    <w:rsid w:val="00494205"/>
    <w:rsid w:val="0049450E"/>
    <w:rsid w:val="004945BE"/>
    <w:rsid w:val="004945DD"/>
    <w:rsid w:val="00494670"/>
    <w:rsid w:val="004947CB"/>
    <w:rsid w:val="0049491B"/>
    <w:rsid w:val="00494ED7"/>
    <w:rsid w:val="00494FDD"/>
    <w:rsid w:val="00495029"/>
    <w:rsid w:val="00495059"/>
    <w:rsid w:val="00495759"/>
    <w:rsid w:val="004958CA"/>
    <w:rsid w:val="00495A7F"/>
    <w:rsid w:val="00495B6E"/>
    <w:rsid w:val="00495C5C"/>
    <w:rsid w:val="00495CCF"/>
    <w:rsid w:val="004960B6"/>
    <w:rsid w:val="004963B4"/>
    <w:rsid w:val="0049683C"/>
    <w:rsid w:val="00496A1F"/>
    <w:rsid w:val="00496B9F"/>
    <w:rsid w:val="00496C48"/>
    <w:rsid w:val="00496C62"/>
    <w:rsid w:val="00496CC9"/>
    <w:rsid w:val="00496E8E"/>
    <w:rsid w:val="00496EB8"/>
    <w:rsid w:val="00496EDC"/>
    <w:rsid w:val="00496FEE"/>
    <w:rsid w:val="0049775D"/>
    <w:rsid w:val="004977E4"/>
    <w:rsid w:val="00497840"/>
    <w:rsid w:val="00497CCE"/>
    <w:rsid w:val="00497D83"/>
    <w:rsid w:val="004A02EE"/>
    <w:rsid w:val="004A03D5"/>
    <w:rsid w:val="004A04DF"/>
    <w:rsid w:val="004A058C"/>
    <w:rsid w:val="004A0682"/>
    <w:rsid w:val="004A07EC"/>
    <w:rsid w:val="004A0917"/>
    <w:rsid w:val="004A0CD6"/>
    <w:rsid w:val="004A0E0F"/>
    <w:rsid w:val="004A0E86"/>
    <w:rsid w:val="004A10FB"/>
    <w:rsid w:val="004A1136"/>
    <w:rsid w:val="004A15D7"/>
    <w:rsid w:val="004A1A10"/>
    <w:rsid w:val="004A1AEF"/>
    <w:rsid w:val="004A1CB6"/>
    <w:rsid w:val="004A1DA6"/>
    <w:rsid w:val="004A2130"/>
    <w:rsid w:val="004A23AB"/>
    <w:rsid w:val="004A255A"/>
    <w:rsid w:val="004A2873"/>
    <w:rsid w:val="004A29D7"/>
    <w:rsid w:val="004A2A27"/>
    <w:rsid w:val="004A2ABA"/>
    <w:rsid w:val="004A2BD7"/>
    <w:rsid w:val="004A2C27"/>
    <w:rsid w:val="004A3085"/>
    <w:rsid w:val="004A32C6"/>
    <w:rsid w:val="004A34A7"/>
    <w:rsid w:val="004A3734"/>
    <w:rsid w:val="004A3823"/>
    <w:rsid w:val="004A3940"/>
    <w:rsid w:val="004A3BAB"/>
    <w:rsid w:val="004A3F84"/>
    <w:rsid w:val="004A3F8A"/>
    <w:rsid w:val="004A43FC"/>
    <w:rsid w:val="004A46DA"/>
    <w:rsid w:val="004A49BE"/>
    <w:rsid w:val="004A4C31"/>
    <w:rsid w:val="004A51C5"/>
    <w:rsid w:val="004A51E6"/>
    <w:rsid w:val="004A5413"/>
    <w:rsid w:val="004A5488"/>
    <w:rsid w:val="004A54C5"/>
    <w:rsid w:val="004A54CB"/>
    <w:rsid w:val="004A5509"/>
    <w:rsid w:val="004A56F5"/>
    <w:rsid w:val="004A5C63"/>
    <w:rsid w:val="004A5CBD"/>
    <w:rsid w:val="004A60DE"/>
    <w:rsid w:val="004A61F9"/>
    <w:rsid w:val="004A6360"/>
    <w:rsid w:val="004A65B4"/>
    <w:rsid w:val="004A65BF"/>
    <w:rsid w:val="004A6767"/>
    <w:rsid w:val="004A67C1"/>
    <w:rsid w:val="004A6A46"/>
    <w:rsid w:val="004A6AE2"/>
    <w:rsid w:val="004A6C7E"/>
    <w:rsid w:val="004A6E82"/>
    <w:rsid w:val="004A6EEA"/>
    <w:rsid w:val="004A7059"/>
    <w:rsid w:val="004A70B5"/>
    <w:rsid w:val="004A731B"/>
    <w:rsid w:val="004A73C1"/>
    <w:rsid w:val="004A751E"/>
    <w:rsid w:val="004A7534"/>
    <w:rsid w:val="004B0343"/>
    <w:rsid w:val="004B06C4"/>
    <w:rsid w:val="004B07A7"/>
    <w:rsid w:val="004B0976"/>
    <w:rsid w:val="004B0AD3"/>
    <w:rsid w:val="004B0AEF"/>
    <w:rsid w:val="004B0BAF"/>
    <w:rsid w:val="004B0CF9"/>
    <w:rsid w:val="004B115A"/>
    <w:rsid w:val="004B1CD5"/>
    <w:rsid w:val="004B2286"/>
    <w:rsid w:val="004B24F3"/>
    <w:rsid w:val="004B267C"/>
    <w:rsid w:val="004B286C"/>
    <w:rsid w:val="004B28F2"/>
    <w:rsid w:val="004B291D"/>
    <w:rsid w:val="004B2946"/>
    <w:rsid w:val="004B2A7F"/>
    <w:rsid w:val="004B3165"/>
    <w:rsid w:val="004B3288"/>
    <w:rsid w:val="004B32A1"/>
    <w:rsid w:val="004B36BD"/>
    <w:rsid w:val="004B3BFD"/>
    <w:rsid w:val="004B4063"/>
    <w:rsid w:val="004B40DE"/>
    <w:rsid w:val="004B4177"/>
    <w:rsid w:val="004B4242"/>
    <w:rsid w:val="004B424A"/>
    <w:rsid w:val="004B42F6"/>
    <w:rsid w:val="004B44E4"/>
    <w:rsid w:val="004B453B"/>
    <w:rsid w:val="004B4753"/>
    <w:rsid w:val="004B4816"/>
    <w:rsid w:val="004B4A3D"/>
    <w:rsid w:val="004B4B12"/>
    <w:rsid w:val="004B4E73"/>
    <w:rsid w:val="004B50D1"/>
    <w:rsid w:val="004B5255"/>
    <w:rsid w:val="004B53B3"/>
    <w:rsid w:val="004B54B5"/>
    <w:rsid w:val="004B55DF"/>
    <w:rsid w:val="004B5B08"/>
    <w:rsid w:val="004B5BAF"/>
    <w:rsid w:val="004B5ECE"/>
    <w:rsid w:val="004B6143"/>
    <w:rsid w:val="004B6355"/>
    <w:rsid w:val="004B655D"/>
    <w:rsid w:val="004B6A19"/>
    <w:rsid w:val="004B6A30"/>
    <w:rsid w:val="004B6AA6"/>
    <w:rsid w:val="004B6C73"/>
    <w:rsid w:val="004B6C79"/>
    <w:rsid w:val="004B6F4C"/>
    <w:rsid w:val="004B70A3"/>
    <w:rsid w:val="004B70EC"/>
    <w:rsid w:val="004B7272"/>
    <w:rsid w:val="004B7556"/>
    <w:rsid w:val="004B7643"/>
    <w:rsid w:val="004B7716"/>
    <w:rsid w:val="004B7890"/>
    <w:rsid w:val="004B7914"/>
    <w:rsid w:val="004B7998"/>
    <w:rsid w:val="004B7A19"/>
    <w:rsid w:val="004B7A82"/>
    <w:rsid w:val="004B7AF3"/>
    <w:rsid w:val="004B7BEF"/>
    <w:rsid w:val="004B7E74"/>
    <w:rsid w:val="004C0285"/>
    <w:rsid w:val="004C02ED"/>
    <w:rsid w:val="004C050B"/>
    <w:rsid w:val="004C053C"/>
    <w:rsid w:val="004C0642"/>
    <w:rsid w:val="004C0690"/>
    <w:rsid w:val="004C0718"/>
    <w:rsid w:val="004C071D"/>
    <w:rsid w:val="004C0724"/>
    <w:rsid w:val="004C07F6"/>
    <w:rsid w:val="004C0C28"/>
    <w:rsid w:val="004C0CBE"/>
    <w:rsid w:val="004C0D21"/>
    <w:rsid w:val="004C0F2F"/>
    <w:rsid w:val="004C0FDC"/>
    <w:rsid w:val="004C11C0"/>
    <w:rsid w:val="004C1260"/>
    <w:rsid w:val="004C14CE"/>
    <w:rsid w:val="004C152A"/>
    <w:rsid w:val="004C180E"/>
    <w:rsid w:val="004C19F6"/>
    <w:rsid w:val="004C1B26"/>
    <w:rsid w:val="004C1F88"/>
    <w:rsid w:val="004C1FE9"/>
    <w:rsid w:val="004C23FD"/>
    <w:rsid w:val="004C2536"/>
    <w:rsid w:val="004C2614"/>
    <w:rsid w:val="004C2857"/>
    <w:rsid w:val="004C298F"/>
    <w:rsid w:val="004C2AE4"/>
    <w:rsid w:val="004C2AF6"/>
    <w:rsid w:val="004C315A"/>
    <w:rsid w:val="004C323A"/>
    <w:rsid w:val="004C3508"/>
    <w:rsid w:val="004C359C"/>
    <w:rsid w:val="004C3675"/>
    <w:rsid w:val="004C38DD"/>
    <w:rsid w:val="004C38E0"/>
    <w:rsid w:val="004C399F"/>
    <w:rsid w:val="004C39B2"/>
    <w:rsid w:val="004C3A4E"/>
    <w:rsid w:val="004C3A9A"/>
    <w:rsid w:val="004C42C0"/>
    <w:rsid w:val="004C4357"/>
    <w:rsid w:val="004C4435"/>
    <w:rsid w:val="004C45B6"/>
    <w:rsid w:val="004C4F50"/>
    <w:rsid w:val="004C54D1"/>
    <w:rsid w:val="004C55CD"/>
    <w:rsid w:val="004C5709"/>
    <w:rsid w:val="004C58A3"/>
    <w:rsid w:val="004C5902"/>
    <w:rsid w:val="004C592D"/>
    <w:rsid w:val="004C5A61"/>
    <w:rsid w:val="004C5AE8"/>
    <w:rsid w:val="004C5BAA"/>
    <w:rsid w:val="004C5CAA"/>
    <w:rsid w:val="004C5DAA"/>
    <w:rsid w:val="004C5DAC"/>
    <w:rsid w:val="004C602F"/>
    <w:rsid w:val="004C61C2"/>
    <w:rsid w:val="004C626C"/>
    <w:rsid w:val="004C6373"/>
    <w:rsid w:val="004C6570"/>
    <w:rsid w:val="004C6784"/>
    <w:rsid w:val="004C6B13"/>
    <w:rsid w:val="004C6C65"/>
    <w:rsid w:val="004C6C84"/>
    <w:rsid w:val="004C6CA1"/>
    <w:rsid w:val="004C6D4C"/>
    <w:rsid w:val="004C6F4A"/>
    <w:rsid w:val="004C70A3"/>
    <w:rsid w:val="004C70C6"/>
    <w:rsid w:val="004C7511"/>
    <w:rsid w:val="004C758D"/>
    <w:rsid w:val="004C7625"/>
    <w:rsid w:val="004C7663"/>
    <w:rsid w:val="004C79A5"/>
    <w:rsid w:val="004C7B3E"/>
    <w:rsid w:val="004D03FB"/>
    <w:rsid w:val="004D04ED"/>
    <w:rsid w:val="004D0B62"/>
    <w:rsid w:val="004D0EDF"/>
    <w:rsid w:val="004D0FB8"/>
    <w:rsid w:val="004D0FD8"/>
    <w:rsid w:val="004D117E"/>
    <w:rsid w:val="004D11F6"/>
    <w:rsid w:val="004D125F"/>
    <w:rsid w:val="004D1336"/>
    <w:rsid w:val="004D13BC"/>
    <w:rsid w:val="004D14B2"/>
    <w:rsid w:val="004D1581"/>
    <w:rsid w:val="004D175B"/>
    <w:rsid w:val="004D1822"/>
    <w:rsid w:val="004D1A4F"/>
    <w:rsid w:val="004D1B56"/>
    <w:rsid w:val="004D1BF8"/>
    <w:rsid w:val="004D1C9D"/>
    <w:rsid w:val="004D21C7"/>
    <w:rsid w:val="004D2407"/>
    <w:rsid w:val="004D2696"/>
    <w:rsid w:val="004D2789"/>
    <w:rsid w:val="004D2791"/>
    <w:rsid w:val="004D2956"/>
    <w:rsid w:val="004D29BE"/>
    <w:rsid w:val="004D29CB"/>
    <w:rsid w:val="004D2ABE"/>
    <w:rsid w:val="004D2DFD"/>
    <w:rsid w:val="004D2E65"/>
    <w:rsid w:val="004D2FFA"/>
    <w:rsid w:val="004D31A4"/>
    <w:rsid w:val="004D381F"/>
    <w:rsid w:val="004D3910"/>
    <w:rsid w:val="004D3AA4"/>
    <w:rsid w:val="004D3AC3"/>
    <w:rsid w:val="004D3ADD"/>
    <w:rsid w:val="004D3C28"/>
    <w:rsid w:val="004D3EBB"/>
    <w:rsid w:val="004D3F2C"/>
    <w:rsid w:val="004D3FD4"/>
    <w:rsid w:val="004D4121"/>
    <w:rsid w:val="004D43D6"/>
    <w:rsid w:val="004D4707"/>
    <w:rsid w:val="004D4A98"/>
    <w:rsid w:val="004D4CFF"/>
    <w:rsid w:val="004D4D93"/>
    <w:rsid w:val="004D4E29"/>
    <w:rsid w:val="004D4E5A"/>
    <w:rsid w:val="004D4FFA"/>
    <w:rsid w:val="004D5304"/>
    <w:rsid w:val="004D53D6"/>
    <w:rsid w:val="004D53F9"/>
    <w:rsid w:val="004D560E"/>
    <w:rsid w:val="004D593F"/>
    <w:rsid w:val="004D5B3C"/>
    <w:rsid w:val="004D5EC2"/>
    <w:rsid w:val="004D6123"/>
    <w:rsid w:val="004D621D"/>
    <w:rsid w:val="004D6361"/>
    <w:rsid w:val="004D679C"/>
    <w:rsid w:val="004D6857"/>
    <w:rsid w:val="004D69D3"/>
    <w:rsid w:val="004D69DB"/>
    <w:rsid w:val="004D6C0F"/>
    <w:rsid w:val="004D6E83"/>
    <w:rsid w:val="004D70A7"/>
    <w:rsid w:val="004D715F"/>
    <w:rsid w:val="004D7388"/>
    <w:rsid w:val="004D73B4"/>
    <w:rsid w:val="004D75D1"/>
    <w:rsid w:val="004D78C9"/>
    <w:rsid w:val="004D7E02"/>
    <w:rsid w:val="004D7E77"/>
    <w:rsid w:val="004D7EB4"/>
    <w:rsid w:val="004E00CB"/>
    <w:rsid w:val="004E01D1"/>
    <w:rsid w:val="004E0293"/>
    <w:rsid w:val="004E045A"/>
    <w:rsid w:val="004E0891"/>
    <w:rsid w:val="004E0960"/>
    <w:rsid w:val="004E0CCA"/>
    <w:rsid w:val="004E0DAB"/>
    <w:rsid w:val="004E0F07"/>
    <w:rsid w:val="004E0F57"/>
    <w:rsid w:val="004E1063"/>
    <w:rsid w:val="004E106C"/>
    <w:rsid w:val="004E1543"/>
    <w:rsid w:val="004E162F"/>
    <w:rsid w:val="004E1709"/>
    <w:rsid w:val="004E1849"/>
    <w:rsid w:val="004E1BBA"/>
    <w:rsid w:val="004E1C57"/>
    <w:rsid w:val="004E1CE9"/>
    <w:rsid w:val="004E1DEC"/>
    <w:rsid w:val="004E2270"/>
    <w:rsid w:val="004E232D"/>
    <w:rsid w:val="004E23FD"/>
    <w:rsid w:val="004E24D9"/>
    <w:rsid w:val="004E24F1"/>
    <w:rsid w:val="004E253A"/>
    <w:rsid w:val="004E26D5"/>
    <w:rsid w:val="004E293E"/>
    <w:rsid w:val="004E29EA"/>
    <w:rsid w:val="004E2A61"/>
    <w:rsid w:val="004E2D00"/>
    <w:rsid w:val="004E306F"/>
    <w:rsid w:val="004E31E2"/>
    <w:rsid w:val="004E338A"/>
    <w:rsid w:val="004E34D3"/>
    <w:rsid w:val="004E37EF"/>
    <w:rsid w:val="004E380F"/>
    <w:rsid w:val="004E3853"/>
    <w:rsid w:val="004E3A67"/>
    <w:rsid w:val="004E3AAF"/>
    <w:rsid w:val="004E3BB2"/>
    <w:rsid w:val="004E3BF6"/>
    <w:rsid w:val="004E3CEB"/>
    <w:rsid w:val="004E3F18"/>
    <w:rsid w:val="004E40BF"/>
    <w:rsid w:val="004E44A7"/>
    <w:rsid w:val="004E45E8"/>
    <w:rsid w:val="004E4603"/>
    <w:rsid w:val="004E496E"/>
    <w:rsid w:val="004E502B"/>
    <w:rsid w:val="004E5242"/>
    <w:rsid w:val="004E5356"/>
    <w:rsid w:val="004E54EC"/>
    <w:rsid w:val="004E5505"/>
    <w:rsid w:val="004E5530"/>
    <w:rsid w:val="004E5535"/>
    <w:rsid w:val="004E5553"/>
    <w:rsid w:val="004E562C"/>
    <w:rsid w:val="004E5896"/>
    <w:rsid w:val="004E5ADA"/>
    <w:rsid w:val="004E6022"/>
    <w:rsid w:val="004E6029"/>
    <w:rsid w:val="004E6946"/>
    <w:rsid w:val="004E69B7"/>
    <w:rsid w:val="004E6EF1"/>
    <w:rsid w:val="004E72F9"/>
    <w:rsid w:val="004E7653"/>
    <w:rsid w:val="004E76E0"/>
    <w:rsid w:val="004E7920"/>
    <w:rsid w:val="004E7AE7"/>
    <w:rsid w:val="004E7BF0"/>
    <w:rsid w:val="004E7E1A"/>
    <w:rsid w:val="004E7F27"/>
    <w:rsid w:val="004E7F3C"/>
    <w:rsid w:val="004F0009"/>
    <w:rsid w:val="004F027C"/>
    <w:rsid w:val="004F042B"/>
    <w:rsid w:val="004F0494"/>
    <w:rsid w:val="004F04D5"/>
    <w:rsid w:val="004F058D"/>
    <w:rsid w:val="004F066E"/>
    <w:rsid w:val="004F07AC"/>
    <w:rsid w:val="004F0982"/>
    <w:rsid w:val="004F0DA2"/>
    <w:rsid w:val="004F0E7F"/>
    <w:rsid w:val="004F1129"/>
    <w:rsid w:val="004F1302"/>
    <w:rsid w:val="004F1623"/>
    <w:rsid w:val="004F1820"/>
    <w:rsid w:val="004F1A4E"/>
    <w:rsid w:val="004F1AD8"/>
    <w:rsid w:val="004F1C0C"/>
    <w:rsid w:val="004F1D2E"/>
    <w:rsid w:val="004F1EEF"/>
    <w:rsid w:val="004F204C"/>
    <w:rsid w:val="004F2075"/>
    <w:rsid w:val="004F23D7"/>
    <w:rsid w:val="004F2511"/>
    <w:rsid w:val="004F2BCA"/>
    <w:rsid w:val="004F308F"/>
    <w:rsid w:val="004F3533"/>
    <w:rsid w:val="004F38A4"/>
    <w:rsid w:val="004F3B15"/>
    <w:rsid w:val="004F3B2E"/>
    <w:rsid w:val="004F3ED8"/>
    <w:rsid w:val="004F3F4B"/>
    <w:rsid w:val="004F4227"/>
    <w:rsid w:val="004F4356"/>
    <w:rsid w:val="004F46BC"/>
    <w:rsid w:val="004F4709"/>
    <w:rsid w:val="004F485B"/>
    <w:rsid w:val="004F48E2"/>
    <w:rsid w:val="004F49D3"/>
    <w:rsid w:val="004F4D04"/>
    <w:rsid w:val="004F5399"/>
    <w:rsid w:val="004F5817"/>
    <w:rsid w:val="004F5F30"/>
    <w:rsid w:val="004F5FC6"/>
    <w:rsid w:val="004F62A8"/>
    <w:rsid w:val="004F664C"/>
    <w:rsid w:val="004F6A14"/>
    <w:rsid w:val="004F6B4E"/>
    <w:rsid w:val="004F6B7C"/>
    <w:rsid w:val="004F6BCD"/>
    <w:rsid w:val="004F6C87"/>
    <w:rsid w:val="004F6E17"/>
    <w:rsid w:val="004F6E1E"/>
    <w:rsid w:val="004F6E5E"/>
    <w:rsid w:val="004F6E82"/>
    <w:rsid w:val="004F6FBA"/>
    <w:rsid w:val="004F7205"/>
    <w:rsid w:val="004F74C4"/>
    <w:rsid w:val="004F74FE"/>
    <w:rsid w:val="004F75D3"/>
    <w:rsid w:val="004F768F"/>
    <w:rsid w:val="004F7762"/>
    <w:rsid w:val="004F77CA"/>
    <w:rsid w:val="004F7971"/>
    <w:rsid w:val="0050012A"/>
    <w:rsid w:val="00500187"/>
    <w:rsid w:val="00500576"/>
    <w:rsid w:val="005006A9"/>
    <w:rsid w:val="005006D1"/>
    <w:rsid w:val="00500873"/>
    <w:rsid w:val="0050093B"/>
    <w:rsid w:val="00500965"/>
    <w:rsid w:val="00500D2B"/>
    <w:rsid w:val="00500F8A"/>
    <w:rsid w:val="00501030"/>
    <w:rsid w:val="00501293"/>
    <w:rsid w:val="0050136F"/>
    <w:rsid w:val="0050148A"/>
    <w:rsid w:val="005015C7"/>
    <w:rsid w:val="0050192F"/>
    <w:rsid w:val="00501966"/>
    <w:rsid w:val="00501970"/>
    <w:rsid w:val="00501AF7"/>
    <w:rsid w:val="00501B20"/>
    <w:rsid w:val="00501B99"/>
    <w:rsid w:val="00501D3E"/>
    <w:rsid w:val="00501D75"/>
    <w:rsid w:val="00501FD2"/>
    <w:rsid w:val="00502102"/>
    <w:rsid w:val="005021EE"/>
    <w:rsid w:val="005024F4"/>
    <w:rsid w:val="005025B9"/>
    <w:rsid w:val="00502621"/>
    <w:rsid w:val="005028F5"/>
    <w:rsid w:val="005033AD"/>
    <w:rsid w:val="005037A3"/>
    <w:rsid w:val="005039CB"/>
    <w:rsid w:val="00503C8D"/>
    <w:rsid w:val="00503F28"/>
    <w:rsid w:val="00503F35"/>
    <w:rsid w:val="005041B9"/>
    <w:rsid w:val="005046FE"/>
    <w:rsid w:val="005049C6"/>
    <w:rsid w:val="00504D12"/>
    <w:rsid w:val="00504EC8"/>
    <w:rsid w:val="00504FBD"/>
    <w:rsid w:val="00505011"/>
    <w:rsid w:val="0050503E"/>
    <w:rsid w:val="0050513E"/>
    <w:rsid w:val="00505175"/>
    <w:rsid w:val="005053D7"/>
    <w:rsid w:val="00505484"/>
    <w:rsid w:val="0050558F"/>
    <w:rsid w:val="0050564A"/>
    <w:rsid w:val="00505C1A"/>
    <w:rsid w:val="00506225"/>
    <w:rsid w:val="00506252"/>
    <w:rsid w:val="00506286"/>
    <w:rsid w:val="00506418"/>
    <w:rsid w:val="0050643E"/>
    <w:rsid w:val="005064E9"/>
    <w:rsid w:val="00506603"/>
    <w:rsid w:val="00506A35"/>
    <w:rsid w:val="005075B7"/>
    <w:rsid w:val="00507644"/>
    <w:rsid w:val="005076E7"/>
    <w:rsid w:val="00507AFC"/>
    <w:rsid w:val="00507CA2"/>
    <w:rsid w:val="00507CD2"/>
    <w:rsid w:val="00507F6D"/>
    <w:rsid w:val="00507FB7"/>
    <w:rsid w:val="00510657"/>
    <w:rsid w:val="0051080D"/>
    <w:rsid w:val="00510813"/>
    <w:rsid w:val="00510859"/>
    <w:rsid w:val="00510AE2"/>
    <w:rsid w:val="00510CE0"/>
    <w:rsid w:val="00510D3C"/>
    <w:rsid w:val="00510E05"/>
    <w:rsid w:val="00511308"/>
    <w:rsid w:val="00511452"/>
    <w:rsid w:val="005115DF"/>
    <w:rsid w:val="005118F1"/>
    <w:rsid w:val="0051195B"/>
    <w:rsid w:val="00511990"/>
    <w:rsid w:val="00511AFE"/>
    <w:rsid w:val="00511CC0"/>
    <w:rsid w:val="00511D6E"/>
    <w:rsid w:val="00511DE0"/>
    <w:rsid w:val="00511EFC"/>
    <w:rsid w:val="005121A1"/>
    <w:rsid w:val="005126C2"/>
    <w:rsid w:val="00512843"/>
    <w:rsid w:val="0051298C"/>
    <w:rsid w:val="005129F0"/>
    <w:rsid w:val="00512CF8"/>
    <w:rsid w:val="00513065"/>
    <w:rsid w:val="005134B2"/>
    <w:rsid w:val="0051355B"/>
    <w:rsid w:val="00513848"/>
    <w:rsid w:val="00514782"/>
    <w:rsid w:val="005147F0"/>
    <w:rsid w:val="00514870"/>
    <w:rsid w:val="00514AB9"/>
    <w:rsid w:val="00514B54"/>
    <w:rsid w:val="00514B9B"/>
    <w:rsid w:val="00514FFF"/>
    <w:rsid w:val="0051556A"/>
    <w:rsid w:val="005155BD"/>
    <w:rsid w:val="0051565B"/>
    <w:rsid w:val="005156C5"/>
    <w:rsid w:val="005156CA"/>
    <w:rsid w:val="005157A1"/>
    <w:rsid w:val="00515A46"/>
    <w:rsid w:val="00515A93"/>
    <w:rsid w:val="00515CF1"/>
    <w:rsid w:val="00515E31"/>
    <w:rsid w:val="00515E6B"/>
    <w:rsid w:val="00515EEB"/>
    <w:rsid w:val="005161DB"/>
    <w:rsid w:val="005162D9"/>
    <w:rsid w:val="005166A9"/>
    <w:rsid w:val="005166F3"/>
    <w:rsid w:val="005168F1"/>
    <w:rsid w:val="005168FB"/>
    <w:rsid w:val="005169A3"/>
    <w:rsid w:val="00516C8A"/>
    <w:rsid w:val="00516DA1"/>
    <w:rsid w:val="00516EA8"/>
    <w:rsid w:val="005170A2"/>
    <w:rsid w:val="0051721D"/>
    <w:rsid w:val="00517643"/>
    <w:rsid w:val="005178A0"/>
    <w:rsid w:val="00517944"/>
    <w:rsid w:val="005179BF"/>
    <w:rsid w:val="00517DEB"/>
    <w:rsid w:val="00517E3D"/>
    <w:rsid w:val="00517F02"/>
    <w:rsid w:val="0052056F"/>
    <w:rsid w:val="005208F1"/>
    <w:rsid w:val="00520960"/>
    <w:rsid w:val="00520A92"/>
    <w:rsid w:val="00520B63"/>
    <w:rsid w:val="00520D0C"/>
    <w:rsid w:val="00520D8A"/>
    <w:rsid w:val="00520E56"/>
    <w:rsid w:val="00520EC6"/>
    <w:rsid w:val="005210D0"/>
    <w:rsid w:val="005214AE"/>
    <w:rsid w:val="00521500"/>
    <w:rsid w:val="00521958"/>
    <w:rsid w:val="0052199E"/>
    <w:rsid w:val="00522671"/>
    <w:rsid w:val="005226A2"/>
    <w:rsid w:val="00522B2A"/>
    <w:rsid w:val="00522C0D"/>
    <w:rsid w:val="00522F45"/>
    <w:rsid w:val="00522FBE"/>
    <w:rsid w:val="00523044"/>
    <w:rsid w:val="0052313F"/>
    <w:rsid w:val="0052348F"/>
    <w:rsid w:val="005234DC"/>
    <w:rsid w:val="005235E2"/>
    <w:rsid w:val="005241F9"/>
    <w:rsid w:val="00524303"/>
    <w:rsid w:val="005244D0"/>
    <w:rsid w:val="00524767"/>
    <w:rsid w:val="0052499D"/>
    <w:rsid w:val="00524E8F"/>
    <w:rsid w:val="00524F44"/>
    <w:rsid w:val="00524F58"/>
    <w:rsid w:val="0052509D"/>
    <w:rsid w:val="005253BC"/>
    <w:rsid w:val="00525456"/>
    <w:rsid w:val="00525537"/>
    <w:rsid w:val="00525540"/>
    <w:rsid w:val="00525627"/>
    <w:rsid w:val="005258A2"/>
    <w:rsid w:val="00525A6F"/>
    <w:rsid w:val="00525DBE"/>
    <w:rsid w:val="00525ED8"/>
    <w:rsid w:val="00525FDD"/>
    <w:rsid w:val="0052612F"/>
    <w:rsid w:val="005264D9"/>
    <w:rsid w:val="00526792"/>
    <w:rsid w:val="00526834"/>
    <w:rsid w:val="005269C6"/>
    <w:rsid w:val="00526B9E"/>
    <w:rsid w:val="00526C6F"/>
    <w:rsid w:val="00526DFD"/>
    <w:rsid w:val="00526E06"/>
    <w:rsid w:val="00526E12"/>
    <w:rsid w:val="00527241"/>
    <w:rsid w:val="005272BB"/>
    <w:rsid w:val="005276E9"/>
    <w:rsid w:val="00527725"/>
    <w:rsid w:val="00527906"/>
    <w:rsid w:val="005279DD"/>
    <w:rsid w:val="00527BF2"/>
    <w:rsid w:val="00527C51"/>
    <w:rsid w:val="0053003C"/>
    <w:rsid w:val="005300C2"/>
    <w:rsid w:val="0053028E"/>
    <w:rsid w:val="005302BF"/>
    <w:rsid w:val="00530682"/>
    <w:rsid w:val="0053070F"/>
    <w:rsid w:val="00530875"/>
    <w:rsid w:val="00530965"/>
    <w:rsid w:val="00530B0D"/>
    <w:rsid w:val="00530BD2"/>
    <w:rsid w:val="00530C76"/>
    <w:rsid w:val="00530DD7"/>
    <w:rsid w:val="00530EE5"/>
    <w:rsid w:val="00530FA8"/>
    <w:rsid w:val="0053109A"/>
    <w:rsid w:val="005310BE"/>
    <w:rsid w:val="005312DC"/>
    <w:rsid w:val="005314A3"/>
    <w:rsid w:val="00531818"/>
    <w:rsid w:val="00531C09"/>
    <w:rsid w:val="00531D6A"/>
    <w:rsid w:val="00531E4C"/>
    <w:rsid w:val="00531FF8"/>
    <w:rsid w:val="005323C1"/>
    <w:rsid w:val="005324EB"/>
    <w:rsid w:val="00532944"/>
    <w:rsid w:val="00532CA4"/>
    <w:rsid w:val="00532D48"/>
    <w:rsid w:val="00532FFC"/>
    <w:rsid w:val="005332CA"/>
    <w:rsid w:val="00533580"/>
    <w:rsid w:val="00533942"/>
    <w:rsid w:val="00533B9D"/>
    <w:rsid w:val="00533EF0"/>
    <w:rsid w:val="0053418D"/>
    <w:rsid w:val="005345C8"/>
    <w:rsid w:val="0053460D"/>
    <w:rsid w:val="0053473F"/>
    <w:rsid w:val="00534A6C"/>
    <w:rsid w:val="00534AF3"/>
    <w:rsid w:val="00534C8C"/>
    <w:rsid w:val="00534FD4"/>
    <w:rsid w:val="00535202"/>
    <w:rsid w:val="005352C3"/>
    <w:rsid w:val="005353CE"/>
    <w:rsid w:val="00535A2E"/>
    <w:rsid w:val="00535F9C"/>
    <w:rsid w:val="00536089"/>
    <w:rsid w:val="00536770"/>
    <w:rsid w:val="005367A8"/>
    <w:rsid w:val="005368DA"/>
    <w:rsid w:val="00536933"/>
    <w:rsid w:val="00536C23"/>
    <w:rsid w:val="00536CF0"/>
    <w:rsid w:val="00536E9F"/>
    <w:rsid w:val="00537207"/>
    <w:rsid w:val="00537235"/>
    <w:rsid w:val="005373BE"/>
    <w:rsid w:val="0053746E"/>
    <w:rsid w:val="005375BE"/>
    <w:rsid w:val="00537716"/>
    <w:rsid w:val="00537B13"/>
    <w:rsid w:val="00537DC9"/>
    <w:rsid w:val="00537FA0"/>
    <w:rsid w:val="005400AC"/>
    <w:rsid w:val="005401AE"/>
    <w:rsid w:val="0054032D"/>
    <w:rsid w:val="005404E4"/>
    <w:rsid w:val="00540792"/>
    <w:rsid w:val="0054099B"/>
    <w:rsid w:val="00540BAD"/>
    <w:rsid w:val="00540EA9"/>
    <w:rsid w:val="00540FF0"/>
    <w:rsid w:val="00541218"/>
    <w:rsid w:val="00541238"/>
    <w:rsid w:val="00541320"/>
    <w:rsid w:val="00541820"/>
    <w:rsid w:val="00541ADA"/>
    <w:rsid w:val="00541B68"/>
    <w:rsid w:val="00541F80"/>
    <w:rsid w:val="00542079"/>
    <w:rsid w:val="005420CC"/>
    <w:rsid w:val="005423AF"/>
    <w:rsid w:val="00542778"/>
    <w:rsid w:val="00542917"/>
    <w:rsid w:val="0054292C"/>
    <w:rsid w:val="0054296F"/>
    <w:rsid w:val="00542A40"/>
    <w:rsid w:val="00542B08"/>
    <w:rsid w:val="00542B6B"/>
    <w:rsid w:val="00542E07"/>
    <w:rsid w:val="00542EFB"/>
    <w:rsid w:val="00543092"/>
    <w:rsid w:val="0054316E"/>
    <w:rsid w:val="00543239"/>
    <w:rsid w:val="0054346D"/>
    <w:rsid w:val="0054364B"/>
    <w:rsid w:val="00543821"/>
    <w:rsid w:val="00543EDB"/>
    <w:rsid w:val="00544099"/>
    <w:rsid w:val="005442C3"/>
    <w:rsid w:val="005442EB"/>
    <w:rsid w:val="005445C6"/>
    <w:rsid w:val="0054494A"/>
    <w:rsid w:val="00544B3C"/>
    <w:rsid w:val="00544E36"/>
    <w:rsid w:val="00545424"/>
    <w:rsid w:val="00545520"/>
    <w:rsid w:val="00545763"/>
    <w:rsid w:val="005457C7"/>
    <w:rsid w:val="00545AAF"/>
    <w:rsid w:val="00545E78"/>
    <w:rsid w:val="00545F6E"/>
    <w:rsid w:val="005460C1"/>
    <w:rsid w:val="00546142"/>
    <w:rsid w:val="00546426"/>
    <w:rsid w:val="00546456"/>
    <w:rsid w:val="00546919"/>
    <w:rsid w:val="005469A2"/>
    <w:rsid w:val="00546EA0"/>
    <w:rsid w:val="00547216"/>
    <w:rsid w:val="00547217"/>
    <w:rsid w:val="005474C3"/>
    <w:rsid w:val="0054757C"/>
    <w:rsid w:val="005476A8"/>
    <w:rsid w:val="00547973"/>
    <w:rsid w:val="00547B0C"/>
    <w:rsid w:val="00547D8E"/>
    <w:rsid w:val="00547DBF"/>
    <w:rsid w:val="00547DE2"/>
    <w:rsid w:val="00547FEF"/>
    <w:rsid w:val="00550150"/>
    <w:rsid w:val="005506D6"/>
    <w:rsid w:val="00550775"/>
    <w:rsid w:val="00550A6E"/>
    <w:rsid w:val="00550A74"/>
    <w:rsid w:val="00550C82"/>
    <w:rsid w:val="00551099"/>
    <w:rsid w:val="00551392"/>
    <w:rsid w:val="0055181E"/>
    <w:rsid w:val="005520A2"/>
    <w:rsid w:val="005522EA"/>
    <w:rsid w:val="005523E5"/>
    <w:rsid w:val="00552990"/>
    <w:rsid w:val="00552A99"/>
    <w:rsid w:val="00552B4B"/>
    <w:rsid w:val="00552ED4"/>
    <w:rsid w:val="00552F37"/>
    <w:rsid w:val="00553189"/>
    <w:rsid w:val="0055361E"/>
    <w:rsid w:val="005536E0"/>
    <w:rsid w:val="005539C3"/>
    <w:rsid w:val="00553E11"/>
    <w:rsid w:val="00553F22"/>
    <w:rsid w:val="005541DE"/>
    <w:rsid w:val="00554219"/>
    <w:rsid w:val="0055426D"/>
    <w:rsid w:val="0055437D"/>
    <w:rsid w:val="00554528"/>
    <w:rsid w:val="0055465A"/>
    <w:rsid w:val="00554A7B"/>
    <w:rsid w:val="00554CA5"/>
    <w:rsid w:val="0055501A"/>
    <w:rsid w:val="005550BF"/>
    <w:rsid w:val="005551AB"/>
    <w:rsid w:val="00555250"/>
    <w:rsid w:val="00555292"/>
    <w:rsid w:val="005554F0"/>
    <w:rsid w:val="00555560"/>
    <w:rsid w:val="0055572C"/>
    <w:rsid w:val="00555765"/>
    <w:rsid w:val="005557D6"/>
    <w:rsid w:val="0055581B"/>
    <w:rsid w:val="005558BB"/>
    <w:rsid w:val="00555996"/>
    <w:rsid w:val="00555BF6"/>
    <w:rsid w:val="00555D03"/>
    <w:rsid w:val="00555F5F"/>
    <w:rsid w:val="00556558"/>
    <w:rsid w:val="0055655C"/>
    <w:rsid w:val="00556722"/>
    <w:rsid w:val="00556B75"/>
    <w:rsid w:val="00556D00"/>
    <w:rsid w:val="00556D75"/>
    <w:rsid w:val="00556ED4"/>
    <w:rsid w:val="00556F54"/>
    <w:rsid w:val="00556F6C"/>
    <w:rsid w:val="00557495"/>
    <w:rsid w:val="005574D4"/>
    <w:rsid w:val="0055756D"/>
    <w:rsid w:val="00557698"/>
    <w:rsid w:val="00557775"/>
    <w:rsid w:val="0055779F"/>
    <w:rsid w:val="005577F0"/>
    <w:rsid w:val="00557840"/>
    <w:rsid w:val="00557F15"/>
    <w:rsid w:val="0056016F"/>
    <w:rsid w:val="005602E1"/>
    <w:rsid w:val="0056044C"/>
    <w:rsid w:val="00560549"/>
    <w:rsid w:val="005606B6"/>
    <w:rsid w:val="005606CA"/>
    <w:rsid w:val="005606E2"/>
    <w:rsid w:val="005606F1"/>
    <w:rsid w:val="0056070D"/>
    <w:rsid w:val="00560B63"/>
    <w:rsid w:val="00560D10"/>
    <w:rsid w:val="0056106A"/>
    <w:rsid w:val="005610C1"/>
    <w:rsid w:val="005614C0"/>
    <w:rsid w:val="00561587"/>
    <w:rsid w:val="00561778"/>
    <w:rsid w:val="00561845"/>
    <w:rsid w:val="00561B01"/>
    <w:rsid w:val="00561B4D"/>
    <w:rsid w:val="00561F9F"/>
    <w:rsid w:val="00561FF5"/>
    <w:rsid w:val="00562000"/>
    <w:rsid w:val="00562047"/>
    <w:rsid w:val="00562558"/>
    <w:rsid w:val="00562A28"/>
    <w:rsid w:val="00562E74"/>
    <w:rsid w:val="00562F7C"/>
    <w:rsid w:val="005633F4"/>
    <w:rsid w:val="005634C7"/>
    <w:rsid w:val="005636F6"/>
    <w:rsid w:val="005637B9"/>
    <w:rsid w:val="005637FF"/>
    <w:rsid w:val="00563ADD"/>
    <w:rsid w:val="00563CD6"/>
    <w:rsid w:val="00563FE2"/>
    <w:rsid w:val="0056443D"/>
    <w:rsid w:val="005644BF"/>
    <w:rsid w:val="005644CE"/>
    <w:rsid w:val="005646B9"/>
    <w:rsid w:val="0056472C"/>
    <w:rsid w:val="0056476C"/>
    <w:rsid w:val="00564834"/>
    <w:rsid w:val="005648EB"/>
    <w:rsid w:val="00564A77"/>
    <w:rsid w:val="00564BD8"/>
    <w:rsid w:val="00564C82"/>
    <w:rsid w:val="00564D01"/>
    <w:rsid w:val="005651FA"/>
    <w:rsid w:val="0056527F"/>
    <w:rsid w:val="0056533B"/>
    <w:rsid w:val="00565881"/>
    <w:rsid w:val="00565F94"/>
    <w:rsid w:val="005661E1"/>
    <w:rsid w:val="0056653F"/>
    <w:rsid w:val="0056683E"/>
    <w:rsid w:val="00566A86"/>
    <w:rsid w:val="00566BD1"/>
    <w:rsid w:val="00566F12"/>
    <w:rsid w:val="0056706B"/>
    <w:rsid w:val="00567156"/>
    <w:rsid w:val="00567174"/>
    <w:rsid w:val="0056746F"/>
    <w:rsid w:val="00567B33"/>
    <w:rsid w:val="00567CED"/>
    <w:rsid w:val="00567DA1"/>
    <w:rsid w:val="00567E23"/>
    <w:rsid w:val="00567E7C"/>
    <w:rsid w:val="00567F1E"/>
    <w:rsid w:val="00570154"/>
    <w:rsid w:val="005702B2"/>
    <w:rsid w:val="00570579"/>
    <w:rsid w:val="0057078C"/>
    <w:rsid w:val="005707C3"/>
    <w:rsid w:val="005707E9"/>
    <w:rsid w:val="005707FD"/>
    <w:rsid w:val="0057080F"/>
    <w:rsid w:val="00570AAC"/>
    <w:rsid w:val="00570AB0"/>
    <w:rsid w:val="00570AD6"/>
    <w:rsid w:val="00570BCC"/>
    <w:rsid w:val="00570C26"/>
    <w:rsid w:val="00571066"/>
    <w:rsid w:val="005712A6"/>
    <w:rsid w:val="005717B1"/>
    <w:rsid w:val="005719D4"/>
    <w:rsid w:val="005719F8"/>
    <w:rsid w:val="00571A44"/>
    <w:rsid w:val="00571A5E"/>
    <w:rsid w:val="00571AC5"/>
    <w:rsid w:val="00571BC4"/>
    <w:rsid w:val="00571C2B"/>
    <w:rsid w:val="00571E6A"/>
    <w:rsid w:val="0057200A"/>
    <w:rsid w:val="00572030"/>
    <w:rsid w:val="00572077"/>
    <w:rsid w:val="005720AE"/>
    <w:rsid w:val="00572133"/>
    <w:rsid w:val="005728F9"/>
    <w:rsid w:val="00572D32"/>
    <w:rsid w:val="00572F80"/>
    <w:rsid w:val="00573299"/>
    <w:rsid w:val="005733C5"/>
    <w:rsid w:val="005734B6"/>
    <w:rsid w:val="00573633"/>
    <w:rsid w:val="00573899"/>
    <w:rsid w:val="005738E4"/>
    <w:rsid w:val="00573A15"/>
    <w:rsid w:val="00573B2E"/>
    <w:rsid w:val="00573BA7"/>
    <w:rsid w:val="00573D4F"/>
    <w:rsid w:val="00573FA4"/>
    <w:rsid w:val="00573FF4"/>
    <w:rsid w:val="005740C1"/>
    <w:rsid w:val="00574602"/>
    <w:rsid w:val="00574627"/>
    <w:rsid w:val="00574800"/>
    <w:rsid w:val="00574C91"/>
    <w:rsid w:val="00574E10"/>
    <w:rsid w:val="00574FD2"/>
    <w:rsid w:val="00575028"/>
    <w:rsid w:val="0057513E"/>
    <w:rsid w:val="00575592"/>
    <w:rsid w:val="005755D6"/>
    <w:rsid w:val="0057563D"/>
    <w:rsid w:val="0057579C"/>
    <w:rsid w:val="00575991"/>
    <w:rsid w:val="005759EA"/>
    <w:rsid w:val="00575D87"/>
    <w:rsid w:val="00576027"/>
    <w:rsid w:val="005760EA"/>
    <w:rsid w:val="00576204"/>
    <w:rsid w:val="00576666"/>
    <w:rsid w:val="00576992"/>
    <w:rsid w:val="00576A83"/>
    <w:rsid w:val="00576BAC"/>
    <w:rsid w:val="00576BD7"/>
    <w:rsid w:val="00577034"/>
    <w:rsid w:val="0057713E"/>
    <w:rsid w:val="0057715C"/>
    <w:rsid w:val="00577450"/>
    <w:rsid w:val="0057748A"/>
    <w:rsid w:val="005774C7"/>
    <w:rsid w:val="005776EF"/>
    <w:rsid w:val="0057793E"/>
    <w:rsid w:val="005779F5"/>
    <w:rsid w:val="00577A14"/>
    <w:rsid w:val="00577B24"/>
    <w:rsid w:val="00577BC2"/>
    <w:rsid w:val="00577D74"/>
    <w:rsid w:val="00577D8F"/>
    <w:rsid w:val="00577F94"/>
    <w:rsid w:val="0058002F"/>
    <w:rsid w:val="00580421"/>
    <w:rsid w:val="00580750"/>
    <w:rsid w:val="005809CC"/>
    <w:rsid w:val="00580F52"/>
    <w:rsid w:val="00581073"/>
    <w:rsid w:val="0058128B"/>
    <w:rsid w:val="00581456"/>
    <w:rsid w:val="005815F0"/>
    <w:rsid w:val="00581811"/>
    <w:rsid w:val="005819D1"/>
    <w:rsid w:val="00581C1C"/>
    <w:rsid w:val="00581EEB"/>
    <w:rsid w:val="0058243F"/>
    <w:rsid w:val="005824CF"/>
    <w:rsid w:val="005825E1"/>
    <w:rsid w:val="00582A50"/>
    <w:rsid w:val="00582BBB"/>
    <w:rsid w:val="0058304B"/>
    <w:rsid w:val="00583582"/>
    <w:rsid w:val="005838D3"/>
    <w:rsid w:val="00583A8F"/>
    <w:rsid w:val="00583AFB"/>
    <w:rsid w:val="00583B54"/>
    <w:rsid w:val="00583BE5"/>
    <w:rsid w:val="00583FC0"/>
    <w:rsid w:val="00583FF5"/>
    <w:rsid w:val="00584032"/>
    <w:rsid w:val="005842EF"/>
    <w:rsid w:val="0058443E"/>
    <w:rsid w:val="005845DC"/>
    <w:rsid w:val="005848D3"/>
    <w:rsid w:val="0058493C"/>
    <w:rsid w:val="00584D6E"/>
    <w:rsid w:val="0058531B"/>
    <w:rsid w:val="005857B7"/>
    <w:rsid w:val="00585860"/>
    <w:rsid w:val="005858DD"/>
    <w:rsid w:val="00585A5F"/>
    <w:rsid w:val="00585B25"/>
    <w:rsid w:val="00585C23"/>
    <w:rsid w:val="00585CE1"/>
    <w:rsid w:val="00585DE5"/>
    <w:rsid w:val="00585ED6"/>
    <w:rsid w:val="005860DD"/>
    <w:rsid w:val="0058614B"/>
    <w:rsid w:val="00586422"/>
    <w:rsid w:val="00586469"/>
    <w:rsid w:val="00586948"/>
    <w:rsid w:val="00586CC3"/>
    <w:rsid w:val="00586CCC"/>
    <w:rsid w:val="00586E2D"/>
    <w:rsid w:val="00586EB7"/>
    <w:rsid w:val="005873EA"/>
    <w:rsid w:val="005875EA"/>
    <w:rsid w:val="005878B4"/>
    <w:rsid w:val="005879F6"/>
    <w:rsid w:val="00587C31"/>
    <w:rsid w:val="00587E37"/>
    <w:rsid w:val="00587E8B"/>
    <w:rsid w:val="00587F60"/>
    <w:rsid w:val="00587F92"/>
    <w:rsid w:val="00590160"/>
    <w:rsid w:val="005904AA"/>
    <w:rsid w:val="00590522"/>
    <w:rsid w:val="00590582"/>
    <w:rsid w:val="0059066A"/>
    <w:rsid w:val="0059073B"/>
    <w:rsid w:val="00590995"/>
    <w:rsid w:val="005909C8"/>
    <w:rsid w:val="00590A8E"/>
    <w:rsid w:val="00590ACC"/>
    <w:rsid w:val="00590D42"/>
    <w:rsid w:val="00590DD3"/>
    <w:rsid w:val="00590DFF"/>
    <w:rsid w:val="00590E7D"/>
    <w:rsid w:val="005911A9"/>
    <w:rsid w:val="00591273"/>
    <w:rsid w:val="00591445"/>
    <w:rsid w:val="0059146F"/>
    <w:rsid w:val="00591731"/>
    <w:rsid w:val="005919DF"/>
    <w:rsid w:val="00591CCD"/>
    <w:rsid w:val="00591F2B"/>
    <w:rsid w:val="005921A6"/>
    <w:rsid w:val="00592216"/>
    <w:rsid w:val="00592236"/>
    <w:rsid w:val="005922B0"/>
    <w:rsid w:val="0059242D"/>
    <w:rsid w:val="00592569"/>
    <w:rsid w:val="005926D7"/>
    <w:rsid w:val="00592F05"/>
    <w:rsid w:val="00592F4D"/>
    <w:rsid w:val="005932FC"/>
    <w:rsid w:val="00593507"/>
    <w:rsid w:val="00593795"/>
    <w:rsid w:val="005939D8"/>
    <w:rsid w:val="00593C40"/>
    <w:rsid w:val="00593D86"/>
    <w:rsid w:val="00593E07"/>
    <w:rsid w:val="00594554"/>
    <w:rsid w:val="0059461E"/>
    <w:rsid w:val="005946D2"/>
    <w:rsid w:val="005948C3"/>
    <w:rsid w:val="00594D77"/>
    <w:rsid w:val="00595142"/>
    <w:rsid w:val="005952C0"/>
    <w:rsid w:val="0059553E"/>
    <w:rsid w:val="00595910"/>
    <w:rsid w:val="005959D2"/>
    <w:rsid w:val="00595BDE"/>
    <w:rsid w:val="00595C34"/>
    <w:rsid w:val="00595EB1"/>
    <w:rsid w:val="0059624B"/>
    <w:rsid w:val="00596418"/>
    <w:rsid w:val="005965AC"/>
    <w:rsid w:val="00596745"/>
    <w:rsid w:val="005969E4"/>
    <w:rsid w:val="00596A03"/>
    <w:rsid w:val="00596C64"/>
    <w:rsid w:val="00596DA9"/>
    <w:rsid w:val="00596DCF"/>
    <w:rsid w:val="00596E66"/>
    <w:rsid w:val="00597002"/>
    <w:rsid w:val="005975C7"/>
    <w:rsid w:val="00597669"/>
    <w:rsid w:val="005977F9"/>
    <w:rsid w:val="00597900"/>
    <w:rsid w:val="00597925"/>
    <w:rsid w:val="00597CBD"/>
    <w:rsid w:val="005A0133"/>
    <w:rsid w:val="005A01D7"/>
    <w:rsid w:val="005A06B7"/>
    <w:rsid w:val="005A06E4"/>
    <w:rsid w:val="005A06F8"/>
    <w:rsid w:val="005A0852"/>
    <w:rsid w:val="005A0A98"/>
    <w:rsid w:val="005A0E40"/>
    <w:rsid w:val="005A106E"/>
    <w:rsid w:val="005A1759"/>
    <w:rsid w:val="005A17A4"/>
    <w:rsid w:val="005A1B76"/>
    <w:rsid w:val="005A1DF6"/>
    <w:rsid w:val="005A2575"/>
    <w:rsid w:val="005A2C0C"/>
    <w:rsid w:val="005A317B"/>
    <w:rsid w:val="005A32D9"/>
    <w:rsid w:val="005A356C"/>
    <w:rsid w:val="005A36E4"/>
    <w:rsid w:val="005A3719"/>
    <w:rsid w:val="005A3803"/>
    <w:rsid w:val="005A393B"/>
    <w:rsid w:val="005A3B6F"/>
    <w:rsid w:val="005A3D9A"/>
    <w:rsid w:val="005A403C"/>
    <w:rsid w:val="005A432F"/>
    <w:rsid w:val="005A434A"/>
    <w:rsid w:val="005A4999"/>
    <w:rsid w:val="005A4B0A"/>
    <w:rsid w:val="005A4B3D"/>
    <w:rsid w:val="005A4D8F"/>
    <w:rsid w:val="005A4E2C"/>
    <w:rsid w:val="005A4F46"/>
    <w:rsid w:val="005A5236"/>
    <w:rsid w:val="005A55E3"/>
    <w:rsid w:val="005A589B"/>
    <w:rsid w:val="005A5961"/>
    <w:rsid w:val="005A59CD"/>
    <w:rsid w:val="005A5BF8"/>
    <w:rsid w:val="005A5D95"/>
    <w:rsid w:val="005A6200"/>
    <w:rsid w:val="005A66BD"/>
    <w:rsid w:val="005A6774"/>
    <w:rsid w:val="005A68A7"/>
    <w:rsid w:val="005A6E2B"/>
    <w:rsid w:val="005A6F88"/>
    <w:rsid w:val="005A7351"/>
    <w:rsid w:val="005A7478"/>
    <w:rsid w:val="005A75DB"/>
    <w:rsid w:val="005A75E2"/>
    <w:rsid w:val="005A7CE9"/>
    <w:rsid w:val="005A7E77"/>
    <w:rsid w:val="005B00C6"/>
    <w:rsid w:val="005B023B"/>
    <w:rsid w:val="005B0302"/>
    <w:rsid w:val="005B06B6"/>
    <w:rsid w:val="005B0905"/>
    <w:rsid w:val="005B09FE"/>
    <w:rsid w:val="005B0B86"/>
    <w:rsid w:val="005B0CB4"/>
    <w:rsid w:val="005B0D3E"/>
    <w:rsid w:val="005B0E21"/>
    <w:rsid w:val="005B161A"/>
    <w:rsid w:val="005B16EC"/>
    <w:rsid w:val="005B16FB"/>
    <w:rsid w:val="005B1903"/>
    <w:rsid w:val="005B19FA"/>
    <w:rsid w:val="005B1A91"/>
    <w:rsid w:val="005B1AF9"/>
    <w:rsid w:val="005B2176"/>
    <w:rsid w:val="005B218C"/>
    <w:rsid w:val="005B2246"/>
    <w:rsid w:val="005B232B"/>
    <w:rsid w:val="005B23F1"/>
    <w:rsid w:val="005B2427"/>
    <w:rsid w:val="005B2530"/>
    <w:rsid w:val="005B257A"/>
    <w:rsid w:val="005B2593"/>
    <w:rsid w:val="005B2641"/>
    <w:rsid w:val="005B27D2"/>
    <w:rsid w:val="005B2A39"/>
    <w:rsid w:val="005B2C95"/>
    <w:rsid w:val="005B2D66"/>
    <w:rsid w:val="005B2F26"/>
    <w:rsid w:val="005B2F45"/>
    <w:rsid w:val="005B3140"/>
    <w:rsid w:val="005B3189"/>
    <w:rsid w:val="005B323C"/>
    <w:rsid w:val="005B3549"/>
    <w:rsid w:val="005B35D8"/>
    <w:rsid w:val="005B396C"/>
    <w:rsid w:val="005B3A1D"/>
    <w:rsid w:val="005B3B29"/>
    <w:rsid w:val="005B3D10"/>
    <w:rsid w:val="005B3EB8"/>
    <w:rsid w:val="005B3F8E"/>
    <w:rsid w:val="005B41AF"/>
    <w:rsid w:val="005B4205"/>
    <w:rsid w:val="005B423C"/>
    <w:rsid w:val="005B4314"/>
    <w:rsid w:val="005B4353"/>
    <w:rsid w:val="005B436B"/>
    <w:rsid w:val="005B4397"/>
    <w:rsid w:val="005B4521"/>
    <w:rsid w:val="005B472E"/>
    <w:rsid w:val="005B4A8B"/>
    <w:rsid w:val="005B4DCB"/>
    <w:rsid w:val="005B4DEA"/>
    <w:rsid w:val="005B4F2F"/>
    <w:rsid w:val="005B500B"/>
    <w:rsid w:val="005B52B5"/>
    <w:rsid w:val="005B538D"/>
    <w:rsid w:val="005B54C5"/>
    <w:rsid w:val="005B5729"/>
    <w:rsid w:val="005B58AE"/>
    <w:rsid w:val="005B5B07"/>
    <w:rsid w:val="005B5C72"/>
    <w:rsid w:val="005B5E5A"/>
    <w:rsid w:val="005B5EB9"/>
    <w:rsid w:val="005B60B9"/>
    <w:rsid w:val="005B6BE9"/>
    <w:rsid w:val="005B6E7E"/>
    <w:rsid w:val="005B6F9D"/>
    <w:rsid w:val="005B711F"/>
    <w:rsid w:val="005B715F"/>
    <w:rsid w:val="005B72D2"/>
    <w:rsid w:val="005B72E5"/>
    <w:rsid w:val="005B73DD"/>
    <w:rsid w:val="005B75E7"/>
    <w:rsid w:val="005B788C"/>
    <w:rsid w:val="005B7BEE"/>
    <w:rsid w:val="005B7D64"/>
    <w:rsid w:val="005B7DC0"/>
    <w:rsid w:val="005B7E8B"/>
    <w:rsid w:val="005C008C"/>
    <w:rsid w:val="005C0190"/>
    <w:rsid w:val="005C0441"/>
    <w:rsid w:val="005C08E8"/>
    <w:rsid w:val="005C0AE3"/>
    <w:rsid w:val="005C0B3D"/>
    <w:rsid w:val="005C1018"/>
    <w:rsid w:val="005C120D"/>
    <w:rsid w:val="005C14A8"/>
    <w:rsid w:val="005C165E"/>
    <w:rsid w:val="005C19F4"/>
    <w:rsid w:val="005C1B3E"/>
    <w:rsid w:val="005C1B98"/>
    <w:rsid w:val="005C1DC2"/>
    <w:rsid w:val="005C1FE9"/>
    <w:rsid w:val="005C1FF4"/>
    <w:rsid w:val="005C2055"/>
    <w:rsid w:val="005C232F"/>
    <w:rsid w:val="005C2587"/>
    <w:rsid w:val="005C2740"/>
    <w:rsid w:val="005C2782"/>
    <w:rsid w:val="005C2CE2"/>
    <w:rsid w:val="005C2E4B"/>
    <w:rsid w:val="005C2EB8"/>
    <w:rsid w:val="005C2FCF"/>
    <w:rsid w:val="005C310D"/>
    <w:rsid w:val="005C3189"/>
    <w:rsid w:val="005C332C"/>
    <w:rsid w:val="005C34CF"/>
    <w:rsid w:val="005C3773"/>
    <w:rsid w:val="005C3833"/>
    <w:rsid w:val="005C3B03"/>
    <w:rsid w:val="005C3C10"/>
    <w:rsid w:val="005C3C45"/>
    <w:rsid w:val="005C3D26"/>
    <w:rsid w:val="005C3FDE"/>
    <w:rsid w:val="005C408C"/>
    <w:rsid w:val="005C4131"/>
    <w:rsid w:val="005C4665"/>
    <w:rsid w:val="005C472C"/>
    <w:rsid w:val="005C478E"/>
    <w:rsid w:val="005C47A3"/>
    <w:rsid w:val="005C4858"/>
    <w:rsid w:val="005C4902"/>
    <w:rsid w:val="005C49A4"/>
    <w:rsid w:val="005C4BA5"/>
    <w:rsid w:val="005C5227"/>
    <w:rsid w:val="005C5261"/>
    <w:rsid w:val="005C5589"/>
    <w:rsid w:val="005C562A"/>
    <w:rsid w:val="005C5725"/>
    <w:rsid w:val="005C5820"/>
    <w:rsid w:val="005C58E9"/>
    <w:rsid w:val="005C591B"/>
    <w:rsid w:val="005C5945"/>
    <w:rsid w:val="005C5DC4"/>
    <w:rsid w:val="005C5E7A"/>
    <w:rsid w:val="005C63F9"/>
    <w:rsid w:val="005C6417"/>
    <w:rsid w:val="005C6680"/>
    <w:rsid w:val="005C6B83"/>
    <w:rsid w:val="005C6BA9"/>
    <w:rsid w:val="005C6C14"/>
    <w:rsid w:val="005C6CBC"/>
    <w:rsid w:val="005C6DFD"/>
    <w:rsid w:val="005C7293"/>
    <w:rsid w:val="005C72B5"/>
    <w:rsid w:val="005C72D2"/>
    <w:rsid w:val="005C730E"/>
    <w:rsid w:val="005C791B"/>
    <w:rsid w:val="005C7BDA"/>
    <w:rsid w:val="005C7CB3"/>
    <w:rsid w:val="005D01F7"/>
    <w:rsid w:val="005D0242"/>
    <w:rsid w:val="005D028D"/>
    <w:rsid w:val="005D039C"/>
    <w:rsid w:val="005D06ED"/>
    <w:rsid w:val="005D077C"/>
    <w:rsid w:val="005D0857"/>
    <w:rsid w:val="005D0A22"/>
    <w:rsid w:val="005D0BCF"/>
    <w:rsid w:val="005D0CF7"/>
    <w:rsid w:val="005D0D3D"/>
    <w:rsid w:val="005D0D8C"/>
    <w:rsid w:val="005D0D9D"/>
    <w:rsid w:val="005D12B8"/>
    <w:rsid w:val="005D13DF"/>
    <w:rsid w:val="005D1E4F"/>
    <w:rsid w:val="005D1EA3"/>
    <w:rsid w:val="005D2209"/>
    <w:rsid w:val="005D22F8"/>
    <w:rsid w:val="005D24C1"/>
    <w:rsid w:val="005D24D0"/>
    <w:rsid w:val="005D2553"/>
    <w:rsid w:val="005D25E4"/>
    <w:rsid w:val="005D2727"/>
    <w:rsid w:val="005D2A87"/>
    <w:rsid w:val="005D2B20"/>
    <w:rsid w:val="005D304E"/>
    <w:rsid w:val="005D30FC"/>
    <w:rsid w:val="005D311A"/>
    <w:rsid w:val="005D338E"/>
    <w:rsid w:val="005D33F6"/>
    <w:rsid w:val="005D3402"/>
    <w:rsid w:val="005D355E"/>
    <w:rsid w:val="005D3569"/>
    <w:rsid w:val="005D3672"/>
    <w:rsid w:val="005D36AB"/>
    <w:rsid w:val="005D3A4C"/>
    <w:rsid w:val="005D3AB8"/>
    <w:rsid w:val="005D3B2F"/>
    <w:rsid w:val="005D3BC7"/>
    <w:rsid w:val="005D3BDA"/>
    <w:rsid w:val="005D3CE2"/>
    <w:rsid w:val="005D3FC0"/>
    <w:rsid w:val="005D41AE"/>
    <w:rsid w:val="005D448C"/>
    <w:rsid w:val="005D4709"/>
    <w:rsid w:val="005D4946"/>
    <w:rsid w:val="005D4971"/>
    <w:rsid w:val="005D4A9C"/>
    <w:rsid w:val="005D4D28"/>
    <w:rsid w:val="005D561D"/>
    <w:rsid w:val="005D57E6"/>
    <w:rsid w:val="005D59FE"/>
    <w:rsid w:val="005D5AD2"/>
    <w:rsid w:val="005D5BD1"/>
    <w:rsid w:val="005D5C61"/>
    <w:rsid w:val="005D5CF4"/>
    <w:rsid w:val="005D5E45"/>
    <w:rsid w:val="005D5EFB"/>
    <w:rsid w:val="005D5F91"/>
    <w:rsid w:val="005D61A9"/>
    <w:rsid w:val="005D6255"/>
    <w:rsid w:val="005D62CE"/>
    <w:rsid w:val="005D67A7"/>
    <w:rsid w:val="005D697C"/>
    <w:rsid w:val="005D6A7A"/>
    <w:rsid w:val="005D6CC5"/>
    <w:rsid w:val="005D6CC7"/>
    <w:rsid w:val="005D6E04"/>
    <w:rsid w:val="005D6E2F"/>
    <w:rsid w:val="005D6ED4"/>
    <w:rsid w:val="005D6FE7"/>
    <w:rsid w:val="005D6FF5"/>
    <w:rsid w:val="005D7162"/>
    <w:rsid w:val="005D737A"/>
    <w:rsid w:val="005D73D3"/>
    <w:rsid w:val="005D76ED"/>
    <w:rsid w:val="005D7F07"/>
    <w:rsid w:val="005E0664"/>
    <w:rsid w:val="005E080F"/>
    <w:rsid w:val="005E09DD"/>
    <w:rsid w:val="005E0B6E"/>
    <w:rsid w:val="005E0D9F"/>
    <w:rsid w:val="005E0F1B"/>
    <w:rsid w:val="005E0F69"/>
    <w:rsid w:val="005E0FFC"/>
    <w:rsid w:val="005E0FFF"/>
    <w:rsid w:val="005E1601"/>
    <w:rsid w:val="005E1931"/>
    <w:rsid w:val="005E1BAE"/>
    <w:rsid w:val="005E1DA6"/>
    <w:rsid w:val="005E1F43"/>
    <w:rsid w:val="005E1F87"/>
    <w:rsid w:val="005E20EB"/>
    <w:rsid w:val="005E20FD"/>
    <w:rsid w:val="005E24A7"/>
    <w:rsid w:val="005E2582"/>
    <w:rsid w:val="005E277B"/>
    <w:rsid w:val="005E27E5"/>
    <w:rsid w:val="005E2BEC"/>
    <w:rsid w:val="005E2E5A"/>
    <w:rsid w:val="005E3229"/>
    <w:rsid w:val="005E3296"/>
    <w:rsid w:val="005E33B0"/>
    <w:rsid w:val="005E3467"/>
    <w:rsid w:val="005E356D"/>
    <w:rsid w:val="005E37E2"/>
    <w:rsid w:val="005E38D9"/>
    <w:rsid w:val="005E39FA"/>
    <w:rsid w:val="005E3A46"/>
    <w:rsid w:val="005E3E0D"/>
    <w:rsid w:val="005E40AB"/>
    <w:rsid w:val="005E415F"/>
    <w:rsid w:val="005E44A4"/>
    <w:rsid w:val="005E4A70"/>
    <w:rsid w:val="005E4A72"/>
    <w:rsid w:val="005E4BC8"/>
    <w:rsid w:val="005E4C54"/>
    <w:rsid w:val="005E4CD2"/>
    <w:rsid w:val="005E4CDF"/>
    <w:rsid w:val="005E4D1E"/>
    <w:rsid w:val="005E4D8B"/>
    <w:rsid w:val="005E4E29"/>
    <w:rsid w:val="005E505A"/>
    <w:rsid w:val="005E516D"/>
    <w:rsid w:val="005E548F"/>
    <w:rsid w:val="005E551F"/>
    <w:rsid w:val="005E581D"/>
    <w:rsid w:val="005E5D4B"/>
    <w:rsid w:val="005E5D55"/>
    <w:rsid w:val="005E61BC"/>
    <w:rsid w:val="005E6281"/>
    <w:rsid w:val="005E6330"/>
    <w:rsid w:val="005E6344"/>
    <w:rsid w:val="005E6622"/>
    <w:rsid w:val="005E66D7"/>
    <w:rsid w:val="005E676B"/>
    <w:rsid w:val="005E6785"/>
    <w:rsid w:val="005E6955"/>
    <w:rsid w:val="005E6BFA"/>
    <w:rsid w:val="005E6F67"/>
    <w:rsid w:val="005E6FBD"/>
    <w:rsid w:val="005E71F2"/>
    <w:rsid w:val="005E72E5"/>
    <w:rsid w:val="005E767F"/>
    <w:rsid w:val="005E7778"/>
    <w:rsid w:val="005E777C"/>
    <w:rsid w:val="005E79A6"/>
    <w:rsid w:val="005E7AF6"/>
    <w:rsid w:val="005E7B49"/>
    <w:rsid w:val="005E7B71"/>
    <w:rsid w:val="005E7D4B"/>
    <w:rsid w:val="005F006A"/>
    <w:rsid w:val="005F01FC"/>
    <w:rsid w:val="005F0622"/>
    <w:rsid w:val="005F062D"/>
    <w:rsid w:val="005F065A"/>
    <w:rsid w:val="005F0690"/>
    <w:rsid w:val="005F06A9"/>
    <w:rsid w:val="005F094D"/>
    <w:rsid w:val="005F0B36"/>
    <w:rsid w:val="005F0FE7"/>
    <w:rsid w:val="005F12DC"/>
    <w:rsid w:val="005F16BD"/>
    <w:rsid w:val="005F1749"/>
    <w:rsid w:val="005F1836"/>
    <w:rsid w:val="005F1B34"/>
    <w:rsid w:val="005F1C91"/>
    <w:rsid w:val="005F1C93"/>
    <w:rsid w:val="005F1CFA"/>
    <w:rsid w:val="005F1D9B"/>
    <w:rsid w:val="005F205A"/>
    <w:rsid w:val="005F2221"/>
    <w:rsid w:val="005F230A"/>
    <w:rsid w:val="005F2440"/>
    <w:rsid w:val="005F245D"/>
    <w:rsid w:val="005F24FE"/>
    <w:rsid w:val="005F2B97"/>
    <w:rsid w:val="005F2BCE"/>
    <w:rsid w:val="005F2EAC"/>
    <w:rsid w:val="005F2EC7"/>
    <w:rsid w:val="005F3077"/>
    <w:rsid w:val="005F354D"/>
    <w:rsid w:val="005F35A9"/>
    <w:rsid w:val="005F3725"/>
    <w:rsid w:val="005F37C8"/>
    <w:rsid w:val="005F3A9A"/>
    <w:rsid w:val="005F3B09"/>
    <w:rsid w:val="005F3D83"/>
    <w:rsid w:val="005F421F"/>
    <w:rsid w:val="005F4538"/>
    <w:rsid w:val="005F46A7"/>
    <w:rsid w:val="005F473A"/>
    <w:rsid w:val="005F474C"/>
    <w:rsid w:val="005F47EA"/>
    <w:rsid w:val="005F47FB"/>
    <w:rsid w:val="005F4876"/>
    <w:rsid w:val="005F48E3"/>
    <w:rsid w:val="005F49BF"/>
    <w:rsid w:val="005F4B4C"/>
    <w:rsid w:val="005F4D07"/>
    <w:rsid w:val="005F4E2F"/>
    <w:rsid w:val="005F4F08"/>
    <w:rsid w:val="005F5442"/>
    <w:rsid w:val="005F55D2"/>
    <w:rsid w:val="005F5738"/>
    <w:rsid w:val="005F58E4"/>
    <w:rsid w:val="005F5CA7"/>
    <w:rsid w:val="005F5CB6"/>
    <w:rsid w:val="005F5F39"/>
    <w:rsid w:val="005F60F8"/>
    <w:rsid w:val="005F64E4"/>
    <w:rsid w:val="005F6651"/>
    <w:rsid w:val="005F6699"/>
    <w:rsid w:val="005F6A2F"/>
    <w:rsid w:val="005F6E4A"/>
    <w:rsid w:val="005F7016"/>
    <w:rsid w:val="005F7017"/>
    <w:rsid w:val="005F7182"/>
    <w:rsid w:val="005F72F3"/>
    <w:rsid w:val="005F734C"/>
    <w:rsid w:val="005F73C4"/>
    <w:rsid w:val="005F760E"/>
    <w:rsid w:val="005F780E"/>
    <w:rsid w:val="005F786B"/>
    <w:rsid w:val="005F7951"/>
    <w:rsid w:val="005F7A98"/>
    <w:rsid w:val="005F7DA1"/>
    <w:rsid w:val="006000D5"/>
    <w:rsid w:val="00600274"/>
    <w:rsid w:val="006003DF"/>
    <w:rsid w:val="006003E0"/>
    <w:rsid w:val="006006F6"/>
    <w:rsid w:val="00600844"/>
    <w:rsid w:val="00600B95"/>
    <w:rsid w:val="00600EBD"/>
    <w:rsid w:val="00600F7B"/>
    <w:rsid w:val="006013F4"/>
    <w:rsid w:val="00601443"/>
    <w:rsid w:val="006016E9"/>
    <w:rsid w:val="006017E0"/>
    <w:rsid w:val="00601853"/>
    <w:rsid w:val="00601E1C"/>
    <w:rsid w:val="00602018"/>
    <w:rsid w:val="006021E5"/>
    <w:rsid w:val="006022A9"/>
    <w:rsid w:val="006022D1"/>
    <w:rsid w:val="006027E8"/>
    <w:rsid w:val="006027F4"/>
    <w:rsid w:val="00602928"/>
    <w:rsid w:val="00602C3C"/>
    <w:rsid w:val="00603144"/>
    <w:rsid w:val="006034E7"/>
    <w:rsid w:val="00603507"/>
    <w:rsid w:val="00603623"/>
    <w:rsid w:val="0060392B"/>
    <w:rsid w:val="00603BB7"/>
    <w:rsid w:val="00603E96"/>
    <w:rsid w:val="006040AE"/>
    <w:rsid w:val="006043AE"/>
    <w:rsid w:val="00604529"/>
    <w:rsid w:val="006048A5"/>
    <w:rsid w:val="00604AB8"/>
    <w:rsid w:val="00604B88"/>
    <w:rsid w:val="00604BA3"/>
    <w:rsid w:val="00604D0D"/>
    <w:rsid w:val="006050C8"/>
    <w:rsid w:val="006050F4"/>
    <w:rsid w:val="006052DD"/>
    <w:rsid w:val="00605505"/>
    <w:rsid w:val="006059CF"/>
    <w:rsid w:val="00605EB9"/>
    <w:rsid w:val="00606116"/>
    <w:rsid w:val="00606424"/>
    <w:rsid w:val="0060652E"/>
    <w:rsid w:val="00606672"/>
    <w:rsid w:val="00606758"/>
    <w:rsid w:val="00606966"/>
    <w:rsid w:val="00606E1A"/>
    <w:rsid w:val="00606E98"/>
    <w:rsid w:val="0060711D"/>
    <w:rsid w:val="0060718C"/>
    <w:rsid w:val="006071C6"/>
    <w:rsid w:val="006071C7"/>
    <w:rsid w:val="006072A8"/>
    <w:rsid w:val="00607394"/>
    <w:rsid w:val="00607953"/>
    <w:rsid w:val="00607E1C"/>
    <w:rsid w:val="00607E34"/>
    <w:rsid w:val="00607F5A"/>
    <w:rsid w:val="00607F78"/>
    <w:rsid w:val="00610236"/>
    <w:rsid w:val="006102FA"/>
    <w:rsid w:val="006103F9"/>
    <w:rsid w:val="006104E1"/>
    <w:rsid w:val="00610543"/>
    <w:rsid w:val="006105F2"/>
    <w:rsid w:val="0061075B"/>
    <w:rsid w:val="0061079A"/>
    <w:rsid w:val="00610805"/>
    <w:rsid w:val="00610814"/>
    <w:rsid w:val="006108E0"/>
    <w:rsid w:val="00610919"/>
    <w:rsid w:val="00610B96"/>
    <w:rsid w:val="00611077"/>
    <w:rsid w:val="006111CB"/>
    <w:rsid w:val="006114EF"/>
    <w:rsid w:val="006117BD"/>
    <w:rsid w:val="006117C3"/>
    <w:rsid w:val="00611979"/>
    <w:rsid w:val="00611C18"/>
    <w:rsid w:val="006121BC"/>
    <w:rsid w:val="0061253F"/>
    <w:rsid w:val="00612625"/>
    <w:rsid w:val="00612865"/>
    <w:rsid w:val="00612936"/>
    <w:rsid w:val="00612A62"/>
    <w:rsid w:val="00612B63"/>
    <w:rsid w:val="00612C14"/>
    <w:rsid w:val="00612E1E"/>
    <w:rsid w:val="0061315C"/>
    <w:rsid w:val="006133DD"/>
    <w:rsid w:val="006134B7"/>
    <w:rsid w:val="00613934"/>
    <w:rsid w:val="00613A15"/>
    <w:rsid w:val="00613D7E"/>
    <w:rsid w:val="00613FAA"/>
    <w:rsid w:val="006142EF"/>
    <w:rsid w:val="0061463D"/>
    <w:rsid w:val="006147EF"/>
    <w:rsid w:val="00614BA4"/>
    <w:rsid w:val="00614C9E"/>
    <w:rsid w:val="00614CCD"/>
    <w:rsid w:val="00614D6B"/>
    <w:rsid w:val="00614F2D"/>
    <w:rsid w:val="00614F31"/>
    <w:rsid w:val="00615021"/>
    <w:rsid w:val="006150FF"/>
    <w:rsid w:val="00615202"/>
    <w:rsid w:val="00615582"/>
    <w:rsid w:val="00615668"/>
    <w:rsid w:val="00615865"/>
    <w:rsid w:val="00615CCC"/>
    <w:rsid w:val="00615D29"/>
    <w:rsid w:val="0061639F"/>
    <w:rsid w:val="00616528"/>
    <w:rsid w:val="00616636"/>
    <w:rsid w:val="0061695F"/>
    <w:rsid w:val="00616C30"/>
    <w:rsid w:val="00616D99"/>
    <w:rsid w:val="00616F42"/>
    <w:rsid w:val="006171AC"/>
    <w:rsid w:val="00617275"/>
    <w:rsid w:val="00617538"/>
    <w:rsid w:val="0061771B"/>
    <w:rsid w:val="006177E8"/>
    <w:rsid w:val="00617A15"/>
    <w:rsid w:val="00617A6F"/>
    <w:rsid w:val="00617AB5"/>
    <w:rsid w:val="00617B47"/>
    <w:rsid w:val="00617CC3"/>
    <w:rsid w:val="00617D82"/>
    <w:rsid w:val="00617F0C"/>
    <w:rsid w:val="00620068"/>
    <w:rsid w:val="0062008B"/>
    <w:rsid w:val="00620134"/>
    <w:rsid w:val="006202C4"/>
    <w:rsid w:val="006203BF"/>
    <w:rsid w:val="006203D4"/>
    <w:rsid w:val="006203E8"/>
    <w:rsid w:val="00620A46"/>
    <w:rsid w:val="00620B21"/>
    <w:rsid w:val="00620CAD"/>
    <w:rsid w:val="00620CED"/>
    <w:rsid w:val="00620E73"/>
    <w:rsid w:val="00621464"/>
    <w:rsid w:val="006217EF"/>
    <w:rsid w:val="006217F1"/>
    <w:rsid w:val="0062180D"/>
    <w:rsid w:val="00621B8B"/>
    <w:rsid w:val="00621C04"/>
    <w:rsid w:val="00621FE6"/>
    <w:rsid w:val="006220FF"/>
    <w:rsid w:val="0062241E"/>
    <w:rsid w:val="006225EB"/>
    <w:rsid w:val="00622A36"/>
    <w:rsid w:val="00622AC0"/>
    <w:rsid w:val="00622B9C"/>
    <w:rsid w:val="00622BC9"/>
    <w:rsid w:val="00622E57"/>
    <w:rsid w:val="00622F44"/>
    <w:rsid w:val="0062301D"/>
    <w:rsid w:val="00623151"/>
    <w:rsid w:val="00623452"/>
    <w:rsid w:val="006236B3"/>
    <w:rsid w:val="00623912"/>
    <w:rsid w:val="00623940"/>
    <w:rsid w:val="00623960"/>
    <w:rsid w:val="00623B25"/>
    <w:rsid w:val="00623CCF"/>
    <w:rsid w:val="00623CF2"/>
    <w:rsid w:val="00623F05"/>
    <w:rsid w:val="00623F96"/>
    <w:rsid w:val="00624115"/>
    <w:rsid w:val="0062445A"/>
    <w:rsid w:val="0062445F"/>
    <w:rsid w:val="00624506"/>
    <w:rsid w:val="0062475E"/>
    <w:rsid w:val="0062479B"/>
    <w:rsid w:val="006248A4"/>
    <w:rsid w:val="00624A81"/>
    <w:rsid w:val="00624AAC"/>
    <w:rsid w:val="00624EFD"/>
    <w:rsid w:val="006250A1"/>
    <w:rsid w:val="006253E4"/>
    <w:rsid w:val="0062556F"/>
    <w:rsid w:val="0062581D"/>
    <w:rsid w:val="00625862"/>
    <w:rsid w:val="00625F43"/>
    <w:rsid w:val="006263C7"/>
    <w:rsid w:val="006263D7"/>
    <w:rsid w:val="006265E4"/>
    <w:rsid w:val="00626834"/>
    <w:rsid w:val="00626A39"/>
    <w:rsid w:val="00626B53"/>
    <w:rsid w:val="00626FB3"/>
    <w:rsid w:val="0062706A"/>
    <w:rsid w:val="006276AD"/>
    <w:rsid w:val="006277CE"/>
    <w:rsid w:val="0062788D"/>
    <w:rsid w:val="00627BDE"/>
    <w:rsid w:val="00627D8A"/>
    <w:rsid w:val="00627DD6"/>
    <w:rsid w:val="00630033"/>
    <w:rsid w:val="006300A4"/>
    <w:rsid w:val="0063012F"/>
    <w:rsid w:val="006301DD"/>
    <w:rsid w:val="00630482"/>
    <w:rsid w:val="00630512"/>
    <w:rsid w:val="006306B3"/>
    <w:rsid w:val="0063090E"/>
    <w:rsid w:val="00631055"/>
    <w:rsid w:val="006310A5"/>
    <w:rsid w:val="00631187"/>
    <w:rsid w:val="00631237"/>
    <w:rsid w:val="006319EB"/>
    <w:rsid w:val="00631C93"/>
    <w:rsid w:val="00631D40"/>
    <w:rsid w:val="00631D6D"/>
    <w:rsid w:val="00631DA8"/>
    <w:rsid w:val="00631E75"/>
    <w:rsid w:val="00632005"/>
    <w:rsid w:val="006325D8"/>
    <w:rsid w:val="00632672"/>
    <w:rsid w:val="0063273F"/>
    <w:rsid w:val="00632A5B"/>
    <w:rsid w:val="00632DFB"/>
    <w:rsid w:val="00632FA8"/>
    <w:rsid w:val="006332AE"/>
    <w:rsid w:val="00633620"/>
    <w:rsid w:val="006336E5"/>
    <w:rsid w:val="006337C0"/>
    <w:rsid w:val="00633821"/>
    <w:rsid w:val="0063383F"/>
    <w:rsid w:val="006338BF"/>
    <w:rsid w:val="006338D3"/>
    <w:rsid w:val="006339BF"/>
    <w:rsid w:val="006339C8"/>
    <w:rsid w:val="006339F7"/>
    <w:rsid w:val="00633C7E"/>
    <w:rsid w:val="00633CBD"/>
    <w:rsid w:val="00633F97"/>
    <w:rsid w:val="00634312"/>
    <w:rsid w:val="00634519"/>
    <w:rsid w:val="00634B02"/>
    <w:rsid w:val="00634B05"/>
    <w:rsid w:val="00634FE1"/>
    <w:rsid w:val="00635009"/>
    <w:rsid w:val="0063502A"/>
    <w:rsid w:val="006350A9"/>
    <w:rsid w:val="006352F3"/>
    <w:rsid w:val="0063574C"/>
    <w:rsid w:val="0063580C"/>
    <w:rsid w:val="00635E45"/>
    <w:rsid w:val="00635F7A"/>
    <w:rsid w:val="006360B1"/>
    <w:rsid w:val="00636167"/>
    <w:rsid w:val="00636507"/>
    <w:rsid w:val="00636781"/>
    <w:rsid w:val="006368A4"/>
    <w:rsid w:val="00636978"/>
    <w:rsid w:val="006369C8"/>
    <w:rsid w:val="00636BA0"/>
    <w:rsid w:val="00636CA7"/>
    <w:rsid w:val="00636D94"/>
    <w:rsid w:val="00636F11"/>
    <w:rsid w:val="0063729C"/>
    <w:rsid w:val="006372E2"/>
    <w:rsid w:val="00637476"/>
    <w:rsid w:val="00637633"/>
    <w:rsid w:val="006377A6"/>
    <w:rsid w:val="00637960"/>
    <w:rsid w:val="00637A3D"/>
    <w:rsid w:val="00637B44"/>
    <w:rsid w:val="00637F8C"/>
    <w:rsid w:val="0064002B"/>
    <w:rsid w:val="0064029C"/>
    <w:rsid w:val="006402DD"/>
    <w:rsid w:val="00640546"/>
    <w:rsid w:val="00640AB6"/>
    <w:rsid w:val="00640B0C"/>
    <w:rsid w:val="00640CF2"/>
    <w:rsid w:val="00640D58"/>
    <w:rsid w:val="00640DDF"/>
    <w:rsid w:val="00640FD6"/>
    <w:rsid w:val="006411EF"/>
    <w:rsid w:val="0064121B"/>
    <w:rsid w:val="006414F1"/>
    <w:rsid w:val="00641549"/>
    <w:rsid w:val="006415D3"/>
    <w:rsid w:val="00641664"/>
    <w:rsid w:val="00641895"/>
    <w:rsid w:val="00641A1A"/>
    <w:rsid w:val="00641A4A"/>
    <w:rsid w:val="00641E16"/>
    <w:rsid w:val="00642008"/>
    <w:rsid w:val="00642427"/>
    <w:rsid w:val="00642691"/>
    <w:rsid w:val="0064272F"/>
    <w:rsid w:val="00642897"/>
    <w:rsid w:val="006429A4"/>
    <w:rsid w:val="00642AD6"/>
    <w:rsid w:val="00642BCC"/>
    <w:rsid w:val="00642CB4"/>
    <w:rsid w:val="00642D01"/>
    <w:rsid w:val="00642E1E"/>
    <w:rsid w:val="00642E55"/>
    <w:rsid w:val="00642FE0"/>
    <w:rsid w:val="00643058"/>
    <w:rsid w:val="00643098"/>
    <w:rsid w:val="00643113"/>
    <w:rsid w:val="006431F8"/>
    <w:rsid w:val="00643466"/>
    <w:rsid w:val="006439B1"/>
    <w:rsid w:val="00643A7B"/>
    <w:rsid w:val="00643B27"/>
    <w:rsid w:val="00643C52"/>
    <w:rsid w:val="00643C57"/>
    <w:rsid w:val="00643D57"/>
    <w:rsid w:val="00643DD6"/>
    <w:rsid w:val="006442E9"/>
    <w:rsid w:val="006443D0"/>
    <w:rsid w:val="006446CA"/>
    <w:rsid w:val="0064475E"/>
    <w:rsid w:val="00644A6C"/>
    <w:rsid w:val="00644B97"/>
    <w:rsid w:val="006450AB"/>
    <w:rsid w:val="00645156"/>
    <w:rsid w:val="0064560D"/>
    <w:rsid w:val="006457D4"/>
    <w:rsid w:val="0064586A"/>
    <w:rsid w:val="00645A73"/>
    <w:rsid w:val="00645D72"/>
    <w:rsid w:val="00646138"/>
    <w:rsid w:val="00646A7D"/>
    <w:rsid w:val="00646DFE"/>
    <w:rsid w:val="00646E13"/>
    <w:rsid w:val="00646EA7"/>
    <w:rsid w:val="00647031"/>
    <w:rsid w:val="00647433"/>
    <w:rsid w:val="006475C2"/>
    <w:rsid w:val="0064776C"/>
    <w:rsid w:val="00647937"/>
    <w:rsid w:val="00647C7B"/>
    <w:rsid w:val="00647CCF"/>
    <w:rsid w:val="00647DA9"/>
    <w:rsid w:val="006504F2"/>
    <w:rsid w:val="0065067A"/>
    <w:rsid w:val="00650800"/>
    <w:rsid w:val="00650846"/>
    <w:rsid w:val="00650AE6"/>
    <w:rsid w:val="00650B62"/>
    <w:rsid w:val="00650DD3"/>
    <w:rsid w:val="006510AC"/>
    <w:rsid w:val="00651171"/>
    <w:rsid w:val="00651350"/>
    <w:rsid w:val="00651362"/>
    <w:rsid w:val="00651683"/>
    <w:rsid w:val="00651BCA"/>
    <w:rsid w:val="00651E03"/>
    <w:rsid w:val="00651E73"/>
    <w:rsid w:val="00651F4B"/>
    <w:rsid w:val="00652034"/>
    <w:rsid w:val="006520EE"/>
    <w:rsid w:val="0065226A"/>
    <w:rsid w:val="006524D5"/>
    <w:rsid w:val="00652B01"/>
    <w:rsid w:val="00652F19"/>
    <w:rsid w:val="006530BB"/>
    <w:rsid w:val="0065331B"/>
    <w:rsid w:val="006539DF"/>
    <w:rsid w:val="00653A68"/>
    <w:rsid w:val="00654551"/>
    <w:rsid w:val="00654605"/>
    <w:rsid w:val="00654735"/>
    <w:rsid w:val="006548A5"/>
    <w:rsid w:val="0065491A"/>
    <w:rsid w:val="00654B5D"/>
    <w:rsid w:val="00654DA7"/>
    <w:rsid w:val="00655073"/>
    <w:rsid w:val="006550FA"/>
    <w:rsid w:val="006552A0"/>
    <w:rsid w:val="006554C6"/>
    <w:rsid w:val="006555F3"/>
    <w:rsid w:val="006558A7"/>
    <w:rsid w:val="00655A25"/>
    <w:rsid w:val="00655D96"/>
    <w:rsid w:val="00655DCF"/>
    <w:rsid w:val="00655FD9"/>
    <w:rsid w:val="00656165"/>
    <w:rsid w:val="0065623E"/>
    <w:rsid w:val="00656521"/>
    <w:rsid w:val="00656659"/>
    <w:rsid w:val="0065673A"/>
    <w:rsid w:val="00656CBA"/>
    <w:rsid w:val="00657009"/>
    <w:rsid w:val="0065727B"/>
    <w:rsid w:val="0065754D"/>
    <w:rsid w:val="006603AC"/>
    <w:rsid w:val="00660403"/>
    <w:rsid w:val="00660473"/>
    <w:rsid w:val="0066060D"/>
    <w:rsid w:val="006606A4"/>
    <w:rsid w:val="0066089E"/>
    <w:rsid w:val="006609EF"/>
    <w:rsid w:val="00660CAC"/>
    <w:rsid w:val="00660D28"/>
    <w:rsid w:val="00660FDA"/>
    <w:rsid w:val="0066101E"/>
    <w:rsid w:val="006612CD"/>
    <w:rsid w:val="006613B3"/>
    <w:rsid w:val="006614E4"/>
    <w:rsid w:val="00661503"/>
    <w:rsid w:val="00661691"/>
    <w:rsid w:val="006616AA"/>
    <w:rsid w:val="00661847"/>
    <w:rsid w:val="006618E3"/>
    <w:rsid w:val="00661AE9"/>
    <w:rsid w:val="00661F48"/>
    <w:rsid w:val="006620B0"/>
    <w:rsid w:val="006623CE"/>
    <w:rsid w:val="00662644"/>
    <w:rsid w:val="00662671"/>
    <w:rsid w:val="00662ADF"/>
    <w:rsid w:val="00662B20"/>
    <w:rsid w:val="00662BA4"/>
    <w:rsid w:val="00662DA9"/>
    <w:rsid w:val="00662E7D"/>
    <w:rsid w:val="00662F48"/>
    <w:rsid w:val="006633FF"/>
    <w:rsid w:val="006639B4"/>
    <w:rsid w:val="00663C05"/>
    <w:rsid w:val="00663F50"/>
    <w:rsid w:val="00663F8B"/>
    <w:rsid w:val="0066465E"/>
    <w:rsid w:val="006646EB"/>
    <w:rsid w:val="00664777"/>
    <w:rsid w:val="00664811"/>
    <w:rsid w:val="00664A83"/>
    <w:rsid w:val="00664BB5"/>
    <w:rsid w:val="00664E8E"/>
    <w:rsid w:val="0066519A"/>
    <w:rsid w:val="0066552B"/>
    <w:rsid w:val="0066568C"/>
    <w:rsid w:val="00665948"/>
    <w:rsid w:val="006659A3"/>
    <w:rsid w:val="00665B02"/>
    <w:rsid w:val="00665B50"/>
    <w:rsid w:val="00665B9C"/>
    <w:rsid w:val="00666204"/>
    <w:rsid w:val="0066635A"/>
    <w:rsid w:val="0066636E"/>
    <w:rsid w:val="006664F4"/>
    <w:rsid w:val="0066651E"/>
    <w:rsid w:val="00666A5E"/>
    <w:rsid w:val="00666C27"/>
    <w:rsid w:val="00666E41"/>
    <w:rsid w:val="0066711E"/>
    <w:rsid w:val="0066735C"/>
    <w:rsid w:val="00667476"/>
    <w:rsid w:val="006674D6"/>
    <w:rsid w:val="006675BD"/>
    <w:rsid w:val="0066768D"/>
    <w:rsid w:val="0066775C"/>
    <w:rsid w:val="00667AC2"/>
    <w:rsid w:val="00667C31"/>
    <w:rsid w:val="00667F21"/>
    <w:rsid w:val="00667F37"/>
    <w:rsid w:val="0067005E"/>
    <w:rsid w:val="00670182"/>
    <w:rsid w:val="006702FF"/>
    <w:rsid w:val="0067048F"/>
    <w:rsid w:val="006706F1"/>
    <w:rsid w:val="00670746"/>
    <w:rsid w:val="0067088F"/>
    <w:rsid w:val="00670A52"/>
    <w:rsid w:val="00670CBE"/>
    <w:rsid w:val="00670D8C"/>
    <w:rsid w:val="00670EA0"/>
    <w:rsid w:val="00671056"/>
    <w:rsid w:val="006712F0"/>
    <w:rsid w:val="00671413"/>
    <w:rsid w:val="00671581"/>
    <w:rsid w:val="006717DD"/>
    <w:rsid w:val="00671826"/>
    <w:rsid w:val="00671851"/>
    <w:rsid w:val="00671886"/>
    <w:rsid w:val="00671A79"/>
    <w:rsid w:val="00671B7A"/>
    <w:rsid w:val="00671C7C"/>
    <w:rsid w:val="00671F89"/>
    <w:rsid w:val="006721C6"/>
    <w:rsid w:val="006722C2"/>
    <w:rsid w:val="0067241C"/>
    <w:rsid w:val="00672578"/>
    <w:rsid w:val="006725E0"/>
    <w:rsid w:val="006725F2"/>
    <w:rsid w:val="00672A9A"/>
    <w:rsid w:val="00672B89"/>
    <w:rsid w:val="00672E88"/>
    <w:rsid w:val="006731A3"/>
    <w:rsid w:val="0067344C"/>
    <w:rsid w:val="0067367D"/>
    <w:rsid w:val="006739CF"/>
    <w:rsid w:val="00673B91"/>
    <w:rsid w:val="00673BBD"/>
    <w:rsid w:val="00673EC0"/>
    <w:rsid w:val="00673F89"/>
    <w:rsid w:val="006742E8"/>
    <w:rsid w:val="00674780"/>
    <w:rsid w:val="0067486F"/>
    <w:rsid w:val="0067489C"/>
    <w:rsid w:val="006748B8"/>
    <w:rsid w:val="00674965"/>
    <w:rsid w:val="00674B8B"/>
    <w:rsid w:val="00674BB1"/>
    <w:rsid w:val="00674CCC"/>
    <w:rsid w:val="00674DA2"/>
    <w:rsid w:val="00674ECB"/>
    <w:rsid w:val="0067520A"/>
    <w:rsid w:val="006754C4"/>
    <w:rsid w:val="0067565A"/>
    <w:rsid w:val="006756DE"/>
    <w:rsid w:val="00675958"/>
    <w:rsid w:val="00675B54"/>
    <w:rsid w:val="00675E2E"/>
    <w:rsid w:val="00675EFA"/>
    <w:rsid w:val="0067606F"/>
    <w:rsid w:val="00676245"/>
    <w:rsid w:val="006765EB"/>
    <w:rsid w:val="006766EF"/>
    <w:rsid w:val="00676B95"/>
    <w:rsid w:val="00676C13"/>
    <w:rsid w:val="00676ECD"/>
    <w:rsid w:val="00677265"/>
    <w:rsid w:val="00677548"/>
    <w:rsid w:val="006775C3"/>
    <w:rsid w:val="00677899"/>
    <w:rsid w:val="00677B04"/>
    <w:rsid w:val="00680341"/>
    <w:rsid w:val="006804DE"/>
    <w:rsid w:val="006805C3"/>
    <w:rsid w:val="00680746"/>
    <w:rsid w:val="00680831"/>
    <w:rsid w:val="0068089A"/>
    <w:rsid w:val="0068092A"/>
    <w:rsid w:val="00680948"/>
    <w:rsid w:val="00680C7E"/>
    <w:rsid w:val="00680E86"/>
    <w:rsid w:val="00680EA2"/>
    <w:rsid w:val="006810A8"/>
    <w:rsid w:val="0068110C"/>
    <w:rsid w:val="00681133"/>
    <w:rsid w:val="006814DA"/>
    <w:rsid w:val="00681515"/>
    <w:rsid w:val="00681581"/>
    <w:rsid w:val="0068189E"/>
    <w:rsid w:val="0068190B"/>
    <w:rsid w:val="006819AF"/>
    <w:rsid w:val="00681B12"/>
    <w:rsid w:val="00681E80"/>
    <w:rsid w:val="00681FC9"/>
    <w:rsid w:val="00681FD2"/>
    <w:rsid w:val="00681FE6"/>
    <w:rsid w:val="006821B4"/>
    <w:rsid w:val="0068223C"/>
    <w:rsid w:val="00682478"/>
    <w:rsid w:val="006825CB"/>
    <w:rsid w:val="00682730"/>
    <w:rsid w:val="00682740"/>
    <w:rsid w:val="00682BB8"/>
    <w:rsid w:val="00682C3E"/>
    <w:rsid w:val="006832FA"/>
    <w:rsid w:val="00683315"/>
    <w:rsid w:val="0068377C"/>
    <w:rsid w:val="00683792"/>
    <w:rsid w:val="006838AA"/>
    <w:rsid w:val="00683C85"/>
    <w:rsid w:val="00683DF6"/>
    <w:rsid w:val="00683E1A"/>
    <w:rsid w:val="006840B1"/>
    <w:rsid w:val="0068410A"/>
    <w:rsid w:val="00684420"/>
    <w:rsid w:val="00684783"/>
    <w:rsid w:val="0068485A"/>
    <w:rsid w:val="006849E0"/>
    <w:rsid w:val="006849EB"/>
    <w:rsid w:val="00684ADD"/>
    <w:rsid w:val="00684B39"/>
    <w:rsid w:val="00684BAF"/>
    <w:rsid w:val="00684E5B"/>
    <w:rsid w:val="00685054"/>
    <w:rsid w:val="0068542A"/>
    <w:rsid w:val="006854C8"/>
    <w:rsid w:val="006855D7"/>
    <w:rsid w:val="006856B1"/>
    <w:rsid w:val="00685758"/>
    <w:rsid w:val="00685913"/>
    <w:rsid w:val="006859A9"/>
    <w:rsid w:val="00685B61"/>
    <w:rsid w:val="00685C84"/>
    <w:rsid w:val="00686086"/>
    <w:rsid w:val="006860B6"/>
    <w:rsid w:val="006861D5"/>
    <w:rsid w:val="0068627A"/>
    <w:rsid w:val="00686847"/>
    <w:rsid w:val="00686913"/>
    <w:rsid w:val="006869D5"/>
    <w:rsid w:val="00686C84"/>
    <w:rsid w:val="00686C9C"/>
    <w:rsid w:val="00686E06"/>
    <w:rsid w:val="00686EF4"/>
    <w:rsid w:val="00686F0A"/>
    <w:rsid w:val="006870D1"/>
    <w:rsid w:val="0068775F"/>
    <w:rsid w:val="006877B4"/>
    <w:rsid w:val="00687A2D"/>
    <w:rsid w:val="00687C7C"/>
    <w:rsid w:val="00687E69"/>
    <w:rsid w:val="00690186"/>
    <w:rsid w:val="00690289"/>
    <w:rsid w:val="006905AA"/>
    <w:rsid w:val="006906BE"/>
    <w:rsid w:val="00690FB7"/>
    <w:rsid w:val="00691042"/>
    <w:rsid w:val="006912E7"/>
    <w:rsid w:val="00691586"/>
    <w:rsid w:val="00691710"/>
    <w:rsid w:val="00691B35"/>
    <w:rsid w:val="00691DAF"/>
    <w:rsid w:val="00691FB8"/>
    <w:rsid w:val="00691FDB"/>
    <w:rsid w:val="0069268C"/>
    <w:rsid w:val="006927D4"/>
    <w:rsid w:val="0069290A"/>
    <w:rsid w:val="00692926"/>
    <w:rsid w:val="006929BF"/>
    <w:rsid w:val="00692BB9"/>
    <w:rsid w:val="00692D18"/>
    <w:rsid w:val="00692EE8"/>
    <w:rsid w:val="00692FD9"/>
    <w:rsid w:val="00693091"/>
    <w:rsid w:val="006931E0"/>
    <w:rsid w:val="00693A62"/>
    <w:rsid w:val="00694110"/>
    <w:rsid w:val="00694131"/>
    <w:rsid w:val="00694139"/>
    <w:rsid w:val="0069425A"/>
    <w:rsid w:val="00694402"/>
    <w:rsid w:val="00694486"/>
    <w:rsid w:val="00694541"/>
    <w:rsid w:val="00694551"/>
    <w:rsid w:val="006946EE"/>
    <w:rsid w:val="006947AE"/>
    <w:rsid w:val="00694873"/>
    <w:rsid w:val="00694986"/>
    <w:rsid w:val="00694BF8"/>
    <w:rsid w:val="00694CA0"/>
    <w:rsid w:val="00694D63"/>
    <w:rsid w:val="00694EB3"/>
    <w:rsid w:val="00694F4F"/>
    <w:rsid w:val="0069512F"/>
    <w:rsid w:val="0069515C"/>
    <w:rsid w:val="006952B7"/>
    <w:rsid w:val="00695758"/>
    <w:rsid w:val="0069585D"/>
    <w:rsid w:val="0069598B"/>
    <w:rsid w:val="0069609A"/>
    <w:rsid w:val="00696321"/>
    <w:rsid w:val="006966F6"/>
    <w:rsid w:val="006966FA"/>
    <w:rsid w:val="006969AD"/>
    <w:rsid w:val="00696AA7"/>
    <w:rsid w:val="00696B0E"/>
    <w:rsid w:val="00696CFE"/>
    <w:rsid w:val="00696D9E"/>
    <w:rsid w:val="00696EBB"/>
    <w:rsid w:val="006971B8"/>
    <w:rsid w:val="006974A2"/>
    <w:rsid w:val="0069775A"/>
    <w:rsid w:val="00697786"/>
    <w:rsid w:val="006977C1"/>
    <w:rsid w:val="00697813"/>
    <w:rsid w:val="00697A7C"/>
    <w:rsid w:val="00697E8A"/>
    <w:rsid w:val="006A0027"/>
    <w:rsid w:val="006A0170"/>
    <w:rsid w:val="006A0231"/>
    <w:rsid w:val="006A0364"/>
    <w:rsid w:val="006A03D4"/>
    <w:rsid w:val="006A0412"/>
    <w:rsid w:val="006A0456"/>
    <w:rsid w:val="006A066D"/>
    <w:rsid w:val="006A071E"/>
    <w:rsid w:val="006A099E"/>
    <w:rsid w:val="006A0BB1"/>
    <w:rsid w:val="006A0F71"/>
    <w:rsid w:val="006A0F78"/>
    <w:rsid w:val="006A10D6"/>
    <w:rsid w:val="006A116F"/>
    <w:rsid w:val="006A12D4"/>
    <w:rsid w:val="006A12D8"/>
    <w:rsid w:val="006A1333"/>
    <w:rsid w:val="006A1472"/>
    <w:rsid w:val="006A164A"/>
    <w:rsid w:val="006A1AD8"/>
    <w:rsid w:val="006A1B43"/>
    <w:rsid w:val="006A2239"/>
    <w:rsid w:val="006A23A7"/>
    <w:rsid w:val="006A246A"/>
    <w:rsid w:val="006A27F7"/>
    <w:rsid w:val="006A2851"/>
    <w:rsid w:val="006A2897"/>
    <w:rsid w:val="006A2D80"/>
    <w:rsid w:val="006A2EA9"/>
    <w:rsid w:val="006A30E0"/>
    <w:rsid w:val="006A322A"/>
    <w:rsid w:val="006A3277"/>
    <w:rsid w:val="006A35D0"/>
    <w:rsid w:val="006A3A90"/>
    <w:rsid w:val="006A3D44"/>
    <w:rsid w:val="006A3EE8"/>
    <w:rsid w:val="006A4102"/>
    <w:rsid w:val="006A4249"/>
    <w:rsid w:val="006A42FD"/>
    <w:rsid w:val="006A4477"/>
    <w:rsid w:val="006A4939"/>
    <w:rsid w:val="006A499D"/>
    <w:rsid w:val="006A4B41"/>
    <w:rsid w:val="006A4BAC"/>
    <w:rsid w:val="006A4C84"/>
    <w:rsid w:val="006A4EAA"/>
    <w:rsid w:val="006A515A"/>
    <w:rsid w:val="006A5393"/>
    <w:rsid w:val="006A554F"/>
    <w:rsid w:val="006A5553"/>
    <w:rsid w:val="006A55A8"/>
    <w:rsid w:val="006A55C2"/>
    <w:rsid w:val="006A5A23"/>
    <w:rsid w:val="006A5E83"/>
    <w:rsid w:val="006A6035"/>
    <w:rsid w:val="006A61C2"/>
    <w:rsid w:val="006A6274"/>
    <w:rsid w:val="006A6357"/>
    <w:rsid w:val="006A641F"/>
    <w:rsid w:val="006A65E2"/>
    <w:rsid w:val="006A68A9"/>
    <w:rsid w:val="006A6B16"/>
    <w:rsid w:val="006A6C3A"/>
    <w:rsid w:val="006A705C"/>
    <w:rsid w:val="006A71C3"/>
    <w:rsid w:val="006A7206"/>
    <w:rsid w:val="006A72BF"/>
    <w:rsid w:val="006A733A"/>
    <w:rsid w:val="006A7391"/>
    <w:rsid w:val="006A76F2"/>
    <w:rsid w:val="006A772C"/>
    <w:rsid w:val="006A7883"/>
    <w:rsid w:val="006A7B8D"/>
    <w:rsid w:val="006A7CF2"/>
    <w:rsid w:val="006A7F01"/>
    <w:rsid w:val="006B02E0"/>
    <w:rsid w:val="006B03F2"/>
    <w:rsid w:val="006B042D"/>
    <w:rsid w:val="006B044F"/>
    <w:rsid w:val="006B04AF"/>
    <w:rsid w:val="006B04F3"/>
    <w:rsid w:val="006B051E"/>
    <w:rsid w:val="006B0629"/>
    <w:rsid w:val="006B0713"/>
    <w:rsid w:val="006B0797"/>
    <w:rsid w:val="006B087B"/>
    <w:rsid w:val="006B0B6C"/>
    <w:rsid w:val="006B10A6"/>
    <w:rsid w:val="006B1494"/>
    <w:rsid w:val="006B15D8"/>
    <w:rsid w:val="006B1622"/>
    <w:rsid w:val="006B1A99"/>
    <w:rsid w:val="006B1B58"/>
    <w:rsid w:val="006B1C3F"/>
    <w:rsid w:val="006B1DC6"/>
    <w:rsid w:val="006B1E11"/>
    <w:rsid w:val="006B1E4C"/>
    <w:rsid w:val="006B1E5B"/>
    <w:rsid w:val="006B1F64"/>
    <w:rsid w:val="006B27F6"/>
    <w:rsid w:val="006B28F0"/>
    <w:rsid w:val="006B2940"/>
    <w:rsid w:val="006B29BA"/>
    <w:rsid w:val="006B2B5E"/>
    <w:rsid w:val="006B2E42"/>
    <w:rsid w:val="006B2FE2"/>
    <w:rsid w:val="006B3180"/>
    <w:rsid w:val="006B37DC"/>
    <w:rsid w:val="006B37F0"/>
    <w:rsid w:val="006B3853"/>
    <w:rsid w:val="006B3D02"/>
    <w:rsid w:val="006B3DCC"/>
    <w:rsid w:val="006B4120"/>
    <w:rsid w:val="006B4455"/>
    <w:rsid w:val="006B4562"/>
    <w:rsid w:val="006B4834"/>
    <w:rsid w:val="006B49BA"/>
    <w:rsid w:val="006B4BA0"/>
    <w:rsid w:val="006B4C5F"/>
    <w:rsid w:val="006B4CEC"/>
    <w:rsid w:val="006B4F3A"/>
    <w:rsid w:val="006B4F68"/>
    <w:rsid w:val="006B5217"/>
    <w:rsid w:val="006B55C6"/>
    <w:rsid w:val="006B5806"/>
    <w:rsid w:val="006B5915"/>
    <w:rsid w:val="006B5AE1"/>
    <w:rsid w:val="006B5D7B"/>
    <w:rsid w:val="006B5E2B"/>
    <w:rsid w:val="006B602B"/>
    <w:rsid w:val="006B65FE"/>
    <w:rsid w:val="006B679B"/>
    <w:rsid w:val="006B6839"/>
    <w:rsid w:val="006B6940"/>
    <w:rsid w:val="006B6A2D"/>
    <w:rsid w:val="006B6B54"/>
    <w:rsid w:val="006B6BCC"/>
    <w:rsid w:val="006B6D26"/>
    <w:rsid w:val="006B6D7F"/>
    <w:rsid w:val="006B714F"/>
    <w:rsid w:val="006B7152"/>
    <w:rsid w:val="006B718C"/>
    <w:rsid w:val="006B7324"/>
    <w:rsid w:val="006B7328"/>
    <w:rsid w:val="006B76DE"/>
    <w:rsid w:val="006B7DBA"/>
    <w:rsid w:val="006B7E02"/>
    <w:rsid w:val="006C0061"/>
    <w:rsid w:val="006C00B0"/>
    <w:rsid w:val="006C027D"/>
    <w:rsid w:val="006C02D8"/>
    <w:rsid w:val="006C04C3"/>
    <w:rsid w:val="006C0592"/>
    <w:rsid w:val="006C06D7"/>
    <w:rsid w:val="006C06FA"/>
    <w:rsid w:val="006C0AB2"/>
    <w:rsid w:val="006C0CAB"/>
    <w:rsid w:val="006C0FBD"/>
    <w:rsid w:val="006C0FD7"/>
    <w:rsid w:val="006C1200"/>
    <w:rsid w:val="006C124F"/>
    <w:rsid w:val="006C1917"/>
    <w:rsid w:val="006C19B7"/>
    <w:rsid w:val="006C19C6"/>
    <w:rsid w:val="006C1DA1"/>
    <w:rsid w:val="006C1EC0"/>
    <w:rsid w:val="006C1EDA"/>
    <w:rsid w:val="006C1F62"/>
    <w:rsid w:val="006C1FDB"/>
    <w:rsid w:val="006C22FA"/>
    <w:rsid w:val="006C249D"/>
    <w:rsid w:val="006C25F2"/>
    <w:rsid w:val="006C272E"/>
    <w:rsid w:val="006C2824"/>
    <w:rsid w:val="006C2961"/>
    <w:rsid w:val="006C29C8"/>
    <w:rsid w:val="006C2CED"/>
    <w:rsid w:val="006C2D87"/>
    <w:rsid w:val="006C2E94"/>
    <w:rsid w:val="006C3249"/>
    <w:rsid w:val="006C332B"/>
    <w:rsid w:val="006C3924"/>
    <w:rsid w:val="006C3A05"/>
    <w:rsid w:val="006C3C73"/>
    <w:rsid w:val="006C3EBA"/>
    <w:rsid w:val="006C4017"/>
    <w:rsid w:val="006C41AE"/>
    <w:rsid w:val="006C4493"/>
    <w:rsid w:val="006C4890"/>
    <w:rsid w:val="006C4A6A"/>
    <w:rsid w:val="006C4E22"/>
    <w:rsid w:val="006C52B9"/>
    <w:rsid w:val="006C5479"/>
    <w:rsid w:val="006C56E3"/>
    <w:rsid w:val="006C5791"/>
    <w:rsid w:val="006C58B0"/>
    <w:rsid w:val="006C5B9C"/>
    <w:rsid w:val="006C5CFB"/>
    <w:rsid w:val="006C5D1A"/>
    <w:rsid w:val="006C5E31"/>
    <w:rsid w:val="006C6465"/>
    <w:rsid w:val="006C671A"/>
    <w:rsid w:val="006C67BF"/>
    <w:rsid w:val="006C6A4B"/>
    <w:rsid w:val="006C6B12"/>
    <w:rsid w:val="006C6B3C"/>
    <w:rsid w:val="006C6BC6"/>
    <w:rsid w:val="006C6C17"/>
    <w:rsid w:val="006C70DD"/>
    <w:rsid w:val="006C72F8"/>
    <w:rsid w:val="006C7353"/>
    <w:rsid w:val="006C7526"/>
    <w:rsid w:val="006C754A"/>
    <w:rsid w:val="006C7693"/>
    <w:rsid w:val="006C77C8"/>
    <w:rsid w:val="006C7892"/>
    <w:rsid w:val="006C78DD"/>
    <w:rsid w:val="006C7CF9"/>
    <w:rsid w:val="006C7E31"/>
    <w:rsid w:val="006D03B6"/>
    <w:rsid w:val="006D06D8"/>
    <w:rsid w:val="006D06DE"/>
    <w:rsid w:val="006D0953"/>
    <w:rsid w:val="006D0981"/>
    <w:rsid w:val="006D0A41"/>
    <w:rsid w:val="006D0B3C"/>
    <w:rsid w:val="006D0B94"/>
    <w:rsid w:val="006D0B9C"/>
    <w:rsid w:val="006D0BA4"/>
    <w:rsid w:val="006D0C80"/>
    <w:rsid w:val="006D0E9B"/>
    <w:rsid w:val="006D0EF2"/>
    <w:rsid w:val="006D0F4A"/>
    <w:rsid w:val="006D0FD6"/>
    <w:rsid w:val="006D115D"/>
    <w:rsid w:val="006D13B5"/>
    <w:rsid w:val="006D15DB"/>
    <w:rsid w:val="006D1882"/>
    <w:rsid w:val="006D19C8"/>
    <w:rsid w:val="006D1B66"/>
    <w:rsid w:val="006D226B"/>
    <w:rsid w:val="006D23DB"/>
    <w:rsid w:val="006D268D"/>
    <w:rsid w:val="006D2A7D"/>
    <w:rsid w:val="006D30AA"/>
    <w:rsid w:val="006D3210"/>
    <w:rsid w:val="006D33DA"/>
    <w:rsid w:val="006D34E9"/>
    <w:rsid w:val="006D355A"/>
    <w:rsid w:val="006D3A5C"/>
    <w:rsid w:val="006D3C19"/>
    <w:rsid w:val="006D3DEF"/>
    <w:rsid w:val="006D3E75"/>
    <w:rsid w:val="006D44B4"/>
    <w:rsid w:val="006D464B"/>
    <w:rsid w:val="006D4657"/>
    <w:rsid w:val="006D47CC"/>
    <w:rsid w:val="006D48DA"/>
    <w:rsid w:val="006D4976"/>
    <w:rsid w:val="006D4F41"/>
    <w:rsid w:val="006D4F92"/>
    <w:rsid w:val="006D5114"/>
    <w:rsid w:val="006D5182"/>
    <w:rsid w:val="006D528B"/>
    <w:rsid w:val="006D56A4"/>
    <w:rsid w:val="006D5828"/>
    <w:rsid w:val="006D5840"/>
    <w:rsid w:val="006D58FD"/>
    <w:rsid w:val="006D5980"/>
    <w:rsid w:val="006D5A5E"/>
    <w:rsid w:val="006D5FEF"/>
    <w:rsid w:val="006D608F"/>
    <w:rsid w:val="006D60C9"/>
    <w:rsid w:val="006D6972"/>
    <w:rsid w:val="006D6D2C"/>
    <w:rsid w:val="006D6E3C"/>
    <w:rsid w:val="006D6FDD"/>
    <w:rsid w:val="006D70C5"/>
    <w:rsid w:val="006D7247"/>
    <w:rsid w:val="006D752C"/>
    <w:rsid w:val="006D753A"/>
    <w:rsid w:val="006D7592"/>
    <w:rsid w:val="006D75A1"/>
    <w:rsid w:val="006D777E"/>
    <w:rsid w:val="006D78E1"/>
    <w:rsid w:val="006D7A53"/>
    <w:rsid w:val="006D7A8B"/>
    <w:rsid w:val="006D7FAF"/>
    <w:rsid w:val="006E020F"/>
    <w:rsid w:val="006E05B2"/>
    <w:rsid w:val="006E05D8"/>
    <w:rsid w:val="006E080C"/>
    <w:rsid w:val="006E08F6"/>
    <w:rsid w:val="006E0B33"/>
    <w:rsid w:val="006E0CC4"/>
    <w:rsid w:val="006E0E42"/>
    <w:rsid w:val="006E0EDC"/>
    <w:rsid w:val="006E10B3"/>
    <w:rsid w:val="006E10BC"/>
    <w:rsid w:val="006E12FF"/>
    <w:rsid w:val="006E1438"/>
    <w:rsid w:val="006E18AB"/>
    <w:rsid w:val="006E1D6B"/>
    <w:rsid w:val="006E1FDB"/>
    <w:rsid w:val="006E1FDD"/>
    <w:rsid w:val="006E2115"/>
    <w:rsid w:val="006E2704"/>
    <w:rsid w:val="006E27AF"/>
    <w:rsid w:val="006E28BC"/>
    <w:rsid w:val="006E2A07"/>
    <w:rsid w:val="006E2A48"/>
    <w:rsid w:val="006E2BD7"/>
    <w:rsid w:val="006E2D22"/>
    <w:rsid w:val="006E3147"/>
    <w:rsid w:val="006E3171"/>
    <w:rsid w:val="006E32DB"/>
    <w:rsid w:val="006E336A"/>
    <w:rsid w:val="006E3425"/>
    <w:rsid w:val="006E34F7"/>
    <w:rsid w:val="006E35E1"/>
    <w:rsid w:val="006E376B"/>
    <w:rsid w:val="006E38E1"/>
    <w:rsid w:val="006E3A82"/>
    <w:rsid w:val="006E3B2D"/>
    <w:rsid w:val="006E49F7"/>
    <w:rsid w:val="006E4BDA"/>
    <w:rsid w:val="006E4C61"/>
    <w:rsid w:val="006E4ECF"/>
    <w:rsid w:val="006E4F7F"/>
    <w:rsid w:val="006E4F8C"/>
    <w:rsid w:val="006E5036"/>
    <w:rsid w:val="006E5104"/>
    <w:rsid w:val="006E522D"/>
    <w:rsid w:val="006E5473"/>
    <w:rsid w:val="006E5521"/>
    <w:rsid w:val="006E55C9"/>
    <w:rsid w:val="006E59CE"/>
    <w:rsid w:val="006E5C78"/>
    <w:rsid w:val="006E5FBD"/>
    <w:rsid w:val="006E6033"/>
    <w:rsid w:val="006E607E"/>
    <w:rsid w:val="006E6431"/>
    <w:rsid w:val="006E655F"/>
    <w:rsid w:val="006E6660"/>
    <w:rsid w:val="006E6730"/>
    <w:rsid w:val="006E6853"/>
    <w:rsid w:val="006E6B8C"/>
    <w:rsid w:val="006E6E99"/>
    <w:rsid w:val="006E6F11"/>
    <w:rsid w:val="006E70A3"/>
    <w:rsid w:val="006E717B"/>
    <w:rsid w:val="006E72E7"/>
    <w:rsid w:val="006E7326"/>
    <w:rsid w:val="006E748F"/>
    <w:rsid w:val="006E7720"/>
    <w:rsid w:val="006E7757"/>
    <w:rsid w:val="006E7DD3"/>
    <w:rsid w:val="006E7F99"/>
    <w:rsid w:val="006F02BB"/>
    <w:rsid w:val="006F0428"/>
    <w:rsid w:val="006F044B"/>
    <w:rsid w:val="006F048C"/>
    <w:rsid w:val="006F0678"/>
    <w:rsid w:val="006F078D"/>
    <w:rsid w:val="006F0895"/>
    <w:rsid w:val="006F0B9E"/>
    <w:rsid w:val="006F0C12"/>
    <w:rsid w:val="006F118C"/>
    <w:rsid w:val="006F176D"/>
    <w:rsid w:val="006F17AB"/>
    <w:rsid w:val="006F1AB8"/>
    <w:rsid w:val="006F1B5E"/>
    <w:rsid w:val="006F1DAC"/>
    <w:rsid w:val="006F200E"/>
    <w:rsid w:val="006F2254"/>
    <w:rsid w:val="006F2393"/>
    <w:rsid w:val="006F246D"/>
    <w:rsid w:val="006F24CF"/>
    <w:rsid w:val="006F27B5"/>
    <w:rsid w:val="006F2D06"/>
    <w:rsid w:val="006F2E74"/>
    <w:rsid w:val="006F3070"/>
    <w:rsid w:val="006F31DF"/>
    <w:rsid w:val="006F3783"/>
    <w:rsid w:val="006F37B6"/>
    <w:rsid w:val="006F390B"/>
    <w:rsid w:val="006F3B2C"/>
    <w:rsid w:val="006F3CCD"/>
    <w:rsid w:val="006F3E7B"/>
    <w:rsid w:val="006F3EA5"/>
    <w:rsid w:val="006F413A"/>
    <w:rsid w:val="006F420B"/>
    <w:rsid w:val="006F449C"/>
    <w:rsid w:val="006F46B3"/>
    <w:rsid w:val="006F48D6"/>
    <w:rsid w:val="006F48EF"/>
    <w:rsid w:val="006F4972"/>
    <w:rsid w:val="006F49DB"/>
    <w:rsid w:val="006F4DD3"/>
    <w:rsid w:val="006F4E03"/>
    <w:rsid w:val="006F4E1F"/>
    <w:rsid w:val="006F4EE5"/>
    <w:rsid w:val="006F4F84"/>
    <w:rsid w:val="006F5000"/>
    <w:rsid w:val="006F5052"/>
    <w:rsid w:val="006F5557"/>
    <w:rsid w:val="006F5848"/>
    <w:rsid w:val="006F5973"/>
    <w:rsid w:val="006F5C05"/>
    <w:rsid w:val="006F5CB0"/>
    <w:rsid w:val="006F5E62"/>
    <w:rsid w:val="006F5FD2"/>
    <w:rsid w:val="006F6004"/>
    <w:rsid w:val="006F61A5"/>
    <w:rsid w:val="006F676F"/>
    <w:rsid w:val="006F68F6"/>
    <w:rsid w:val="006F69C2"/>
    <w:rsid w:val="006F6B96"/>
    <w:rsid w:val="006F6BAE"/>
    <w:rsid w:val="006F6BCA"/>
    <w:rsid w:val="006F6F2E"/>
    <w:rsid w:val="006F7299"/>
    <w:rsid w:val="006F73D6"/>
    <w:rsid w:val="006F74A1"/>
    <w:rsid w:val="006F74A5"/>
    <w:rsid w:val="006F75B9"/>
    <w:rsid w:val="006F7898"/>
    <w:rsid w:val="006F79BF"/>
    <w:rsid w:val="006F7C18"/>
    <w:rsid w:val="006F7D24"/>
    <w:rsid w:val="006F7D73"/>
    <w:rsid w:val="006F7E0B"/>
    <w:rsid w:val="0070016B"/>
    <w:rsid w:val="007006BC"/>
    <w:rsid w:val="007008BA"/>
    <w:rsid w:val="007009A7"/>
    <w:rsid w:val="00700DFC"/>
    <w:rsid w:val="00700EDD"/>
    <w:rsid w:val="007010D9"/>
    <w:rsid w:val="0070121E"/>
    <w:rsid w:val="00701228"/>
    <w:rsid w:val="007017DE"/>
    <w:rsid w:val="00701989"/>
    <w:rsid w:val="007019CD"/>
    <w:rsid w:val="00701B8B"/>
    <w:rsid w:val="00701C06"/>
    <w:rsid w:val="00701EC7"/>
    <w:rsid w:val="007022CE"/>
    <w:rsid w:val="00702380"/>
    <w:rsid w:val="00702624"/>
    <w:rsid w:val="00702638"/>
    <w:rsid w:val="0070269A"/>
    <w:rsid w:val="00702A01"/>
    <w:rsid w:val="00702A0B"/>
    <w:rsid w:val="00702C0A"/>
    <w:rsid w:val="0070313E"/>
    <w:rsid w:val="0070385B"/>
    <w:rsid w:val="0070397E"/>
    <w:rsid w:val="00703A8F"/>
    <w:rsid w:val="00703B98"/>
    <w:rsid w:val="00703F08"/>
    <w:rsid w:val="007042D7"/>
    <w:rsid w:val="007042E6"/>
    <w:rsid w:val="00704351"/>
    <w:rsid w:val="00704401"/>
    <w:rsid w:val="00704626"/>
    <w:rsid w:val="007046A5"/>
    <w:rsid w:val="00704752"/>
    <w:rsid w:val="00704816"/>
    <w:rsid w:val="00704897"/>
    <w:rsid w:val="0070496E"/>
    <w:rsid w:val="00704ACD"/>
    <w:rsid w:val="00704B8C"/>
    <w:rsid w:val="00704CBA"/>
    <w:rsid w:val="00704D33"/>
    <w:rsid w:val="00704D9F"/>
    <w:rsid w:val="00704DA7"/>
    <w:rsid w:val="00704E60"/>
    <w:rsid w:val="0070547F"/>
    <w:rsid w:val="0070580B"/>
    <w:rsid w:val="00705BEF"/>
    <w:rsid w:val="00705F33"/>
    <w:rsid w:val="0070611D"/>
    <w:rsid w:val="007061B1"/>
    <w:rsid w:val="007062E3"/>
    <w:rsid w:val="00706591"/>
    <w:rsid w:val="0070659A"/>
    <w:rsid w:val="0070661C"/>
    <w:rsid w:val="00706715"/>
    <w:rsid w:val="007068B8"/>
    <w:rsid w:val="00706A41"/>
    <w:rsid w:val="00706C5D"/>
    <w:rsid w:val="00706D5D"/>
    <w:rsid w:val="0070701B"/>
    <w:rsid w:val="00707093"/>
    <w:rsid w:val="0070712C"/>
    <w:rsid w:val="00707504"/>
    <w:rsid w:val="0070781D"/>
    <w:rsid w:val="00707DF7"/>
    <w:rsid w:val="00707E5A"/>
    <w:rsid w:val="00707E65"/>
    <w:rsid w:val="00707F8C"/>
    <w:rsid w:val="0071044D"/>
    <w:rsid w:val="007104C3"/>
    <w:rsid w:val="007105B2"/>
    <w:rsid w:val="007106DC"/>
    <w:rsid w:val="007106E9"/>
    <w:rsid w:val="0071082A"/>
    <w:rsid w:val="007108CA"/>
    <w:rsid w:val="00710A6A"/>
    <w:rsid w:val="00710D86"/>
    <w:rsid w:val="007112AB"/>
    <w:rsid w:val="00711485"/>
    <w:rsid w:val="00711946"/>
    <w:rsid w:val="00711CE7"/>
    <w:rsid w:val="00711D01"/>
    <w:rsid w:val="00711D8D"/>
    <w:rsid w:val="00712517"/>
    <w:rsid w:val="0071255C"/>
    <w:rsid w:val="00712CE8"/>
    <w:rsid w:val="00712E15"/>
    <w:rsid w:val="00712F09"/>
    <w:rsid w:val="007133DC"/>
    <w:rsid w:val="00713460"/>
    <w:rsid w:val="007136FE"/>
    <w:rsid w:val="0071376A"/>
    <w:rsid w:val="0071382D"/>
    <w:rsid w:val="007138BB"/>
    <w:rsid w:val="007139ED"/>
    <w:rsid w:val="00713AFB"/>
    <w:rsid w:val="00713C15"/>
    <w:rsid w:val="00713DBC"/>
    <w:rsid w:val="0071400C"/>
    <w:rsid w:val="00714093"/>
    <w:rsid w:val="0071426B"/>
    <w:rsid w:val="0071452B"/>
    <w:rsid w:val="007147C7"/>
    <w:rsid w:val="00714C31"/>
    <w:rsid w:val="00714CCC"/>
    <w:rsid w:val="00714D00"/>
    <w:rsid w:val="00714EDA"/>
    <w:rsid w:val="0071502B"/>
    <w:rsid w:val="007150BA"/>
    <w:rsid w:val="0071557D"/>
    <w:rsid w:val="00715617"/>
    <w:rsid w:val="00715916"/>
    <w:rsid w:val="007159EF"/>
    <w:rsid w:val="00715B0C"/>
    <w:rsid w:val="00715B51"/>
    <w:rsid w:val="00715FF7"/>
    <w:rsid w:val="00716081"/>
    <w:rsid w:val="00716367"/>
    <w:rsid w:val="00716377"/>
    <w:rsid w:val="0071643E"/>
    <w:rsid w:val="00716855"/>
    <w:rsid w:val="00716886"/>
    <w:rsid w:val="00716932"/>
    <w:rsid w:val="00716F64"/>
    <w:rsid w:val="00716F69"/>
    <w:rsid w:val="0071720D"/>
    <w:rsid w:val="00717333"/>
    <w:rsid w:val="007177B3"/>
    <w:rsid w:val="007200B1"/>
    <w:rsid w:val="007200CF"/>
    <w:rsid w:val="007201B6"/>
    <w:rsid w:val="0072041E"/>
    <w:rsid w:val="00720494"/>
    <w:rsid w:val="007204D7"/>
    <w:rsid w:val="00720970"/>
    <w:rsid w:val="00720A10"/>
    <w:rsid w:val="00720AA2"/>
    <w:rsid w:val="00720CE2"/>
    <w:rsid w:val="00720D94"/>
    <w:rsid w:val="00720F0C"/>
    <w:rsid w:val="007214F9"/>
    <w:rsid w:val="0072157C"/>
    <w:rsid w:val="007215EC"/>
    <w:rsid w:val="00721713"/>
    <w:rsid w:val="00721A54"/>
    <w:rsid w:val="00721A60"/>
    <w:rsid w:val="00721CC0"/>
    <w:rsid w:val="00721DBF"/>
    <w:rsid w:val="00721FA4"/>
    <w:rsid w:val="00722109"/>
    <w:rsid w:val="00722380"/>
    <w:rsid w:val="00722541"/>
    <w:rsid w:val="00722B57"/>
    <w:rsid w:val="00722D10"/>
    <w:rsid w:val="00722D57"/>
    <w:rsid w:val="00722DDE"/>
    <w:rsid w:val="007230A1"/>
    <w:rsid w:val="0072333B"/>
    <w:rsid w:val="007235A3"/>
    <w:rsid w:val="007239A0"/>
    <w:rsid w:val="00723C54"/>
    <w:rsid w:val="00723CF8"/>
    <w:rsid w:val="00723F22"/>
    <w:rsid w:val="00724029"/>
    <w:rsid w:val="00724202"/>
    <w:rsid w:val="0072429A"/>
    <w:rsid w:val="007242D1"/>
    <w:rsid w:val="007244E4"/>
    <w:rsid w:val="007247B7"/>
    <w:rsid w:val="00724A1D"/>
    <w:rsid w:val="00724C04"/>
    <w:rsid w:val="00724C2C"/>
    <w:rsid w:val="00724D00"/>
    <w:rsid w:val="00724F9E"/>
    <w:rsid w:val="00724FED"/>
    <w:rsid w:val="007253AA"/>
    <w:rsid w:val="00725749"/>
    <w:rsid w:val="00725A65"/>
    <w:rsid w:val="00725E81"/>
    <w:rsid w:val="00725FD6"/>
    <w:rsid w:val="007262B8"/>
    <w:rsid w:val="0072631F"/>
    <w:rsid w:val="00726762"/>
    <w:rsid w:val="0072693F"/>
    <w:rsid w:val="00726C2C"/>
    <w:rsid w:val="00726E47"/>
    <w:rsid w:val="007270B9"/>
    <w:rsid w:val="007271BB"/>
    <w:rsid w:val="0072776C"/>
    <w:rsid w:val="007278C0"/>
    <w:rsid w:val="007278ED"/>
    <w:rsid w:val="00727C8A"/>
    <w:rsid w:val="00727DCB"/>
    <w:rsid w:val="00727E06"/>
    <w:rsid w:val="00730216"/>
    <w:rsid w:val="00730481"/>
    <w:rsid w:val="00730513"/>
    <w:rsid w:val="007305C0"/>
    <w:rsid w:val="0073069A"/>
    <w:rsid w:val="00730788"/>
    <w:rsid w:val="00730A50"/>
    <w:rsid w:val="00730BAB"/>
    <w:rsid w:val="00730D23"/>
    <w:rsid w:val="00730E55"/>
    <w:rsid w:val="0073110A"/>
    <w:rsid w:val="0073110E"/>
    <w:rsid w:val="007311C1"/>
    <w:rsid w:val="007311F7"/>
    <w:rsid w:val="00731423"/>
    <w:rsid w:val="0073143B"/>
    <w:rsid w:val="007316CD"/>
    <w:rsid w:val="007318F9"/>
    <w:rsid w:val="00731C30"/>
    <w:rsid w:val="00731C71"/>
    <w:rsid w:val="00731ED1"/>
    <w:rsid w:val="00732435"/>
    <w:rsid w:val="00732476"/>
    <w:rsid w:val="007324AC"/>
    <w:rsid w:val="00732551"/>
    <w:rsid w:val="00732922"/>
    <w:rsid w:val="00732F31"/>
    <w:rsid w:val="0073306A"/>
    <w:rsid w:val="00733352"/>
    <w:rsid w:val="0073357B"/>
    <w:rsid w:val="00733856"/>
    <w:rsid w:val="00733ABF"/>
    <w:rsid w:val="00733C0F"/>
    <w:rsid w:val="00733D0D"/>
    <w:rsid w:val="00733F35"/>
    <w:rsid w:val="00733F77"/>
    <w:rsid w:val="007342DB"/>
    <w:rsid w:val="00734625"/>
    <w:rsid w:val="00734867"/>
    <w:rsid w:val="00734BB9"/>
    <w:rsid w:val="00734C7C"/>
    <w:rsid w:val="00734C7E"/>
    <w:rsid w:val="00734DA5"/>
    <w:rsid w:val="007352CA"/>
    <w:rsid w:val="007355DB"/>
    <w:rsid w:val="007357E1"/>
    <w:rsid w:val="00735982"/>
    <w:rsid w:val="007359E0"/>
    <w:rsid w:val="00735C79"/>
    <w:rsid w:val="00735CD4"/>
    <w:rsid w:val="00735E82"/>
    <w:rsid w:val="00735F00"/>
    <w:rsid w:val="00735F1F"/>
    <w:rsid w:val="00736109"/>
    <w:rsid w:val="00736321"/>
    <w:rsid w:val="007366AD"/>
    <w:rsid w:val="007366E4"/>
    <w:rsid w:val="007367FC"/>
    <w:rsid w:val="00736A97"/>
    <w:rsid w:val="00736CA5"/>
    <w:rsid w:val="00736D58"/>
    <w:rsid w:val="00736DBD"/>
    <w:rsid w:val="0073728D"/>
    <w:rsid w:val="0073741B"/>
    <w:rsid w:val="0073754E"/>
    <w:rsid w:val="00737660"/>
    <w:rsid w:val="00737669"/>
    <w:rsid w:val="00737D5F"/>
    <w:rsid w:val="00737DB7"/>
    <w:rsid w:val="00737EE4"/>
    <w:rsid w:val="0074009D"/>
    <w:rsid w:val="007400E7"/>
    <w:rsid w:val="00740239"/>
    <w:rsid w:val="007403BA"/>
    <w:rsid w:val="00740554"/>
    <w:rsid w:val="0074093F"/>
    <w:rsid w:val="007409A3"/>
    <w:rsid w:val="00740B96"/>
    <w:rsid w:val="00740DDD"/>
    <w:rsid w:val="00740E88"/>
    <w:rsid w:val="00740F39"/>
    <w:rsid w:val="0074110E"/>
    <w:rsid w:val="00741191"/>
    <w:rsid w:val="007411DB"/>
    <w:rsid w:val="00741203"/>
    <w:rsid w:val="0074140C"/>
    <w:rsid w:val="00741593"/>
    <w:rsid w:val="007417E6"/>
    <w:rsid w:val="00741815"/>
    <w:rsid w:val="0074189C"/>
    <w:rsid w:val="00741A11"/>
    <w:rsid w:val="00741ACE"/>
    <w:rsid w:val="00741B20"/>
    <w:rsid w:val="00741BE4"/>
    <w:rsid w:val="00741FA8"/>
    <w:rsid w:val="00742089"/>
    <w:rsid w:val="007422A1"/>
    <w:rsid w:val="00742300"/>
    <w:rsid w:val="00742599"/>
    <w:rsid w:val="00742EEE"/>
    <w:rsid w:val="00742F9E"/>
    <w:rsid w:val="00742FE7"/>
    <w:rsid w:val="007430C7"/>
    <w:rsid w:val="0074340D"/>
    <w:rsid w:val="0074357C"/>
    <w:rsid w:val="00743936"/>
    <w:rsid w:val="007439B2"/>
    <w:rsid w:val="00743DA4"/>
    <w:rsid w:val="00743DBE"/>
    <w:rsid w:val="00743E19"/>
    <w:rsid w:val="00743F72"/>
    <w:rsid w:val="0074465E"/>
    <w:rsid w:val="0074484F"/>
    <w:rsid w:val="0074490B"/>
    <w:rsid w:val="00744B0C"/>
    <w:rsid w:val="00744B80"/>
    <w:rsid w:val="00744BFE"/>
    <w:rsid w:val="00744D42"/>
    <w:rsid w:val="00744F93"/>
    <w:rsid w:val="00745247"/>
    <w:rsid w:val="0074526F"/>
    <w:rsid w:val="007453B9"/>
    <w:rsid w:val="0074569A"/>
    <w:rsid w:val="0074573B"/>
    <w:rsid w:val="0074576E"/>
    <w:rsid w:val="00745B02"/>
    <w:rsid w:val="00745B9A"/>
    <w:rsid w:val="00745D03"/>
    <w:rsid w:val="00745E5F"/>
    <w:rsid w:val="00746189"/>
    <w:rsid w:val="007462A0"/>
    <w:rsid w:val="00746724"/>
    <w:rsid w:val="00746904"/>
    <w:rsid w:val="00746D83"/>
    <w:rsid w:val="0074735F"/>
    <w:rsid w:val="00747453"/>
    <w:rsid w:val="00747949"/>
    <w:rsid w:val="007479EE"/>
    <w:rsid w:val="0075015A"/>
    <w:rsid w:val="007503FE"/>
    <w:rsid w:val="007504D1"/>
    <w:rsid w:val="007504F4"/>
    <w:rsid w:val="007509E7"/>
    <w:rsid w:val="00750A31"/>
    <w:rsid w:val="00750C90"/>
    <w:rsid w:val="00750E40"/>
    <w:rsid w:val="007511E0"/>
    <w:rsid w:val="007513C8"/>
    <w:rsid w:val="0075162E"/>
    <w:rsid w:val="007516DD"/>
    <w:rsid w:val="007517D6"/>
    <w:rsid w:val="00751894"/>
    <w:rsid w:val="007519BF"/>
    <w:rsid w:val="00751BFD"/>
    <w:rsid w:val="00751C85"/>
    <w:rsid w:val="007520EA"/>
    <w:rsid w:val="00752165"/>
    <w:rsid w:val="007521F3"/>
    <w:rsid w:val="00752310"/>
    <w:rsid w:val="00752337"/>
    <w:rsid w:val="007523FF"/>
    <w:rsid w:val="0075242D"/>
    <w:rsid w:val="007526BC"/>
    <w:rsid w:val="00752C59"/>
    <w:rsid w:val="00752D2C"/>
    <w:rsid w:val="00752E10"/>
    <w:rsid w:val="00753416"/>
    <w:rsid w:val="007534FF"/>
    <w:rsid w:val="00753581"/>
    <w:rsid w:val="00753A64"/>
    <w:rsid w:val="00753A9F"/>
    <w:rsid w:val="00754034"/>
    <w:rsid w:val="007541A5"/>
    <w:rsid w:val="007545AB"/>
    <w:rsid w:val="00754739"/>
    <w:rsid w:val="00754842"/>
    <w:rsid w:val="00754B07"/>
    <w:rsid w:val="00754B86"/>
    <w:rsid w:val="00754BC5"/>
    <w:rsid w:val="00754BDD"/>
    <w:rsid w:val="00754E8B"/>
    <w:rsid w:val="007554B4"/>
    <w:rsid w:val="00755A15"/>
    <w:rsid w:val="00755C27"/>
    <w:rsid w:val="007561C1"/>
    <w:rsid w:val="007563D4"/>
    <w:rsid w:val="00756556"/>
    <w:rsid w:val="007565D4"/>
    <w:rsid w:val="0075663D"/>
    <w:rsid w:val="0075664F"/>
    <w:rsid w:val="007566CA"/>
    <w:rsid w:val="00756794"/>
    <w:rsid w:val="00756880"/>
    <w:rsid w:val="007569B1"/>
    <w:rsid w:val="00756A4D"/>
    <w:rsid w:val="00756B22"/>
    <w:rsid w:val="00756C25"/>
    <w:rsid w:val="00756DE9"/>
    <w:rsid w:val="00757237"/>
    <w:rsid w:val="007578E6"/>
    <w:rsid w:val="00757B3C"/>
    <w:rsid w:val="00757D37"/>
    <w:rsid w:val="00757D4B"/>
    <w:rsid w:val="00757FFC"/>
    <w:rsid w:val="00760276"/>
    <w:rsid w:val="0076029D"/>
    <w:rsid w:val="00760389"/>
    <w:rsid w:val="007603B2"/>
    <w:rsid w:val="0076097D"/>
    <w:rsid w:val="00760B33"/>
    <w:rsid w:val="0076110A"/>
    <w:rsid w:val="0076124D"/>
    <w:rsid w:val="0076134D"/>
    <w:rsid w:val="0076137F"/>
    <w:rsid w:val="007613C8"/>
    <w:rsid w:val="00761619"/>
    <w:rsid w:val="00761641"/>
    <w:rsid w:val="007618A3"/>
    <w:rsid w:val="007618C4"/>
    <w:rsid w:val="00761A98"/>
    <w:rsid w:val="00761AA4"/>
    <w:rsid w:val="00761ABB"/>
    <w:rsid w:val="00761BF1"/>
    <w:rsid w:val="00761D4E"/>
    <w:rsid w:val="00761E0A"/>
    <w:rsid w:val="00761E73"/>
    <w:rsid w:val="00761F98"/>
    <w:rsid w:val="00761FEF"/>
    <w:rsid w:val="007626EB"/>
    <w:rsid w:val="007628E4"/>
    <w:rsid w:val="00762A8B"/>
    <w:rsid w:val="00762F42"/>
    <w:rsid w:val="00762F44"/>
    <w:rsid w:val="00762F9D"/>
    <w:rsid w:val="0076322A"/>
    <w:rsid w:val="00763415"/>
    <w:rsid w:val="0076360B"/>
    <w:rsid w:val="007636F6"/>
    <w:rsid w:val="007637D6"/>
    <w:rsid w:val="00763862"/>
    <w:rsid w:val="00763B3D"/>
    <w:rsid w:val="00763CA9"/>
    <w:rsid w:val="00763F4E"/>
    <w:rsid w:val="007640D8"/>
    <w:rsid w:val="007641D9"/>
    <w:rsid w:val="007643F0"/>
    <w:rsid w:val="0076440A"/>
    <w:rsid w:val="00764573"/>
    <w:rsid w:val="007646E1"/>
    <w:rsid w:val="00764757"/>
    <w:rsid w:val="00764937"/>
    <w:rsid w:val="00764C65"/>
    <w:rsid w:val="00764CDB"/>
    <w:rsid w:val="00764D01"/>
    <w:rsid w:val="00765134"/>
    <w:rsid w:val="007652BA"/>
    <w:rsid w:val="007654F2"/>
    <w:rsid w:val="00765BAD"/>
    <w:rsid w:val="00765DC1"/>
    <w:rsid w:val="007661BD"/>
    <w:rsid w:val="00766227"/>
    <w:rsid w:val="00766486"/>
    <w:rsid w:val="007666B6"/>
    <w:rsid w:val="00766937"/>
    <w:rsid w:val="00766F3D"/>
    <w:rsid w:val="0076700E"/>
    <w:rsid w:val="00767025"/>
    <w:rsid w:val="00767177"/>
    <w:rsid w:val="0076726E"/>
    <w:rsid w:val="00767595"/>
    <w:rsid w:val="00767798"/>
    <w:rsid w:val="0076786C"/>
    <w:rsid w:val="007678DB"/>
    <w:rsid w:val="00767980"/>
    <w:rsid w:val="00767A3B"/>
    <w:rsid w:val="00767EC3"/>
    <w:rsid w:val="007701BA"/>
    <w:rsid w:val="007702A9"/>
    <w:rsid w:val="00770545"/>
    <w:rsid w:val="0077054C"/>
    <w:rsid w:val="00770851"/>
    <w:rsid w:val="00770B19"/>
    <w:rsid w:val="00770D44"/>
    <w:rsid w:val="00770E35"/>
    <w:rsid w:val="00771219"/>
    <w:rsid w:val="007712EF"/>
    <w:rsid w:val="0077134D"/>
    <w:rsid w:val="007715F0"/>
    <w:rsid w:val="0077183E"/>
    <w:rsid w:val="00771944"/>
    <w:rsid w:val="00771965"/>
    <w:rsid w:val="00771C5F"/>
    <w:rsid w:val="00771DA6"/>
    <w:rsid w:val="00771F5E"/>
    <w:rsid w:val="007723F5"/>
    <w:rsid w:val="007724B4"/>
    <w:rsid w:val="007725B0"/>
    <w:rsid w:val="007726B3"/>
    <w:rsid w:val="0077275C"/>
    <w:rsid w:val="007727B7"/>
    <w:rsid w:val="0077284B"/>
    <w:rsid w:val="007728A0"/>
    <w:rsid w:val="00772A5A"/>
    <w:rsid w:val="00772CBD"/>
    <w:rsid w:val="00772CFD"/>
    <w:rsid w:val="007732C5"/>
    <w:rsid w:val="007732D2"/>
    <w:rsid w:val="00773C57"/>
    <w:rsid w:val="007740CE"/>
    <w:rsid w:val="007741CF"/>
    <w:rsid w:val="00774365"/>
    <w:rsid w:val="0077463F"/>
    <w:rsid w:val="00774A9C"/>
    <w:rsid w:val="00774BFD"/>
    <w:rsid w:val="0077525E"/>
    <w:rsid w:val="0077536D"/>
    <w:rsid w:val="00775468"/>
    <w:rsid w:val="0077576B"/>
    <w:rsid w:val="00775932"/>
    <w:rsid w:val="007759A2"/>
    <w:rsid w:val="00775A4A"/>
    <w:rsid w:val="00775B6C"/>
    <w:rsid w:val="00775C11"/>
    <w:rsid w:val="00775E45"/>
    <w:rsid w:val="00775EE5"/>
    <w:rsid w:val="00776172"/>
    <w:rsid w:val="0077631B"/>
    <w:rsid w:val="00776570"/>
    <w:rsid w:val="007765B4"/>
    <w:rsid w:val="007766AA"/>
    <w:rsid w:val="00776731"/>
    <w:rsid w:val="00776783"/>
    <w:rsid w:val="007767DC"/>
    <w:rsid w:val="00776C01"/>
    <w:rsid w:val="00776E8C"/>
    <w:rsid w:val="00776EE7"/>
    <w:rsid w:val="0077701E"/>
    <w:rsid w:val="00777052"/>
    <w:rsid w:val="007770C6"/>
    <w:rsid w:val="0077761F"/>
    <w:rsid w:val="007778E2"/>
    <w:rsid w:val="007779B0"/>
    <w:rsid w:val="007779EE"/>
    <w:rsid w:val="00777C12"/>
    <w:rsid w:val="00780189"/>
    <w:rsid w:val="00780561"/>
    <w:rsid w:val="0078067B"/>
    <w:rsid w:val="0078091E"/>
    <w:rsid w:val="00780982"/>
    <w:rsid w:val="00781105"/>
    <w:rsid w:val="007811AA"/>
    <w:rsid w:val="00781349"/>
    <w:rsid w:val="00781739"/>
    <w:rsid w:val="00781847"/>
    <w:rsid w:val="00781A2D"/>
    <w:rsid w:val="00781B57"/>
    <w:rsid w:val="00781BB2"/>
    <w:rsid w:val="00781DE9"/>
    <w:rsid w:val="00781F2C"/>
    <w:rsid w:val="00782194"/>
    <w:rsid w:val="00782239"/>
    <w:rsid w:val="007822EF"/>
    <w:rsid w:val="00782487"/>
    <w:rsid w:val="007827EC"/>
    <w:rsid w:val="00782902"/>
    <w:rsid w:val="00782A0B"/>
    <w:rsid w:val="00782B0B"/>
    <w:rsid w:val="00782B83"/>
    <w:rsid w:val="007830A1"/>
    <w:rsid w:val="00783292"/>
    <w:rsid w:val="007836D3"/>
    <w:rsid w:val="007836EA"/>
    <w:rsid w:val="00783B2A"/>
    <w:rsid w:val="00783EF8"/>
    <w:rsid w:val="0078400B"/>
    <w:rsid w:val="007849E1"/>
    <w:rsid w:val="00784CAC"/>
    <w:rsid w:val="00784CDA"/>
    <w:rsid w:val="00784F85"/>
    <w:rsid w:val="007850EB"/>
    <w:rsid w:val="00785228"/>
    <w:rsid w:val="00785247"/>
    <w:rsid w:val="007855DB"/>
    <w:rsid w:val="00785C5B"/>
    <w:rsid w:val="00785D46"/>
    <w:rsid w:val="00785E7B"/>
    <w:rsid w:val="00786467"/>
    <w:rsid w:val="007864BB"/>
    <w:rsid w:val="00786700"/>
    <w:rsid w:val="0078676A"/>
    <w:rsid w:val="00786CFF"/>
    <w:rsid w:val="00786D32"/>
    <w:rsid w:val="00786E3E"/>
    <w:rsid w:val="00787190"/>
    <w:rsid w:val="00787640"/>
    <w:rsid w:val="0078797F"/>
    <w:rsid w:val="00787B0F"/>
    <w:rsid w:val="00787EB0"/>
    <w:rsid w:val="007901D1"/>
    <w:rsid w:val="007906C4"/>
    <w:rsid w:val="007907FD"/>
    <w:rsid w:val="007908B9"/>
    <w:rsid w:val="00790B35"/>
    <w:rsid w:val="00790B50"/>
    <w:rsid w:val="00790BCA"/>
    <w:rsid w:val="00790DD1"/>
    <w:rsid w:val="00790EFC"/>
    <w:rsid w:val="00790F17"/>
    <w:rsid w:val="007911E1"/>
    <w:rsid w:val="00791264"/>
    <w:rsid w:val="007913AA"/>
    <w:rsid w:val="0079163D"/>
    <w:rsid w:val="0079182B"/>
    <w:rsid w:val="0079188E"/>
    <w:rsid w:val="0079198E"/>
    <w:rsid w:val="00791996"/>
    <w:rsid w:val="00791A0B"/>
    <w:rsid w:val="00791B29"/>
    <w:rsid w:val="00791CDC"/>
    <w:rsid w:val="00791D38"/>
    <w:rsid w:val="00791DE0"/>
    <w:rsid w:val="00791E63"/>
    <w:rsid w:val="00792292"/>
    <w:rsid w:val="007922F7"/>
    <w:rsid w:val="00792573"/>
    <w:rsid w:val="007925A4"/>
    <w:rsid w:val="00792627"/>
    <w:rsid w:val="0079284B"/>
    <w:rsid w:val="00792896"/>
    <w:rsid w:val="00792AE2"/>
    <w:rsid w:val="00792B46"/>
    <w:rsid w:val="007930D1"/>
    <w:rsid w:val="00793180"/>
    <w:rsid w:val="00793268"/>
    <w:rsid w:val="007932A0"/>
    <w:rsid w:val="00793792"/>
    <w:rsid w:val="00793B7B"/>
    <w:rsid w:val="00793EC5"/>
    <w:rsid w:val="00793EF8"/>
    <w:rsid w:val="00793FF2"/>
    <w:rsid w:val="0079409F"/>
    <w:rsid w:val="007940DC"/>
    <w:rsid w:val="007940EA"/>
    <w:rsid w:val="00794310"/>
    <w:rsid w:val="007943E8"/>
    <w:rsid w:val="0079451E"/>
    <w:rsid w:val="0079452E"/>
    <w:rsid w:val="0079474C"/>
    <w:rsid w:val="00794A4B"/>
    <w:rsid w:val="00794B25"/>
    <w:rsid w:val="0079503F"/>
    <w:rsid w:val="00795387"/>
    <w:rsid w:val="007954B9"/>
    <w:rsid w:val="007956BC"/>
    <w:rsid w:val="007957A7"/>
    <w:rsid w:val="00795860"/>
    <w:rsid w:val="00795B91"/>
    <w:rsid w:val="00795C32"/>
    <w:rsid w:val="00795CB4"/>
    <w:rsid w:val="00795D5D"/>
    <w:rsid w:val="00795DCF"/>
    <w:rsid w:val="00795FAD"/>
    <w:rsid w:val="0079617B"/>
    <w:rsid w:val="0079623F"/>
    <w:rsid w:val="00796482"/>
    <w:rsid w:val="0079659C"/>
    <w:rsid w:val="00796617"/>
    <w:rsid w:val="007967E8"/>
    <w:rsid w:val="0079698F"/>
    <w:rsid w:val="0079708C"/>
    <w:rsid w:val="007971FD"/>
    <w:rsid w:val="00797469"/>
    <w:rsid w:val="00797765"/>
    <w:rsid w:val="0079786E"/>
    <w:rsid w:val="007979E5"/>
    <w:rsid w:val="00797AE9"/>
    <w:rsid w:val="007A062B"/>
    <w:rsid w:val="007A06AE"/>
    <w:rsid w:val="007A06F3"/>
    <w:rsid w:val="007A0CF8"/>
    <w:rsid w:val="007A0E1A"/>
    <w:rsid w:val="007A0FA0"/>
    <w:rsid w:val="007A1060"/>
    <w:rsid w:val="007A10DF"/>
    <w:rsid w:val="007A11D5"/>
    <w:rsid w:val="007A11F4"/>
    <w:rsid w:val="007A1339"/>
    <w:rsid w:val="007A1656"/>
    <w:rsid w:val="007A1B8A"/>
    <w:rsid w:val="007A20FC"/>
    <w:rsid w:val="007A2170"/>
    <w:rsid w:val="007A22BF"/>
    <w:rsid w:val="007A22C5"/>
    <w:rsid w:val="007A2553"/>
    <w:rsid w:val="007A2683"/>
    <w:rsid w:val="007A26A2"/>
    <w:rsid w:val="007A2788"/>
    <w:rsid w:val="007A2B23"/>
    <w:rsid w:val="007A2EFD"/>
    <w:rsid w:val="007A2FC1"/>
    <w:rsid w:val="007A301C"/>
    <w:rsid w:val="007A308D"/>
    <w:rsid w:val="007A30DD"/>
    <w:rsid w:val="007A3323"/>
    <w:rsid w:val="007A355B"/>
    <w:rsid w:val="007A37B9"/>
    <w:rsid w:val="007A38FB"/>
    <w:rsid w:val="007A3E29"/>
    <w:rsid w:val="007A426F"/>
    <w:rsid w:val="007A4466"/>
    <w:rsid w:val="007A4B27"/>
    <w:rsid w:val="007A4B4A"/>
    <w:rsid w:val="007A5004"/>
    <w:rsid w:val="007A50C4"/>
    <w:rsid w:val="007A514E"/>
    <w:rsid w:val="007A54F8"/>
    <w:rsid w:val="007A590C"/>
    <w:rsid w:val="007A59CC"/>
    <w:rsid w:val="007A5D23"/>
    <w:rsid w:val="007A607C"/>
    <w:rsid w:val="007A629D"/>
    <w:rsid w:val="007A6508"/>
    <w:rsid w:val="007A664F"/>
    <w:rsid w:val="007A6AEC"/>
    <w:rsid w:val="007A6B26"/>
    <w:rsid w:val="007A6D9A"/>
    <w:rsid w:val="007A6E04"/>
    <w:rsid w:val="007A6FC1"/>
    <w:rsid w:val="007A703F"/>
    <w:rsid w:val="007A766D"/>
    <w:rsid w:val="007A7844"/>
    <w:rsid w:val="007A7ADB"/>
    <w:rsid w:val="007A7BBD"/>
    <w:rsid w:val="007A7DD1"/>
    <w:rsid w:val="007A7FF4"/>
    <w:rsid w:val="007B009E"/>
    <w:rsid w:val="007B0173"/>
    <w:rsid w:val="007B02B7"/>
    <w:rsid w:val="007B04DA"/>
    <w:rsid w:val="007B0629"/>
    <w:rsid w:val="007B06AC"/>
    <w:rsid w:val="007B07D9"/>
    <w:rsid w:val="007B0895"/>
    <w:rsid w:val="007B0B88"/>
    <w:rsid w:val="007B0DDF"/>
    <w:rsid w:val="007B0F9E"/>
    <w:rsid w:val="007B1177"/>
    <w:rsid w:val="007B12FC"/>
    <w:rsid w:val="007B142B"/>
    <w:rsid w:val="007B1631"/>
    <w:rsid w:val="007B164F"/>
    <w:rsid w:val="007B166B"/>
    <w:rsid w:val="007B196A"/>
    <w:rsid w:val="007B1A8D"/>
    <w:rsid w:val="007B1C61"/>
    <w:rsid w:val="007B1CB5"/>
    <w:rsid w:val="007B1D02"/>
    <w:rsid w:val="007B1D10"/>
    <w:rsid w:val="007B1EE8"/>
    <w:rsid w:val="007B2016"/>
    <w:rsid w:val="007B20E7"/>
    <w:rsid w:val="007B2BDD"/>
    <w:rsid w:val="007B2D20"/>
    <w:rsid w:val="007B2DB6"/>
    <w:rsid w:val="007B2DD5"/>
    <w:rsid w:val="007B2F23"/>
    <w:rsid w:val="007B32E4"/>
    <w:rsid w:val="007B3589"/>
    <w:rsid w:val="007B35E6"/>
    <w:rsid w:val="007B3849"/>
    <w:rsid w:val="007B3A42"/>
    <w:rsid w:val="007B3B96"/>
    <w:rsid w:val="007B3DC6"/>
    <w:rsid w:val="007B4008"/>
    <w:rsid w:val="007B40C5"/>
    <w:rsid w:val="007B4150"/>
    <w:rsid w:val="007B4297"/>
    <w:rsid w:val="007B42BA"/>
    <w:rsid w:val="007B42D9"/>
    <w:rsid w:val="007B42DF"/>
    <w:rsid w:val="007B4333"/>
    <w:rsid w:val="007B4525"/>
    <w:rsid w:val="007B4919"/>
    <w:rsid w:val="007B506A"/>
    <w:rsid w:val="007B5357"/>
    <w:rsid w:val="007B5377"/>
    <w:rsid w:val="007B54BE"/>
    <w:rsid w:val="007B55B7"/>
    <w:rsid w:val="007B56A3"/>
    <w:rsid w:val="007B5806"/>
    <w:rsid w:val="007B6008"/>
    <w:rsid w:val="007B6097"/>
    <w:rsid w:val="007B6643"/>
    <w:rsid w:val="007B668C"/>
    <w:rsid w:val="007B6809"/>
    <w:rsid w:val="007B6838"/>
    <w:rsid w:val="007B6A59"/>
    <w:rsid w:val="007B6D4F"/>
    <w:rsid w:val="007B7162"/>
    <w:rsid w:val="007B72B8"/>
    <w:rsid w:val="007B77B7"/>
    <w:rsid w:val="007B796F"/>
    <w:rsid w:val="007B7A58"/>
    <w:rsid w:val="007B7C5F"/>
    <w:rsid w:val="007C02B6"/>
    <w:rsid w:val="007C044A"/>
    <w:rsid w:val="007C0506"/>
    <w:rsid w:val="007C05F7"/>
    <w:rsid w:val="007C0A0E"/>
    <w:rsid w:val="007C0A8C"/>
    <w:rsid w:val="007C0AAA"/>
    <w:rsid w:val="007C11D4"/>
    <w:rsid w:val="007C1362"/>
    <w:rsid w:val="007C14DA"/>
    <w:rsid w:val="007C1D32"/>
    <w:rsid w:val="007C1F89"/>
    <w:rsid w:val="007C20D2"/>
    <w:rsid w:val="007C2112"/>
    <w:rsid w:val="007C21B5"/>
    <w:rsid w:val="007C2267"/>
    <w:rsid w:val="007C2797"/>
    <w:rsid w:val="007C27B6"/>
    <w:rsid w:val="007C295E"/>
    <w:rsid w:val="007C2B99"/>
    <w:rsid w:val="007C2FFF"/>
    <w:rsid w:val="007C304E"/>
    <w:rsid w:val="007C32B4"/>
    <w:rsid w:val="007C3628"/>
    <w:rsid w:val="007C38E5"/>
    <w:rsid w:val="007C39EE"/>
    <w:rsid w:val="007C3C6D"/>
    <w:rsid w:val="007C3C8E"/>
    <w:rsid w:val="007C3CD6"/>
    <w:rsid w:val="007C3D73"/>
    <w:rsid w:val="007C3E39"/>
    <w:rsid w:val="007C3E8A"/>
    <w:rsid w:val="007C3ED3"/>
    <w:rsid w:val="007C3F49"/>
    <w:rsid w:val="007C446E"/>
    <w:rsid w:val="007C44D8"/>
    <w:rsid w:val="007C46B1"/>
    <w:rsid w:val="007C4AEA"/>
    <w:rsid w:val="007C4C3E"/>
    <w:rsid w:val="007C4DDF"/>
    <w:rsid w:val="007C4F18"/>
    <w:rsid w:val="007C542A"/>
    <w:rsid w:val="007C5445"/>
    <w:rsid w:val="007C547E"/>
    <w:rsid w:val="007C5621"/>
    <w:rsid w:val="007C59C8"/>
    <w:rsid w:val="007C5ABA"/>
    <w:rsid w:val="007C5AFF"/>
    <w:rsid w:val="007C5D7D"/>
    <w:rsid w:val="007C5E24"/>
    <w:rsid w:val="007C5E52"/>
    <w:rsid w:val="007C612D"/>
    <w:rsid w:val="007C621F"/>
    <w:rsid w:val="007C6412"/>
    <w:rsid w:val="007C6482"/>
    <w:rsid w:val="007C65A3"/>
    <w:rsid w:val="007C6639"/>
    <w:rsid w:val="007C67D1"/>
    <w:rsid w:val="007C689B"/>
    <w:rsid w:val="007C68C8"/>
    <w:rsid w:val="007C6C02"/>
    <w:rsid w:val="007C6CC4"/>
    <w:rsid w:val="007C6E51"/>
    <w:rsid w:val="007C6EAD"/>
    <w:rsid w:val="007C72B2"/>
    <w:rsid w:val="007C72D9"/>
    <w:rsid w:val="007C73D9"/>
    <w:rsid w:val="007C7651"/>
    <w:rsid w:val="007C7791"/>
    <w:rsid w:val="007C7AC0"/>
    <w:rsid w:val="007C7B97"/>
    <w:rsid w:val="007D010B"/>
    <w:rsid w:val="007D01FC"/>
    <w:rsid w:val="007D0240"/>
    <w:rsid w:val="007D0589"/>
    <w:rsid w:val="007D0705"/>
    <w:rsid w:val="007D0A25"/>
    <w:rsid w:val="007D0BDB"/>
    <w:rsid w:val="007D0F71"/>
    <w:rsid w:val="007D10AB"/>
    <w:rsid w:val="007D1565"/>
    <w:rsid w:val="007D1666"/>
    <w:rsid w:val="007D18BE"/>
    <w:rsid w:val="007D1ADD"/>
    <w:rsid w:val="007D1B83"/>
    <w:rsid w:val="007D1D0F"/>
    <w:rsid w:val="007D1D8E"/>
    <w:rsid w:val="007D1F0F"/>
    <w:rsid w:val="007D2486"/>
    <w:rsid w:val="007D25A1"/>
    <w:rsid w:val="007D3037"/>
    <w:rsid w:val="007D30D7"/>
    <w:rsid w:val="007D31EF"/>
    <w:rsid w:val="007D3200"/>
    <w:rsid w:val="007D3632"/>
    <w:rsid w:val="007D36A0"/>
    <w:rsid w:val="007D38E3"/>
    <w:rsid w:val="007D3928"/>
    <w:rsid w:val="007D39CA"/>
    <w:rsid w:val="007D39D9"/>
    <w:rsid w:val="007D3DC9"/>
    <w:rsid w:val="007D400D"/>
    <w:rsid w:val="007D401D"/>
    <w:rsid w:val="007D40BE"/>
    <w:rsid w:val="007D4298"/>
    <w:rsid w:val="007D43C1"/>
    <w:rsid w:val="007D445E"/>
    <w:rsid w:val="007D4481"/>
    <w:rsid w:val="007D469A"/>
    <w:rsid w:val="007D46A4"/>
    <w:rsid w:val="007D4733"/>
    <w:rsid w:val="007D481A"/>
    <w:rsid w:val="007D4847"/>
    <w:rsid w:val="007D48BC"/>
    <w:rsid w:val="007D4C0C"/>
    <w:rsid w:val="007D4F32"/>
    <w:rsid w:val="007D536E"/>
    <w:rsid w:val="007D55D8"/>
    <w:rsid w:val="007D5626"/>
    <w:rsid w:val="007D565B"/>
    <w:rsid w:val="007D5E45"/>
    <w:rsid w:val="007D5ED3"/>
    <w:rsid w:val="007D5FD6"/>
    <w:rsid w:val="007D65C4"/>
    <w:rsid w:val="007D67D4"/>
    <w:rsid w:val="007D6B7C"/>
    <w:rsid w:val="007D6E8C"/>
    <w:rsid w:val="007D6F90"/>
    <w:rsid w:val="007D72DC"/>
    <w:rsid w:val="007D732E"/>
    <w:rsid w:val="007D7408"/>
    <w:rsid w:val="007D780B"/>
    <w:rsid w:val="007D799D"/>
    <w:rsid w:val="007D7B9A"/>
    <w:rsid w:val="007E025A"/>
    <w:rsid w:val="007E03CE"/>
    <w:rsid w:val="007E04D4"/>
    <w:rsid w:val="007E065F"/>
    <w:rsid w:val="007E070F"/>
    <w:rsid w:val="007E074A"/>
    <w:rsid w:val="007E081F"/>
    <w:rsid w:val="007E0A6A"/>
    <w:rsid w:val="007E0D96"/>
    <w:rsid w:val="007E0FE3"/>
    <w:rsid w:val="007E1039"/>
    <w:rsid w:val="007E1056"/>
    <w:rsid w:val="007E1274"/>
    <w:rsid w:val="007E1573"/>
    <w:rsid w:val="007E1597"/>
    <w:rsid w:val="007E16AF"/>
    <w:rsid w:val="007E18A3"/>
    <w:rsid w:val="007E1C8D"/>
    <w:rsid w:val="007E1CB8"/>
    <w:rsid w:val="007E1E1D"/>
    <w:rsid w:val="007E1E8E"/>
    <w:rsid w:val="007E20DC"/>
    <w:rsid w:val="007E21AA"/>
    <w:rsid w:val="007E2662"/>
    <w:rsid w:val="007E28E4"/>
    <w:rsid w:val="007E28F2"/>
    <w:rsid w:val="007E29BF"/>
    <w:rsid w:val="007E2A6B"/>
    <w:rsid w:val="007E2AD4"/>
    <w:rsid w:val="007E2C63"/>
    <w:rsid w:val="007E2D20"/>
    <w:rsid w:val="007E2DBA"/>
    <w:rsid w:val="007E2ED0"/>
    <w:rsid w:val="007E2F15"/>
    <w:rsid w:val="007E3025"/>
    <w:rsid w:val="007E3098"/>
    <w:rsid w:val="007E3381"/>
    <w:rsid w:val="007E344F"/>
    <w:rsid w:val="007E34FF"/>
    <w:rsid w:val="007E3566"/>
    <w:rsid w:val="007E366D"/>
    <w:rsid w:val="007E3BF0"/>
    <w:rsid w:val="007E3F9E"/>
    <w:rsid w:val="007E40C3"/>
    <w:rsid w:val="007E41CA"/>
    <w:rsid w:val="007E443B"/>
    <w:rsid w:val="007E460F"/>
    <w:rsid w:val="007E46E0"/>
    <w:rsid w:val="007E470E"/>
    <w:rsid w:val="007E49B4"/>
    <w:rsid w:val="007E4B99"/>
    <w:rsid w:val="007E4BD2"/>
    <w:rsid w:val="007E4FFA"/>
    <w:rsid w:val="007E5041"/>
    <w:rsid w:val="007E5161"/>
    <w:rsid w:val="007E5391"/>
    <w:rsid w:val="007E5729"/>
    <w:rsid w:val="007E57D8"/>
    <w:rsid w:val="007E5B2B"/>
    <w:rsid w:val="007E5BBA"/>
    <w:rsid w:val="007E5E0B"/>
    <w:rsid w:val="007E5F4C"/>
    <w:rsid w:val="007E61AD"/>
    <w:rsid w:val="007E6218"/>
    <w:rsid w:val="007E6361"/>
    <w:rsid w:val="007E63C7"/>
    <w:rsid w:val="007E6C4E"/>
    <w:rsid w:val="007E7334"/>
    <w:rsid w:val="007E762B"/>
    <w:rsid w:val="007E777E"/>
    <w:rsid w:val="007E7975"/>
    <w:rsid w:val="007E7B59"/>
    <w:rsid w:val="007E7B95"/>
    <w:rsid w:val="007E7B9B"/>
    <w:rsid w:val="007E7D0B"/>
    <w:rsid w:val="007E7F5C"/>
    <w:rsid w:val="007E7FC6"/>
    <w:rsid w:val="007F01E8"/>
    <w:rsid w:val="007F05D6"/>
    <w:rsid w:val="007F0624"/>
    <w:rsid w:val="007F0835"/>
    <w:rsid w:val="007F094E"/>
    <w:rsid w:val="007F0ABB"/>
    <w:rsid w:val="007F0EE8"/>
    <w:rsid w:val="007F11A4"/>
    <w:rsid w:val="007F1459"/>
    <w:rsid w:val="007F186B"/>
    <w:rsid w:val="007F1B76"/>
    <w:rsid w:val="007F1D4B"/>
    <w:rsid w:val="007F2273"/>
    <w:rsid w:val="007F22A3"/>
    <w:rsid w:val="007F22FC"/>
    <w:rsid w:val="007F2519"/>
    <w:rsid w:val="007F2B9F"/>
    <w:rsid w:val="007F2DFC"/>
    <w:rsid w:val="007F30A7"/>
    <w:rsid w:val="007F3138"/>
    <w:rsid w:val="007F3157"/>
    <w:rsid w:val="007F31CC"/>
    <w:rsid w:val="007F3314"/>
    <w:rsid w:val="007F3358"/>
    <w:rsid w:val="007F35EA"/>
    <w:rsid w:val="007F3E66"/>
    <w:rsid w:val="007F3E74"/>
    <w:rsid w:val="007F4503"/>
    <w:rsid w:val="007F485B"/>
    <w:rsid w:val="007F4C14"/>
    <w:rsid w:val="007F4DF2"/>
    <w:rsid w:val="007F4E24"/>
    <w:rsid w:val="007F4F1D"/>
    <w:rsid w:val="007F4FEA"/>
    <w:rsid w:val="007F4FF7"/>
    <w:rsid w:val="007F50CD"/>
    <w:rsid w:val="007F512D"/>
    <w:rsid w:val="007F5253"/>
    <w:rsid w:val="007F554F"/>
    <w:rsid w:val="007F55FB"/>
    <w:rsid w:val="007F5869"/>
    <w:rsid w:val="007F5904"/>
    <w:rsid w:val="007F5A27"/>
    <w:rsid w:val="007F5F76"/>
    <w:rsid w:val="007F5F9B"/>
    <w:rsid w:val="007F5FAA"/>
    <w:rsid w:val="007F5FDA"/>
    <w:rsid w:val="007F60F9"/>
    <w:rsid w:val="007F615D"/>
    <w:rsid w:val="007F623F"/>
    <w:rsid w:val="007F6298"/>
    <w:rsid w:val="007F644E"/>
    <w:rsid w:val="007F65B3"/>
    <w:rsid w:val="007F673F"/>
    <w:rsid w:val="007F67ED"/>
    <w:rsid w:val="007F6AB1"/>
    <w:rsid w:val="007F7012"/>
    <w:rsid w:val="007F70EB"/>
    <w:rsid w:val="007F710F"/>
    <w:rsid w:val="007F7184"/>
    <w:rsid w:val="007F71FE"/>
    <w:rsid w:val="007F7901"/>
    <w:rsid w:val="007F7C6D"/>
    <w:rsid w:val="007F7D35"/>
    <w:rsid w:val="007F7E28"/>
    <w:rsid w:val="008002FB"/>
    <w:rsid w:val="00800623"/>
    <w:rsid w:val="0080077C"/>
    <w:rsid w:val="00800847"/>
    <w:rsid w:val="00800BC2"/>
    <w:rsid w:val="00800C86"/>
    <w:rsid w:val="00800FE6"/>
    <w:rsid w:val="00800FE7"/>
    <w:rsid w:val="00801393"/>
    <w:rsid w:val="00801722"/>
    <w:rsid w:val="0080173F"/>
    <w:rsid w:val="00801861"/>
    <w:rsid w:val="00801948"/>
    <w:rsid w:val="00801A09"/>
    <w:rsid w:val="00801F6F"/>
    <w:rsid w:val="00801FBC"/>
    <w:rsid w:val="008020F7"/>
    <w:rsid w:val="0080216C"/>
    <w:rsid w:val="008023BF"/>
    <w:rsid w:val="0080264C"/>
    <w:rsid w:val="00802822"/>
    <w:rsid w:val="0080289A"/>
    <w:rsid w:val="00802A66"/>
    <w:rsid w:val="00802A6C"/>
    <w:rsid w:val="00802AF3"/>
    <w:rsid w:val="00802C29"/>
    <w:rsid w:val="00802EC2"/>
    <w:rsid w:val="00802F88"/>
    <w:rsid w:val="008030BC"/>
    <w:rsid w:val="00803414"/>
    <w:rsid w:val="00803468"/>
    <w:rsid w:val="00803478"/>
    <w:rsid w:val="008034DC"/>
    <w:rsid w:val="00803791"/>
    <w:rsid w:val="00803804"/>
    <w:rsid w:val="00803829"/>
    <w:rsid w:val="008039A4"/>
    <w:rsid w:val="00803A01"/>
    <w:rsid w:val="00803CCF"/>
    <w:rsid w:val="00803D16"/>
    <w:rsid w:val="00804153"/>
    <w:rsid w:val="0080416D"/>
    <w:rsid w:val="00804562"/>
    <w:rsid w:val="0080464F"/>
    <w:rsid w:val="00804713"/>
    <w:rsid w:val="0080475B"/>
    <w:rsid w:val="008047B7"/>
    <w:rsid w:val="0080498B"/>
    <w:rsid w:val="00804A39"/>
    <w:rsid w:val="00804DB3"/>
    <w:rsid w:val="00804F74"/>
    <w:rsid w:val="0080511D"/>
    <w:rsid w:val="00805431"/>
    <w:rsid w:val="00805510"/>
    <w:rsid w:val="008057A8"/>
    <w:rsid w:val="00805981"/>
    <w:rsid w:val="00805BE6"/>
    <w:rsid w:val="00805D4B"/>
    <w:rsid w:val="00805E22"/>
    <w:rsid w:val="00805F43"/>
    <w:rsid w:val="00806065"/>
    <w:rsid w:val="00806138"/>
    <w:rsid w:val="0080628E"/>
    <w:rsid w:val="00806582"/>
    <w:rsid w:val="008066B1"/>
    <w:rsid w:val="008067B0"/>
    <w:rsid w:val="00806811"/>
    <w:rsid w:val="0080682A"/>
    <w:rsid w:val="00806885"/>
    <w:rsid w:val="00806B4B"/>
    <w:rsid w:val="00806BA5"/>
    <w:rsid w:val="00806D9F"/>
    <w:rsid w:val="00806E68"/>
    <w:rsid w:val="0080701D"/>
    <w:rsid w:val="008072DD"/>
    <w:rsid w:val="008074EF"/>
    <w:rsid w:val="00807536"/>
    <w:rsid w:val="008076A6"/>
    <w:rsid w:val="008076C4"/>
    <w:rsid w:val="00807BE3"/>
    <w:rsid w:val="00807ED1"/>
    <w:rsid w:val="00807F4D"/>
    <w:rsid w:val="00810013"/>
    <w:rsid w:val="008101DA"/>
    <w:rsid w:val="008103FA"/>
    <w:rsid w:val="00810485"/>
    <w:rsid w:val="008107EC"/>
    <w:rsid w:val="0081085D"/>
    <w:rsid w:val="0081089A"/>
    <w:rsid w:val="00810A8E"/>
    <w:rsid w:val="00810E17"/>
    <w:rsid w:val="00810E94"/>
    <w:rsid w:val="00811141"/>
    <w:rsid w:val="00811160"/>
    <w:rsid w:val="00811246"/>
    <w:rsid w:val="00811276"/>
    <w:rsid w:val="00811431"/>
    <w:rsid w:val="008117F1"/>
    <w:rsid w:val="0081189B"/>
    <w:rsid w:val="00811A45"/>
    <w:rsid w:val="00811C33"/>
    <w:rsid w:val="00811C9D"/>
    <w:rsid w:val="00812077"/>
    <w:rsid w:val="0081224F"/>
    <w:rsid w:val="00812374"/>
    <w:rsid w:val="00812426"/>
    <w:rsid w:val="00812478"/>
    <w:rsid w:val="008125FC"/>
    <w:rsid w:val="008127A9"/>
    <w:rsid w:val="0081293E"/>
    <w:rsid w:val="00812995"/>
    <w:rsid w:val="008129F1"/>
    <w:rsid w:val="00812A8D"/>
    <w:rsid w:val="00812BF5"/>
    <w:rsid w:val="00812C11"/>
    <w:rsid w:val="00812E82"/>
    <w:rsid w:val="00812E8F"/>
    <w:rsid w:val="00812FB0"/>
    <w:rsid w:val="00812FCB"/>
    <w:rsid w:val="0081308D"/>
    <w:rsid w:val="00813319"/>
    <w:rsid w:val="008133B2"/>
    <w:rsid w:val="00813460"/>
    <w:rsid w:val="008134C1"/>
    <w:rsid w:val="008136D7"/>
    <w:rsid w:val="0081376E"/>
    <w:rsid w:val="00813D96"/>
    <w:rsid w:val="00813DB4"/>
    <w:rsid w:val="00813F6F"/>
    <w:rsid w:val="00814644"/>
    <w:rsid w:val="00814B99"/>
    <w:rsid w:val="00814F65"/>
    <w:rsid w:val="00815465"/>
    <w:rsid w:val="0081570D"/>
    <w:rsid w:val="00815A15"/>
    <w:rsid w:val="00815C16"/>
    <w:rsid w:val="008160EA"/>
    <w:rsid w:val="00816175"/>
    <w:rsid w:val="0081639E"/>
    <w:rsid w:val="00816422"/>
    <w:rsid w:val="00816661"/>
    <w:rsid w:val="00816719"/>
    <w:rsid w:val="008168E5"/>
    <w:rsid w:val="00816D8F"/>
    <w:rsid w:val="00816DA2"/>
    <w:rsid w:val="00816E03"/>
    <w:rsid w:val="00816EAD"/>
    <w:rsid w:val="00816F57"/>
    <w:rsid w:val="00817186"/>
    <w:rsid w:val="00817217"/>
    <w:rsid w:val="0081772B"/>
    <w:rsid w:val="008177E9"/>
    <w:rsid w:val="00817836"/>
    <w:rsid w:val="008178E9"/>
    <w:rsid w:val="00817982"/>
    <w:rsid w:val="00817ADA"/>
    <w:rsid w:val="00817B19"/>
    <w:rsid w:val="00817DF4"/>
    <w:rsid w:val="00817E9A"/>
    <w:rsid w:val="00817EA5"/>
    <w:rsid w:val="0082000C"/>
    <w:rsid w:val="00820740"/>
    <w:rsid w:val="00820852"/>
    <w:rsid w:val="0082088E"/>
    <w:rsid w:val="00820A33"/>
    <w:rsid w:val="00820BAE"/>
    <w:rsid w:val="00820C76"/>
    <w:rsid w:val="00820D84"/>
    <w:rsid w:val="00820ECA"/>
    <w:rsid w:val="00820F0E"/>
    <w:rsid w:val="00820FC7"/>
    <w:rsid w:val="00821199"/>
    <w:rsid w:val="00821536"/>
    <w:rsid w:val="0082160C"/>
    <w:rsid w:val="0082160F"/>
    <w:rsid w:val="00821745"/>
    <w:rsid w:val="008217A7"/>
    <w:rsid w:val="00821846"/>
    <w:rsid w:val="00821A0A"/>
    <w:rsid w:val="00821B3F"/>
    <w:rsid w:val="00821B93"/>
    <w:rsid w:val="00821BAA"/>
    <w:rsid w:val="00821ED4"/>
    <w:rsid w:val="00821F52"/>
    <w:rsid w:val="00822145"/>
    <w:rsid w:val="008222E5"/>
    <w:rsid w:val="008224DF"/>
    <w:rsid w:val="0082295F"/>
    <w:rsid w:val="00822DD4"/>
    <w:rsid w:val="00822FFF"/>
    <w:rsid w:val="008232C4"/>
    <w:rsid w:val="008233B7"/>
    <w:rsid w:val="00823438"/>
    <w:rsid w:val="00823831"/>
    <w:rsid w:val="0082386B"/>
    <w:rsid w:val="00823E43"/>
    <w:rsid w:val="00823FBD"/>
    <w:rsid w:val="00824345"/>
    <w:rsid w:val="00824467"/>
    <w:rsid w:val="008244EC"/>
    <w:rsid w:val="00824621"/>
    <w:rsid w:val="00824933"/>
    <w:rsid w:val="00824960"/>
    <w:rsid w:val="00824A5E"/>
    <w:rsid w:val="00824AA8"/>
    <w:rsid w:val="00824BBD"/>
    <w:rsid w:val="00824FA1"/>
    <w:rsid w:val="008251B3"/>
    <w:rsid w:val="0082522E"/>
    <w:rsid w:val="0082552B"/>
    <w:rsid w:val="00825610"/>
    <w:rsid w:val="008256D5"/>
    <w:rsid w:val="00825881"/>
    <w:rsid w:val="00825918"/>
    <w:rsid w:val="00825948"/>
    <w:rsid w:val="00825BC1"/>
    <w:rsid w:val="00825C5D"/>
    <w:rsid w:val="00825CB3"/>
    <w:rsid w:val="00825D66"/>
    <w:rsid w:val="00825D8D"/>
    <w:rsid w:val="008264BF"/>
    <w:rsid w:val="008265FE"/>
    <w:rsid w:val="00826763"/>
    <w:rsid w:val="008267A0"/>
    <w:rsid w:val="00826824"/>
    <w:rsid w:val="00826879"/>
    <w:rsid w:val="00826ADB"/>
    <w:rsid w:val="00826BE8"/>
    <w:rsid w:val="008271C8"/>
    <w:rsid w:val="00827265"/>
    <w:rsid w:val="00827729"/>
    <w:rsid w:val="00827754"/>
    <w:rsid w:val="00827A87"/>
    <w:rsid w:val="00830193"/>
    <w:rsid w:val="0083042C"/>
    <w:rsid w:val="00830445"/>
    <w:rsid w:val="0083056A"/>
    <w:rsid w:val="008305CA"/>
    <w:rsid w:val="008306BD"/>
    <w:rsid w:val="00830DF3"/>
    <w:rsid w:val="00830EAB"/>
    <w:rsid w:val="00831026"/>
    <w:rsid w:val="00831030"/>
    <w:rsid w:val="0083124A"/>
    <w:rsid w:val="008314DD"/>
    <w:rsid w:val="00831587"/>
    <w:rsid w:val="00831768"/>
    <w:rsid w:val="00831A80"/>
    <w:rsid w:val="00831A94"/>
    <w:rsid w:val="00831FDB"/>
    <w:rsid w:val="0083233F"/>
    <w:rsid w:val="00832498"/>
    <w:rsid w:val="008325A5"/>
    <w:rsid w:val="00832679"/>
    <w:rsid w:val="008327FE"/>
    <w:rsid w:val="0083289E"/>
    <w:rsid w:val="00832967"/>
    <w:rsid w:val="00832975"/>
    <w:rsid w:val="00832BB6"/>
    <w:rsid w:val="00832C73"/>
    <w:rsid w:val="00832DF5"/>
    <w:rsid w:val="00832E9E"/>
    <w:rsid w:val="00832F7F"/>
    <w:rsid w:val="00832F8C"/>
    <w:rsid w:val="0083309E"/>
    <w:rsid w:val="00833389"/>
    <w:rsid w:val="00833743"/>
    <w:rsid w:val="00833A4B"/>
    <w:rsid w:val="00833C6D"/>
    <w:rsid w:val="00833CD4"/>
    <w:rsid w:val="00833E93"/>
    <w:rsid w:val="008340A4"/>
    <w:rsid w:val="0083419A"/>
    <w:rsid w:val="008343EA"/>
    <w:rsid w:val="0083444B"/>
    <w:rsid w:val="00834AC2"/>
    <w:rsid w:val="00834D30"/>
    <w:rsid w:val="00834F42"/>
    <w:rsid w:val="00834F8D"/>
    <w:rsid w:val="00835565"/>
    <w:rsid w:val="0083558F"/>
    <w:rsid w:val="008358CB"/>
    <w:rsid w:val="008358D2"/>
    <w:rsid w:val="00835975"/>
    <w:rsid w:val="00835B03"/>
    <w:rsid w:val="00835DB5"/>
    <w:rsid w:val="00835EEA"/>
    <w:rsid w:val="0083601F"/>
    <w:rsid w:val="00836406"/>
    <w:rsid w:val="0083647A"/>
    <w:rsid w:val="00836720"/>
    <w:rsid w:val="00836A83"/>
    <w:rsid w:val="00836B62"/>
    <w:rsid w:val="00836E55"/>
    <w:rsid w:val="00836F4D"/>
    <w:rsid w:val="00836F61"/>
    <w:rsid w:val="00837045"/>
    <w:rsid w:val="008372EA"/>
    <w:rsid w:val="00837AD5"/>
    <w:rsid w:val="00837B81"/>
    <w:rsid w:val="00837B8A"/>
    <w:rsid w:val="00837C00"/>
    <w:rsid w:val="00837CE5"/>
    <w:rsid w:val="00837DD8"/>
    <w:rsid w:val="00837E3C"/>
    <w:rsid w:val="00837EDD"/>
    <w:rsid w:val="00837FBD"/>
    <w:rsid w:val="00840883"/>
    <w:rsid w:val="00840A51"/>
    <w:rsid w:val="00840C91"/>
    <w:rsid w:val="00840F85"/>
    <w:rsid w:val="00841120"/>
    <w:rsid w:val="008411CD"/>
    <w:rsid w:val="0084185F"/>
    <w:rsid w:val="00841BBE"/>
    <w:rsid w:val="00841D85"/>
    <w:rsid w:val="00841DFF"/>
    <w:rsid w:val="008421C0"/>
    <w:rsid w:val="00842504"/>
    <w:rsid w:val="00842780"/>
    <w:rsid w:val="00842A81"/>
    <w:rsid w:val="00842BCB"/>
    <w:rsid w:val="00842E0F"/>
    <w:rsid w:val="00842EA2"/>
    <w:rsid w:val="00843094"/>
    <w:rsid w:val="00843172"/>
    <w:rsid w:val="0084318E"/>
    <w:rsid w:val="0084335C"/>
    <w:rsid w:val="00843754"/>
    <w:rsid w:val="00843DBA"/>
    <w:rsid w:val="00843DD3"/>
    <w:rsid w:val="00843EA3"/>
    <w:rsid w:val="00843F58"/>
    <w:rsid w:val="00844078"/>
    <w:rsid w:val="00844323"/>
    <w:rsid w:val="0084446C"/>
    <w:rsid w:val="00844532"/>
    <w:rsid w:val="00844541"/>
    <w:rsid w:val="00844780"/>
    <w:rsid w:val="00844962"/>
    <w:rsid w:val="008449B0"/>
    <w:rsid w:val="00845389"/>
    <w:rsid w:val="008455C0"/>
    <w:rsid w:val="008458ED"/>
    <w:rsid w:val="00845A1A"/>
    <w:rsid w:val="00845D62"/>
    <w:rsid w:val="00845FAF"/>
    <w:rsid w:val="0084602F"/>
    <w:rsid w:val="008460C7"/>
    <w:rsid w:val="0084616F"/>
    <w:rsid w:val="008462A6"/>
    <w:rsid w:val="00846415"/>
    <w:rsid w:val="008469B4"/>
    <w:rsid w:val="00846A34"/>
    <w:rsid w:val="00846C25"/>
    <w:rsid w:val="008473FF"/>
    <w:rsid w:val="008477C7"/>
    <w:rsid w:val="00847EBC"/>
    <w:rsid w:val="00847FEA"/>
    <w:rsid w:val="008503FB"/>
    <w:rsid w:val="0085054E"/>
    <w:rsid w:val="008505BD"/>
    <w:rsid w:val="008505C3"/>
    <w:rsid w:val="008506B4"/>
    <w:rsid w:val="00850891"/>
    <w:rsid w:val="008508E9"/>
    <w:rsid w:val="00850952"/>
    <w:rsid w:val="00850968"/>
    <w:rsid w:val="00850B41"/>
    <w:rsid w:val="00850CAC"/>
    <w:rsid w:val="00850D92"/>
    <w:rsid w:val="00850DC5"/>
    <w:rsid w:val="00850EEB"/>
    <w:rsid w:val="00851115"/>
    <w:rsid w:val="00851142"/>
    <w:rsid w:val="00851256"/>
    <w:rsid w:val="0085136A"/>
    <w:rsid w:val="008513D5"/>
    <w:rsid w:val="008513F1"/>
    <w:rsid w:val="00851A0D"/>
    <w:rsid w:val="00851B88"/>
    <w:rsid w:val="00851D15"/>
    <w:rsid w:val="00851D28"/>
    <w:rsid w:val="00852094"/>
    <w:rsid w:val="0085227A"/>
    <w:rsid w:val="008524D2"/>
    <w:rsid w:val="00852542"/>
    <w:rsid w:val="00852813"/>
    <w:rsid w:val="00852835"/>
    <w:rsid w:val="00852C4B"/>
    <w:rsid w:val="008530C2"/>
    <w:rsid w:val="0085334C"/>
    <w:rsid w:val="00853D93"/>
    <w:rsid w:val="008540E5"/>
    <w:rsid w:val="0085411A"/>
    <w:rsid w:val="008542EB"/>
    <w:rsid w:val="008545AA"/>
    <w:rsid w:val="008545C1"/>
    <w:rsid w:val="008548A3"/>
    <w:rsid w:val="00854C1F"/>
    <w:rsid w:val="00854DA7"/>
    <w:rsid w:val="00855203"/>
    <w:rsid w:val="0085523B"/>
    <w:rsid w:val="008554BE"/>
    <w:rsid w:val="0085561B"/>
    <w:rsid w:val="008556C2"/>
    <w:rsid w:val="0085586B"/>
    <w:rsid w:val="00855882"/>
    <w:rsid w:val="008567A8"/>
    <w:rsid w:val="00856938"/>
    <w:rsid w:val="00856B8E"/>
    <w:rsid w:val="00856F93"/>
    <w:rsid w:val="00857066"/>
    <w:rsid w:val="00857105"/>
    <w:rsid w:val="008571F1"/>
    <w:rsid w:val="008574F0"/>
    <w:rsid w:val="00857503"/>
    <w:rsid w:val="00857567"/>
    <w:rsid w:val="00857598"/>
    <w:rsid w:val="008576EA"/>
    <w:rsid w:val="0085776E"/>
    <w:rsid w:val="00857879"/>
    <w:rsid w:val="0085792C"/>
    <w:rsid w:val="0085798E"/>
    <w:rsid w:val="00857BC1"/>
    <w:rsid w:val="00860353"/>
    <w:rsid w:val="0086059D"/>
    <w:rsid w:val="008605DA"/>
    <w:rsid w:val="00860A1A"/>
    <w:rsid w:val="00860A7C"/>
    <w:rsid w:val="00860B2E"/>
    <w:rsid w:val="00860B96"/>
    <w:rsid w:val="0086110D"/>
    <w:rsid w:val="0086131A"/>
    <w:rsid w:val="0086134B"/>
    <w:rsid w:val="0086143A"/>
    <w:rsid w:val="008614BB"/>
    <w:rsid w:val="00861962"/>
    <w:rsid w:val="008619E2"/>
    <w:rsid w:val="00861A90"/>
    <w:rsid w:val="00861BDA"/>
    <w:rsid w:val="00861FAD"/>
    <w:rsid w:val="00862115"/>
    <w:rsid w:val="008621E2"/>
    <w:rsid w:val="008622AF"/>
    <w:rsid w:val="008627F6"/>
    <w:rsid w:val="008628E4"/>
    <w:rsid w:val="008628E9"/>
    <w:rsid w:val="00862995"/>
    <w:rsid w:val="00862CA2"/>
    <w:rsid w:val="00862D6D"/>
    <w:rsid w:val="00862F5B"/>
    <w:rsid w:val="0086300D"/>
    <w:rsid w:val="0086302D"/>
    <w:rsid w:val="0086305E"/>
    <w:rsid w:val="0086325C"/>
    <w:rsid w:val="00863374"/>
    <w:rsid w:val="0086348A"/>
    <w:rsid w:val="008635C0"/>
    <w:rsid w:val="0086370B"/>
    <w:rsid w:val="00863B48"/>
    <w:rsid w:val="008646A8"/>
    <w:rsid w:val="00864782"/>
    <w:rsid w:val="00864B2B"/>
    <w:rsid w:val="00864C3B"/>
    <w:rsid w:val="00865546"/>
    <w:rsid w:val="0086559F"/>
    <w:rsid w:val="008656F4"/>
    <w:rsid w:val="008657CB"/>
    <w:rsid w:val="00865A77"/>
    <w:rsid w:val="00865D44"/>
    <w:rsid w:val="00865DD0"/>
    <w:rsid w:val="00865EF9"/>
    <w:rsid w:val="00866564"/>
    <w:rsid w:val="00866610"/>
    <w:rsid w:val="0086683B"/>
    <w:rsid w:val="00866A90"/>
    <w:rsid w:val="00866FE8"/>
    <w:rsid w:val="0086718D"/>
    <w:rsid w:val="00867274"/>
    <w:rsid w:val="008674CC"/>
    <w:rsid w:val="00867577"/>
    <w:rsid w:val="0086762B"/>
    <w:rsid w:val="00867841"/>
    <w:rsid w:val="0086787F"/>
    <w:rsid w:val="00867A09"/>
    <w:rsid w:val="00867C01"/>
    <w:rsid w:val="00867DEF"/>
    <w:rsid w:val="008701C6"/>
    <w:rsid w:val="0087036A"/>
    <w:rsid w:val="008703C7"/>
    <w:rsid w:val="008704C6"/>
    <w:rsid w:val="008707CA"/>
    <w:rsid w:val="008707F0"/>
    <w:rsid w:val="008708EE"/>
    <w:rsid w:val="00870BC7"/>
    <w:rsid w:val="00870C6C"/>
    <w:rsid w:val="00870D24"/>
    <w:rsid w:val="00870D74"/>
    <w:rsid w:val="00870F21"/>
    <w:rsid w:val="00870FDC"/>
    <w:rsid w:val="00870FE7"/>
    <w:rsid w:val="008711C9"/>
    <w:rsid w:val="0087135F"/>
    <w:rsid w:val="008713A6"/>
    <w:rsid w:val="008714BD"/>
    <w:rsid w:val="008714F0"/>
    <w:rsid w:val="0087162E"/>
    <w:rsid w:val="00871801"/>
    <w:rsid w:val="008719D2"/>
    <w:rsid w:val="00871A09"/>
    <w:rsid w:val="00871A5E"/>
    <w:rsid w:val="00871B61"/>
    <w:rsid w:val="00871C79"/>
    <w:rsid w:val="00871DD5"/>
    <w:rsid w:val="00871F91"/>
    <w:rsid w:val="00871F9B"/>
    <w:rsid w:val="008720DB"/>
    <w:rsid w:val="00872330"/>
    <w:rsid w:val="00872747"/>
    <w:rsid w:val="008727FC"/>
    <w:rsid w:val="00872937"/>
    <w:rsid w:val="00872BF8"/>
    <w:rsid w:val="00872C69"/>
    <w:rsid w:val="00872C6A"/>
    <w:rsid w:val="00872D91"/>
    <w:rsid w:val="00872D94"/>
    <w:rsid w:val="00872DED"/>
    <w:rsid w:val="00873140"/>
    <w:rsid w:val="00873185"/>
    <w:rsid w:val="00873621"/>
    <w:rsid w:val="0087392A"/>
    <w:rsid w:val="00873A11"/>
    <w:rsid w:val="00873AA7"/>
    <w:rsid w:val="00873DF8"/>
    <w:rsid w:val="00873F4A"/>
    <w:rsid w:val="0087424A"/>
    <w:rsid w:val="00874281"/>
    <w:rsid w:val="0087429F"/>
    <w:rsid w:val="0087466C"/>
    <w:rsid w:val="00874838"/>
    <w:rsid w:val="00874D17"/>
    <w:rsid w:val="00875042"/>
    <w:rsid w:val="0087521A"/>
    <w:rsid w:val="0087521D"/>
    <w:rsid w:val="008754A3"/>
    <w:rsid w:val="0087558C"/>
    <w:rsid w:val="00875649"/>
    <w:rsid w:val="00875687"/>
    <w:rsid w:val="00875723"/>
    <w:rsid w:val="0087572F"/>
    <w:rsid w:val="0087581E"/>
    <w:rsid w:val="00875843"/>
    <w:rsid w:val="0087588E"/>
    <w:rsid w:val="00875B4B"/>
    <w:rsid w:val="00875CC8"/>
    <w:rsid w:val="00875CDC"/>
    <w:rsid w:val="00875FAF"/>
    <w:rsid w:val="00876207"/>
    <w:rsid w:val="0087658F"/>
    <w:rsid w:val="00876644"/>
    <w:rsid w:val="0087671B"/>
    <w:rsid w:val="008767AF"/>
    <w:rsid w:val="0087688B"/>
    <w:rsid w:val="00876A4E"/>
    <w:rsid w:val="00876B93"/>
    <w:rsid w:val="0087700C"/>
    <w:rsid w:val="00877492"/>
    <w:rsid w:val="008774C4"/>
    <w:rsid w:val="00877686"/>
    <w:rsid w:val="008778C9"/>
    <w:rsid w:val="0087792B"/>
    <w:rsid w:val="00877BFB"/>
    <w:rsid w:val="00877D60"/>
    <w:rsid w:val="00877DB2"/>
    <w:rsid w:val="00877F32"/>
    <w:rsid w:val="00880294"/>
    <w:rsid w:val="00880364"/>
    <w:rsid w:val="0088040D"/>
    <w:rsid w:val="00880676"/>
    <w:rsid w:val="008808A6"/>
    <w:rsid w:val="008809CA"/>
    <w:rsid w:val="00880A29"/>
    <w:rsid w:val="00880AD8"/>
    <w:rsid w:val="00880BF4"/>
    <w:rsid w:val="00880E39"/>
    <w:rsid w:val="00880F71"/>
    <w:rsid w:val="00880FA4"/>
    <w:rsid w:val="0088104F"/>
    <w:rsid w:val="00881062"/>
    <w:rsid w:val="0088118C"/>
    <w:rsid w:val="008814A7"/>
    <w:rsid w:val="00881541"/>
    <w:rsid w:val="008815A4"/>
    <w:rsid w:val="00881AF8"/>
    <w:rsid w:val="00881E92"/>
    <w:rsid w:val="00882036"/>
    <w:rsid w:val="00882078"/>
    <w:rsid w:val="008825DB"/>
    <w:rsid w:val="008827C0"/>
    <w:rsid w:val="00882844"/>
    <w:rsid w:val="00882978"/>
    <w:rsid w:val="00882D5D"/>
    <w:rsid w:val="00883173"/>
    <w:rsid w:val="008832D9"/>
    <w:rsid w:val="008833FF"/>
    <w:rsid w:val="00883540"/>
    <w:rsid w:val="008836D1"/>
    <w:rsid w:val="008836F8"/>
    <w:rsid w:val="00883805"/>
    <w:rsid w:val="008838D3"/>
    <w:rsid w:val="008838F9"/>
    <w:rsid w:val="00883A50"/>
    <w:rsid w:val="00883A6F"/>
    <w:rsid w:val="00883B68"/>
    <w:rsid w:val="00883F79"/>
    <w:rsid w:val="00884486"/>
    <w:rsid w:val="0088472E"/>
    <w:rsid w:val="00884874"/>
    <w:rsid w:val="00884AAC"/>
    <w:rsid w:val="00884BA9"/>
    <w:rsid w:val="00884DA8"/>
    <w:rsid w:val="00884E4F"/>
    <w:rsid w:val="00884EE7"/>
    <w:rsid w:val="008851C1"/>
    <w:rsid w:val="0088581B"/>
    <w:rsid w:val="008859F0"/>
    <w:rsid w:val="00885A5C"/>
    <w:rsid w:val="00885DA7"/>
    <w:rsid w:val="00885F7C"/>
    <w:rsid w:val="0088612F"/>
    <w:rsid w:val="008862E9"/>
    <w:rsid w:val="00886322"/>
    <w:rsid w:val="008863CA"/>
    <w:rsid w:val="00886494"/>
    <w:rsid w:val="00886642"/>
    <w:rsid w:val="008869AA"/>
    <w:rsid w:val="00886C49"/>
    <w:rsid w:val="00886CF7"/>
    <w:rsid w:val="00886DA2"/>
    <w:rsid w:val="00887400"/>
    <w:rsid w:val="00887541"/>
    <w:rsid w:val="00887882"/>
    <w:rsid w:val="00887A8C"/>
    <w:rsid w:val="00887AC7"/>
    <w:rsid w:val="00887D91"/>
    <w:rsid w:val="00887E8E"/>
    <w:rsid w:val="00887EF2"/>
    <w:rsid w:val="008900FC"/>
    <w:rsid w:val="0089034A"/>
    <w:rsid w:val="00890623"/>
    <w:rsid w:val="008907F4"/>
    <w:rsid w:val="00890A76"/>
    <w:rsid w:val="00890C52"/>
    <w:rsid w:val="00890CF0"/>
    <w:rsid w:val="00891017"/>
    <w:rsid w:val="00891219"/>
    <w:rsid w:val="00891398"/>
    <w:rsid w:val="008913C9"/>
    <w:rsid w:val="00891592"/>
    <w:rsid w:val="0089181C"/>
    <w:rsid w:val="008918F5"/>
    <w:rsid w:val="00891E73"/>
    <w:rsid w:val="00891E9E"/>
    <w:rsid w:val="00892411"/>
    <w:rsid w:val="008925B3"/>
    <w:rsid w:val="008925B6"/>
    <w:rsid w:val="008925BF"/>
    <w:rsid w:val="008926FE"/>
    <w:rsid w:val="008927ED"/>
    <w:rsid w:val="00892D72"/>
    <w:rsid w:val="00892F7F"/>
    <w:rsid w:val="008930F4"/>
    <w:rsid w:val="0089359C"/>
    <w:rsid w:val="00893679"/>
    <w:rsid w:val="0089369C"/>
    <w:rsid w:val="00893D58"/>
    <w:rsid w:val="00893D95"/>
    <w:rsid w:val="00894012"/>
    <w:rsid w:val="0089429C"/>
    <w:rsid w:val="00894382"/>
    <w:rsid w:val="008945AC"/>
    <w:rsid w:val="008947FA"/>
    <w:rsid w:val="008948E1"/>
    <w:rsid w:val="0089492E"/>
    <w:rsid w:val="0089493C"/>
    <w:rsid w:val="00894F30"/>
    <w:rsid w:val="008952B2"/>
    <w:rsid w:val="00895AE2"/>
    <w:rsid w:val="00895E4D"/>
    <w:rsid w:val="00896106"/>
    <w:rsid w:val="008962BF"/>
    <w:rsid w:val="008963D3"/>
    <w:rsid w:val="008966C6"/>
    <w:rsid w:val="008966D5"/>
    <w:rsid w:val="00896B12"/>
    <w:rsid w:val="00896B9B"/>
    <w:rsid w:val="00896FD9"/>
    <w:rsid w:val="008970A6"/>
    <w:rsid w:val="008970E2"/>
    <w:rsid w:val="00897118"/>
    <w:rsid w:val="00897282"/>
    <w:rsid w:val="00897446"/>
    <w:rsid w:val="008974A7"/>
    <w:rsid w:val="008977EF"/>
    <w:rsid w:val="00897CFD"/>
    <w:rsid w:val="008A0661"/>
    <w:rsid w:val="008A0748"/>
    <w:rsid w:val="008A0B6A"/>
    <w:rsid w:val="008A0C65"/>
    <w:rsid w:val="008A0EBE"/>
    <w:rsid w:val="008A1038"/>
    <w:rsid w:val="008A104E"/>
    <w:rsid w:val="008A10FD"/>
    <w:rsid w:val="008A10FF"/>
    <w:rsid w:val="008A131F"/>
    <w:rsid w:val="008A158A"/>
    <w:rsid w:val="008A16C5"/>
    <w:rsid w:val="008A16EC"/>
    <w:rsid w:val="008A16F5"/>
    <w:rsid w:val="008A189A"/>
    <w:rsid w:val="008A18D8"/>
    <w:rsid w:val="008A18F8"/>
    <w:rsid w:val="008A1933"/>
    <w:rsid w:val="008A1A7B"/>
    <w:rsid w:val="008A1DC5"/>
    <w:rsid w:val="008A2207"/>
    <w:rsid w:val="008A2784"/>
    <w:rsid w:val="008A2B49"/>
    <w:rsid w:val="008A2B90"/>
    <w:rsid w:val="008A2BFF"/>
    <w:rsid w:val="008A2CEC"/>
    <w:rsid w:val="008A2F42"/>
    <w:rsid w:val="008A2F68"/>
    <w:rsid w:val="008A2F83"/>
    <w:rsid w:val="008A3049"/>
    <w:rsid w:val="008A32DC"/>
    <w:rsid w:val="008A360B"/>
    <w:rsid w:val="008A3BD6"/>
    <w:rsid w:val="008A3E95"/>
    <w:rsid w:val="008A3EDA"/>
    <w:rsid w:val="008A3EFE"/>
    <w:rsid w:val="008A3F32"/>
    <w:rsid w:val="008A4047"/>
    <w:rsid w:val="008A4221"/>
    <w:rsid w:val="008A4265"/>
    <w:rsid w:val="008A44A5"/>
    <w:rsid w:val="008A455D"/>
    <w:rsid w:val="008A4652"/>
    <w:rsid w:val="008A4A2B"/>
    <w:rsid w:val="008A4A97"/>
    <w:rsid w:val="008A4BBE"/>
    <w:rsid w:val="008A4D3A"/>
    <w:rsid w:val="008A50E4"/>
    <w:rsid w:val="008A514B"/>
    <w:rsid w:val="008A5216"/>
    <w:rsid w:val="008A55E0"/>
    <w:rsid w:val="008A5793"/>
    <w:rsid w:val="008A57D8"/>
    <w:rsid w:val="008A57F7"/>
    <w:rsid w:val="008A58DE"/>
    <w:rsid w:val="008A59E5"/>
    <w:rsid w:val="008A5C1E"/>
    <w:rsid w:val="008A5D7A"/>
    <w:rsid w:val="008A6056"/>
    <w:rsid w:val="008A612F"/>
    <w:rsid w:val="008A6575"/>
    <w:rsid w:val="008A6D64"/>
    <w:rsid w:val="008A6FC2"/>
    <w:rsid w:val="008A719D"/>
    <w:rsid w:val="008A77B9"/>
    <w:rsid w:val="008A7838"/>
    <w:rsid w:val="008A78B1"/>
    <w:rsid w:val="008A7A0E"/>
    <w:rsid w:val="008A7FBF"/>
    <w:rsid w:val="008B028B"/>
    <w:rsid w:val="008B02CC"/>
    <w:rsid w:val="008B0E27"/>
    <w:rsid w:val="008B119D"/>
    <w:rsid w:val="008B127F"/>
    <w:rsid w:val="008B12DB"/>
    <w:rsid w:val="008B1435"/>
    <w:rsid w:val="008B14BA"/>
    <w:rsid w:val="008B14DF"/>
    <w:rsid w:val="008B152E"/>
    <w:rsid w:val="008B162B"/>
    <w:rsid w:val="008B1C1F"/>
    <w:rsid w:val="008B1D8C"/>
    <w:rsid w:val="008B1ED9"/>
    <w:rsid w:val="008B202D"/>
    <w:rsid w:val="008B207B"/>
    <w:rsid w:val="008B21A9"/>
    <w:rsid w:val="008B221A"/>
    <w:rsid w:val="008B23DE"/>
    <w:rsid w:val="008B27BB"/>
    <w:rsid w:val="008B296B"/>
    <w:rsid w:val="008B2BDE"/>
    <w:rsid w:val="008B2CDF"/>
    <w:rsid w:val="008B2E79"/>
    <w:rsid w:val="008B2EAA"/>
    <w:rsid w:val="008B315E"/>
    <w:rsid w:val="008B31E7"/>
    <w:rsid w:val="008B3511"/>
    <w:rsid w:val="008B355E"/>
    <w:rsid w:val="008B377A"/>
    <w:rsid w:val="008B37C1"/>
    <w:rsid w:val="008B4027"/>
    <w:rsid w:val="008B41D0"/>
    <w:rsid w:val="008B425C"/>
    <w:rsid w:val="008B42D6"/>
    <w:rsid w:val="008B44F6"/>
    <w:rsid w:val="008B46A7"/>
    <w:rsid w:val="008B4750"/>
    <w:rsid w:val="008B4829"/>
    <w:rsid w:val="008B4A9A"/>
    <w:rsid w:val="008B4DEC"/>
    <w:rsid w:val="008B4F09"/>
    <w:rsid w:val="008B4FA6"/>
    <w:rsid w:val="008B503A"/>
    <w:rsid w:val="008B507C"/>
    <w:rsid w:val="008B5195"/>
    <w:rsid w:val="008B5282"/>
    <w:rsid w:val="008B5312"/>
    <w:rsid w:val="008B55CD"/>
    <w:rsid w:val="008B5C52"/>
    <w:rsid w:val="008B5DA9"/>
    <w:rsid w:val="008B60E7"/>
    <w:rsid w:val="008B6200"/>
    <w:rsid w:val="008B6243"/>
    <w:rsid w:val="008B64CD"/>
    <w:rsid w:val="008B682D"/>
    <w:rsid w:val="008B6B1A"/>
    <w:rsid w:val="008B6C5F"/>
    <w:rsid w:val="008B6CBE"/>
    <w:rsid w:val="008B7006"/>
    <w:rsid w:val="008B702C"/>
    <w:rsid w:val="008B706C"/>
    <w:rsid w:val="008B70A7"/>
    <w:rsid w:val="008B71E3"/>
    <w:rsid w:val="008B73ED"/>
    <w:rsid w:val="008B749E"/>
    <w:rsid w:val="008B7506"/>
    <w:rsid w:val="008B778E"/>
    <w:rsid w:val="008B77AD"/>
    <w:rsid w:val="008B799A"/>
    <w:rsid w:val="008B79D0"/>
    <w:rsid w:val="008B7C17"/>
    <w:rsid w:val="008B7D5F"/>
    <w:rsid w:val="008C01A0"/>
    <w:rsid w:val="008C0790"/>
    <w:rsid w:val="008C08EF"/>
    <w:rsid w:val="008C090A"/>
    <w:rsid w:val="008C0C7F"/>
    <w:rsid w:val="008C10BF"/>
    <w:rsid w:val="008C1380"/>
    <w:rsid w:val="008C1491"/>
    <w:rsid w:val="008C14E4"/>
    <w:rsid w:val="008C18D0"/>
    <w:rsid w:val="008C1A22"/>
    <w:rsid w:val="008C1A56"/>
    <w:rsid w:val="008C1A58"/>
    <w:rsid w:val="008C1AA7"/>
    <w:rsid w:val="008C1E53"/>
    <w:rsid w:val="008C1FFF"/>
    <w:rsid w:val="008C2746"/>
    <w:rsid w:val="008C2C68"/>
    <w:rsid w:val="008C2D01"/>
    <w:rsid w:val="008C2FD7"/>
    <w:rsid w:val="008C33DF"/>
    <w:rsid w:val="008C379B"/>
    <w:rsid w:val="008C3A04"/>
    <w:rsid w:val="008C3A50"/>
    <w:rsid w:val="008C3D5D"/>
    <w:rsid w:val="008C409C"/>
    <w:rsid w:val="008C40E6"/>
    <w:rsid w:val="008C42BA"/>
    <w:rsid w:val="008C497F"/>
    <w:rsid w:val="008C4B02"/>
    <w:rsid w:val="008C4B3A"/>
    <w:rsid w:val="008C4E37"/>
    <w:rsid w:val="008C4F84"/>
    <w:rsid w:val="008C5173"/>
    <w:rsid w:val="008C518A"/>
    <w:rsid w:val="008C5310"/>
    <w:rsid w:val="008C53DE"/>
    <w:rsid w:val="008C5465"/>
    <w:rsid w:val="008C57CC"/>
    <w:rsid w:val="008C583C"/>
    <w:rsid w:val="008C594B"/>
    <w:rsid w:val="008C5ABA"/>
    <w:rsid w:val="008C5B31"/>
    <w:rsid w:val="008C5CED"/>
    <w:rsid w:val="008C5DA0"/>
    <w:rsid w:val="008C62D8"/>
    <w:rsid w:val="008C666E"/>
    <w:rsid w:val="008C66B5"/>
    <w:rsid w:val="008C697A"/>
    <w:rsid w:val="008C69A6"/>
    <w:rsid w:val="008C69B2"/>
    <w:rsid w:val="008C6A17"/>
    <w:rsid w:val="008C7005"/>
    <w:rsid w:val="008C713C"/>
    <w:rsid w:val="008C740B"/>
    <w:rsid w:val="008C7429"/>
    <w:rsid w:val="008C76F9"/>
    <w:rsid w:val="008C7744"/>
    <w:rsid w:val="008C77A9"/>
    <w:rsid w:val="008C7930"/>
    <w:rsid w:val="008C79DF"/>
    <w:rsid w:val="008C7D78"/>
    <w:rsid w:val="008C7DEA"/>
    <w:rsid w:val="008C7F27"/>
    <w:rsid w:val="008D0387"/>
    <w:rsid w:val="008D0B2C"/>
    <w:rsid w:val="008D0F7A"/>
    <w:rsid w:val="008D108E"/>
    <w:rsid w:val="008D1202"/>
    <w:rsid w:val="008D1399"/>
    <w:rsid w:val="008D13F0"/>
    <w:rsid w:val="008D14DA"/>
    <w:rsid w:val="008D18A0"/>
    <w:rsid w:val="008D206B"/>
    <w:rsid w:val="008D2374"/>
    <w:rsid w:val="008D2790"/>
    <w:rsid w:val="008D2B19"/>
    <w:rsid w:val="008D2BE8"/>
    <w:rsid w:val="008D2E0D"/>
    <w:rsid w:val="008D3165"/>
    <w:rsid w:val="008D34C9"/>
    <w:rsid w:val="008D3634"/>
    <w:rsid w:val="008D372D"/>
    <w:rsid w:val="008D3D22"/>
    <w:rsid w:val="008D3D93"/>
    <w:rsid w:val="008D3E9B"/>
    <w:rsid w:val="008D3EE3"/>
    <w:rsid w:val="008D40B4"/>
    <w:rsid w:val="008D42B0"/>
    <w:rsid w:val="008D445A"/>
    <w:rsid w:val="008D46F5"/>
    <w:rsid w:val="008D47DB"/>
    <w:rsid w:val="008D48F7"/>
    <w:rsid w:val="008D4BF8"/>
    <w:rsid w:val="008D4C06"/>
    <w:rsid w:val="008D54A3"/>
    <w:rsid w:val="008D54D9"/>
    <w:rsid w:val="008D565B"/>
    <w:rsid w:val="008D57F8"/>
    <w:rsid w:val="008D5875"/>
    <w:rsid w:val="008D5BE0"/>
    <w:rsid w:val="008D5C71"/>
    <w:rsid w:val="008D63CF"/>
    <w:rsid w:val="008D647B"/>
    <w:rsid w:val="008D648F"/>
    <w:rsid w:val="008D6492"/>
    <w:rsid w:val="008D64A6"/>
    <w:rsid w:val="008D6861"/>
    <w:rsid w:val="008D68E4"/>
    <w:rsid w:val="008D6BDA"/>
    <w:rsid w:val="008D6E63"/>
    <w:rsid w:val="008D7598"/>
    <w:rsid w:val="008D7A53"/>
    <w:rsid w:val="008D7A54"/>
    <w:rsid w:val="008D7D23"/>
    <w:rsid w:val="008D7DCA"/>
    <w:rsid w:val="008D7EFA"/>
    <w:rsid w:val="008D7F6C"/>
    <w:rsid w:val="008E0125"/>
    <w:rsid w:val="008E02ED"/>
    <w:rsid w:val="008E0506"/>
    <w:rsid w:val="008E07C5"/>
    <w:rsid w:val="008E07C8"/>
    <w:rsid w:val="008E0853"/>
    <w:rsid w:val="008E09DD"/>
    <w:rsid w:val="008E0AA6"/>
    <w:rsid w:val="008E0ACE"/>
    <w:rsid w:val="008E0CFF"/>
    <w:rsid w:val="008E0DF8"/>
    <w:rsid w:val="008E0EBB"/>
    <w:rsid w:val="008E10A9"/>
    <w:rsid w:val="008E1F6A"/>
    <w:rsid w:val="008E2691"/>
    <w:rsid w:val="008E2792"/>
    <w:rsid w:val="008E284F"/>
    <w:rsid w:val="008E2A01"/>
    <w:rsid w:val="008E2AA8"/>
    <w:rsid w:val="008E2BC7"/>
    <w:rsid w:val="008E2DA9"/>
    <w:rsid w:val="008E2F47"/>
    <w:rsid w:val="008E33DB"/>
    <w:rsid w:val="008E350E"/>
    <w:rsid w:val="008E35E1"/>
    <w:rsid w:val="008E388D"/>
    <w:rsid w:val="008E3A21"/>
    <w:rsid w:val="008E3AF5"/>
    <w:rsid w:val="008E3B2C"/>
    <w:rsid w:val="008E3E02"/>
    <w:rsid w:val="008E3FAF"/>
    <w:rsid w:val="008E42AF"/>
    <w:rsid w:val="008E430B"/>
    <w:rsid w:val="008E465C"/>
    <w:rsid w:val="008E47B0"/>
    <w:rsid w:val="008E4AC1"/>
    <w:rsid w:val="008E4CEC"/>
    <w:rsid w:val="008E4DAD"/>
    <w:rsid w:val="008E4DD6"/>
    <w:rsid w:val="008E4E63"/>
    <w:rsid w:val="008E4E91"/>
    <w:rsid w:val="008E4ED7"/>
    <w:rsid w:val="008E54E2"/>
    <w:rsid w:val="008E567A"/>
    <w:rsid w:val="008E5734"/>
    <w:rsid w:val="008E5799"/>
    <w:rsid w:val="008E5B2E"/>
    <w:rsid w:val="008E5D6B"/>
    <w:rsid w:val="008E60DC"/>
    <w:rsid w:val="008E61E6"/>
    <w:rsid w:val="008E68C9"/>
    <w:rsid w:val="008E6E76"/>
    <w:rsid w:val="008E73FA"/>
    <w:rsid w:val="008E7534"/>
    <w:rsid w:val="008E75A2"/>
    <w:rsid w:val="008E762D"/>
    <w:rsid w:val="008E76F0"/>
    <w:rsid w:val="008E791E"/>
    <w:rsid w:val="008E793E"/>
    <w:rsid w:val="008E79BC"/>
    <w:rsid w:val="008E7DAE"/>
    <w:rsid w:val="008E7E29"/>
    <w:rsid w:val="008F017A"/>
    <w:rsid w:val="008F01F5"/>
    <w:rsid w:val="008F03D2"/>
    <w:rsid w:val="008F05D3"/>
    <w:rsid w:val="008F0788"/>
    <w:rsid w:val="008F089E"/>
    <w:rsid w:val="008F0948"/>
    <w:rsid w:val="008F0B39"/>
    <w:rsid w:val="008F0CF4"/>
    <w:rsid w:val="008F0DB8"/>
    <w:rsid w:val="008F0FF3"/>
    <w:rsid w:val="008F122C"/>
    <w:rsid w:val="008F12B8"/>
    <w:rsid w:val="008F12B9"/>
    <w:rsid w:val="008F12F0"/>
    <w:rsid w:val="008F14A6"/>
    <w:rsid w:val="008F15FE"/>
    <w:rsid w:val="008F1BB4"/>
    <w:rsid w:val="008F20EE"/>
    <w:rsid w:val="008F2450"/>
    <w:rsid w:val="008F25B5"/>
    <w:rsid w:val="008F25F3"/>
    <w:rsid w:val="008F2666"/>
    <w:rsid w:val="008F271E"/>
    <w:rsid w:val="008F28A4"/>
    <w:rsid w:val="008F2ACE"/>
    <w:rsid w:val="008F2C79"/>
    <w:rsid w:val="008F2D29"/>
    <w:rsid w:val="008F2D57"/>
    <w:rsid w:val="008F2F3D"/>
    <w:rsid w:val="008F2FCF"/>
    <w:rsid w:val="008F3049"/>
    <w:rsid w:val="008F315E"/>
    <w:rsid w:val="008F3212"/>
    <w:rsid w:val="008F32C8"/>
    <w:rsid w:val="008F3339"/>
    <w:rsid w:val="008F343E"/>
    <w:rsid w:val="008F36A0"/>
    <w:rsid w:val="008F395C"/>
    <w:rsid w:val="008F3B5C"/>
    <w:rsid w:val="008F3B73"/>
    <w:rsid w:val="008F3CD5"/>
    <w:rsid w:val="008F412D"/>
    <w:rsid w:val="008F4395"/>
    <w:rsid w:val="008F4431"/>
    <w:rsid w:val="008F44F9"/>
    <w:rsid w:val="008F4F7B"/>
    <w:rsid w:val="008F4FB2"/>
    <w:rsid w:val="008F5116"/>
    <w:rsid w:val="008F5187"/>
    <w:rsid w:val="008F5303"/>
    <w:rsid w:val="008F5384"/>
    <w:rsid w:val="008F54C9"/>
    <w:rsid w:val="008F5816"/>
    <w:rsid w:val="008F5BC7"/>
    <w:rsid w:val="008F5FE9"/>
    <w:rsid w:val="008F60D8"/>
    <w:rsid w:val="008F614A"/>
    <w:rsid w:val="008F6158"/>
    <w:rsid w:val="008F618B"/>
    <w:rsid w:val="008F61BF"/>
    <w:rsid w:val="008F61CF"/>
    <w:rsid w:val="008F628A"/>
    <w:rsid w:val="008F6A6C"/>
    <w:rsid w:val="008F6B9C"/>
    <w:rsid w:val="008F6DF1"/>
    <w:rsid w:val="008F6DFE"/>
    <w:rsid w:val="008F6E62"/>
    <w:rsid w:val="008F7130"/>
    <w:rsid w:val="008F71DA"/>
    <w:rsid w:val="008F755E"/>
    <w:rsid w:val="008F771A"/>
    <w:rsid w:val="008F78BE"/>
    <w:rsid w:val="008F78E8"/>
    <w:rsid w:val="008F79E9"/>
    <w:rsid w:val="008F7ABB"/>
    <w:rsid w:val="008F7B78"/>
    <w:rsid w:val="009001A7"/>
    <w:rsid w:val="009002C9"/>
    <w:rsid w:val="0090054F"/>
    <w:rsid w:val="00900895"/>
    <w:rsid w:val="00900ACC"/>
    <w:rsid w:val="00900CD1"/>
    <w:rsid w:val="00900EF1"/>
    <w:rsid w:val="00901358"/>
    <w:rsid w:val="00901422"/>
    <w:rsid w:val="00901526"/>
    <w:rsid w:val="0090165B"/>
    <w:rsid w:val="0090172E"/>
    <w:rsid w:val="00901A79"/>
    <w:rsid w:val="00901E82"/>
    <w:rsid w:val="00901EE6"/>
    <w:rsid w:val="00901F05"/>
    <w:rsid w:val="00901F90"/>
    <w:rsid w:val="00901FEE"/>
    <w:rsid w:val="009021C3"/>
    <w:rsid w:val="00902381"/>
    <w:rsid w:val="0090243B"/>
    <w:rsid w:val="00902727"/>
    <w:rsid w:val="00902C23"/>
    <w:rsid w:val="00902FCF"/>
    <w:rsid w:val="0090312B"/>
    <w:rsid w:val="00903176"/>
    <w:rsid w:val="009032DD"/>
    <w:rsid w:val="009034B1"/>
    <w:rsid w:val="00903567"/>
    <w:rsid w:val="0090365D"/>
    <w:rsid w:val="0090375E"/>
    <w:rsid w:val="009037C2"/>
    <w:rsid w:val="00903D78"/>
    <w:rsid w:val="009041C6"/>
    <w:rsid w:val="009043E5"/>
    <w:rsid w:val="0090449A"/>
    <w:rsid w:val="009045D6"/>
    <w:rsid w:val="009045E7"/>
    <w:rsid w:val="0090466F"/>
    <w:rsid w:val="009047B1"/>
    <w:rsid w:val="00904808"/>
    <w:rsid w:val="0090484D"/>
    <w:rsid w:val="0090487E"/>
    <w:rsid w:val="00904939"/>
    <w:rsid w:val="00904A55"/>
    <w:rsid w:val="00904B3A"/>
    <w:rsid w:val="00904B6C"/>
    <w:rsid w:val="00904B79"/>
    <w:rsid w:val="00904DC9"/>
    <w:rsid w:val="00904F13"/>
    <w:rsid w:val="00904F2E"/>
    <w:rsid w:val="00904F5A"/>
    <w:rsid w:val="00904FDA"/>
    <w:rsid w:val="00905469"/>
    <w:rsid w:val="0090558A"/>
    <w:rsid w:val="0090583A"/>
    <w:rsid w:val="0090601F"/>
    <w:rsid w:val="009060B1"/>
    <w:rsid w:val="0090618B"/>
    <w:rsid w:val="009061A2"/>
    <w:rsid w:val="009062C2"/>
    <w:rsid w:val="00906397"/>
    <w:rsid w:val="009064AF"/>
    <w:rsid w:val="009065BB"/>
    <w:rsid w:val="009066DB"/>
    <w:rsid w:val="0090670F"/>
    <w:rsid w:val="009067AD"/>
    <w:rsid w:val="009068B9"/>
    <w:rsid w:val="009068C1"/>
    <w:rsid w:val="0090695E"/>
    <w:rsid w:val="00906D1B"/>
    <w:rsid w:val="00907142"/>
    <w:rsid w:val="009071BF"/>
    <w:rsid w:val="009072B8"/>
    <w:rsid w:val="0090731D"/>
    <w:rsid w:val="009075BD"/>
    <w:rsid w:val="0090774A"/>
    <w:rsid w:val="00907876"/>
    <w:rsid w:val="00907C9E"/>
    <w:rsid w:val="00907DCE"/>
    <w:rsid w:val="00907EC1"/>
    <w:rsid w:val="009101AC"/>
    <w:rsid w:val="009101CA"/>
    <w:rsid w:val="009101D5"/>
    <w:rsid w:val="0091031A"/>
    <w:rsid w:val="00910799"/>
    <w:rsid w:val="009108E0"/>
    <w:rsid w:val="00910BE1"/>
    <w:rsid w:val="00910ECE"/>
    <w:rsid w:val="00911175"/>
    <w:rsid w:val="009111F8"/>
    <w:rsid w:val="009112C7"/>
    <w:rsid w:val="00911639"/>
    <w:rsid w:val="009116D5"/>
    <w:rsid w:val="009116F2"/>
    <w:rsid w:val="009117E7"/>
    <w:rsid w:val="00911928"/>
    <w:rsid w:val="0091201B"/>
    <w:rsid w:val="0091203B"/>
    <w:rsid w:val="0091227B"/>
    <w:rsid w:val="00912657"/>
    <w:rsid w:val="00913147"/>
    <w:rsid w:val="00913702"/>
    <w:rsid w:val="0091381A"/>
    <w:rsid w:val="009139A9"/>
    <w:rsid w:val="00913B7B"/>
    <w:rsid w:val="00913D27"/>
    <w:rsid w:val="00913F7E"/>
    <w:rsid w:val="00914394"/>
    <w:rsid w:val="00914423"/>
    <w:rsid w:val="00914548"/>
    <w:rsid w:val="009146DE"/>
    <w:rsid w:val="0091471A"/>
    <w:rsid w:val="00914756"/>
    <w:rsid w:val="00914794"/>
    <w:rsid w:val="00914872"/>
    <w:rsid w:val="00914942"/>
    <w:rsid w:val="00914E1D"/>
    <w:rsid w:val="00914E56"/>
    <w:rsid w:val="00915119"/>
    <w:rsid w:val="0091528A"/>
    <w:rsid w:val="009152CC"/>
    <w:rsid w:val="00915441"/>
    <w:rsid w:val="0091569A"/>
    <w:rsid w:val="009157F7"/>
    <w:rsid w:val="00915867"/>
    <w:rsid w:val="009158A4"/>
    <w:rsid w:val="009159F8"/>
    <w:rsid w:val="00915A95"/>
    <w:rsid w:val="00915FD7"/>
    <w:rsid w:val="00916434"/>
    <w:rsid w:val="009164DE"/>
    <w:rsid w:val="00916526"/>
    <w:rsid w:val="00916A76"/>
    <w:rsid w:val="00916FC3"/>
    <w:rsid w:val="0091736D"/>
    <w:rsid w:val="009173DA"/>
    <w:rsid w:val="009173EE"/>
    <w:rsid w:val="009174D0"/>
    <w:rsid w:val="009175EE"/>
    <w:rsid w:val="0091761B"/>
    <w:rsid w:val="009179BD"/>
    <w:rsid w:val="00917A85"/>
    <w:rsid w:val="00917D0B"/>
    <w:rsid w:val="00917D63"/>
    <w:rsid w:val="00917ED6"/>
    <w:rsid w:val="009201F9"/>
    <w:rsid w:val="00920227"/>
    <w:rsid w:val="009207CC"/>
    <w:rsid w:val="00920B84"/>
    <w:rsid w:val="0092124F"/>
    <w:rsid w:val="0092126B"/>
    <w:rsid w:val="009213FF"/>
    <w:rsid w:val="009214A9"/>
    <w:rsid w:val="009215B8"/>
    <w:rsid w:val="0092160D"/>
    <w:rsid w:val="00921645"/>
    <w:rsid w:val="00921824"/>
    <w:rsid w:val="009219A7"/>
    <w:rsid w:val="00921C87"/>
    <w:rsid w:val="00921CA1"/>
    <w:rsid w:val="00921EC9"/>
    <w:rsid w:val="00922371"/>
    <w:rsid w:val="0092257C"/>
    <w:rsid w:val="00922591"/>
    <w:rsid w:val="00922A67"/>
    <w:rsid w:val="00922CD7"/>
    <w:rsid w:val="00922D97"/>
    <w:rsid w:val="00922F0C"/>
    <w:rsid w:val="00923031"/>
    <w:rsid w:val="009232A1"/>
    <w:rsid w:val="0092374E"/>
    <w:rsid w:val="00923A5C"/>
    <w:rsid w:val="00923C14"/>
    <w:rsid w:val="00923D62"/>
    <w:rsid w:val="00923F36"/>
    <w:rsid w:val="00923F3B"/>
    <w:rsid w:val="00924506"/>
    <w:rsid w:val="00924570"/>
    <w:rsid w:val="009245CD"/>
    <w:rsid w:val="0092464C"/>
    <w:rsid w:val="00924E06"/>
    <w:rsid w:val="00924E3E"/>
    <w:rsid w:val="00924FF9"/>
    <w:rsid w:val="0092513E"/>
    <w:rsid w:val="0092514E"/>
    <w:rsid w:val="009252D3"/>
    <w:rsid w:val="009253C1"/>
    <w:rsid w:val="009255CA"/>
    <w:rsid w:val="00925BC0"/>
    <w:rsid w:val="00925CC3"/>
    <w:rsid w:val="00925E7D"/>
    <w:rsid w:val="00925EDA"/>
    <w:rsid w:val="009261E5"/>
    <w:rsid w:val="0092658C"/>
    <w:rsid w:val="00926673"/>
    <w:rsid w:val="009266D6"/>
    <w:rsid w:val="009268F4"/>
    <w:rsid w:val="00926934"/>
    <w:rsid w:val="00926A06"/>
    <w:rsid w:val="00926C8C"/>
    <w:rsid w:val="0092714C"/>
    <w:rsid w:val="00927295"/>
    <w:rsid w:val="00927660"/>
    <w:rsid w:val="00927705"/>
    <w:rsid w:val="00927753"/>
    <w:rsid w:val="00927966"/>
    <w:rsid w:val="00927FA0"/>
    <w:rsid w:val="0093037A"/>
    <w:rsid w:val="00930418"/>
    <w:rsid w:val="009304A5"/>
    <w:rsid w:val="00930A4A"/>
    <w:rsid w:val="00930EC4"/>
    <w:rsid w:val="00930F43"/>
    <w:rsid w:val="0093151C"/>
    <w:rsid w:val="00931887"/>
    <w:rsid w:val="00931A43"/>
    <w:rsid w:val="00931B34"/>
    <w:rsid w:val="00931B78"/>
    <w:rsid w:val="00931B85"/>
    <w:rsid w:val="00931EA8"/>
    <w:rsid w:val="00932015"/>
    <w:rsid w:val="009322A7"/>
    <w:rsid w:val="009323F5"/>
    <w:rsid w:val="0093240F"/>
    <w:rsid w:val="009324BB"/>
    <w:rsid w:val="0093293F"/>
    <w:rsid w:val="00932A0F"/>
    <w:rsid w:val="00932A85"/>
    <w:rsid w:val="00932AD7"/>
    <w:rsid w:val="00932B8E"/>
    <w:rsid w:val="00932C02"/>
    <w:rsid w:val="00932D44"/>
    <w:rsid w:val="00932F54"/>
    <w:rsid w:val="0093302A"/>
    <w:rsid w:val="009330DC"/>
    <w:rsid w:val="0093310A"/>
    <w:rsid w:val="0093314E"/>
    <w:rsid w:val="009335E0"/>
    <w:rsid w:val="00933711"/>
    <w:rsid w:val="0093380C"/>
    <w:rsid w:val="00933A98"/>
    <w:rsid w:val="00933ADD"/>
    <w:rsid w:val="00933C1C"/>
    <w:rsid w:val="00933C50"/>
    <w:rsid w:val="00933D03"/>
    <w:rsid w:val="00933D6A"/>
    <w:rsid w:val="00933DCD"/>
    <w:rsid w:val="00933FE0"/>
    <w:rsid w:val="009340B4"/>
    <w:rsid w:val="009340F6"/>
    <w:rsid w:val="00934854"/>
    <w:rsid w:val="009349F8"/>
    <w:rsid w:val="00934B79"/>
    <w:rsid w:val="0093514C"/>
    <w:rsid w:val="009357E6"/>
    <w:rsid w:val="00935B55"/>
    <w:rsid w:val="009360E0"/>
    <w:rsid w:val="00936298"/>
    <w:rsid w:val="00936307"/>
    <w:rsid w:val="00936317"/>
    <w:rsid w:val="0093642A"/>
    <w:rsid w:val="009364C3"/>
    <w:rsid w:val="00936503"/>
    <w:rsid w:val="0093651B"/>
    <w:rsid w:val="00936540"/>
    <w:rsid w:val="00936A2F"/>
    <w:rsid w:val="00936A9E"/>
    <w:rsid w:val="00936AD4"/>
    <w:rsid w:val="009371BB"/>
    <w:rsid w:val="009374BE"/>
    <w:rsid w:val="00937513"/>
    <w:rsid w:val="00937672"/>
    <w:rsid w:val="009376EE"/>
    <w:rsid w:val="00937817"/>
    <w:rsid w:val="00937987"/>
    <w:rsid w:val="00937C65"/>
    <w:rsid w:val="00937D19"/>
    <w:rsid w:val="00937DBE"/>
    <w:rsid w:val="00937F94"/>
    <w:rsid w:val="0094004A"/>
    <w:rsid w:val="009400E7"/>
    <w:rsid w:val="0094014D"/>
    <w:rsid w:val="009405FC"/>
    <w:rsid w:val="00940750"/>
    <w:rsid w:val="00940794"/>
    <w:rsid w:val="00940869"/>
    <w:rsid w:val="00941062"/>
    <w:rsid w:val="009410AE"/>
    <w:rsid w:val="0094118B"/>
    <w:rsid w:val="009414F0"/>
    <w:rsid w:val="0094154D"/>
    <w:rsid w:val="00941B2C"/>
    <w:rsid w:val="00941FFF"/>
    <w:rsid w:val="00942131"/>
    <w:rsid w:val="009423AB"/>
    <w:rsid w:val="009423B2"/>
    <w:rsid w:val="009423F0"/>
    <w:rsid w:val="009425C7"/>
    <w:rsid w:val="009427A8"/>
    <w:rsid w:val="0094295E"/>
    <w:rsid w:val="00942B3E"/>
    <w:rsid w:val="00942B4D"/>
    <w:rsid w:val="00942C65"/>
    <w:rsid w:val="00942EEE"/>
    <w:rsid w:val="00942FB0"/>
    <w:rsid w:val="00943270"/>
    <w:rsid w:val="00943275"/>
    <w:rsid w:val="009438C7"/>
    <w:rsid w:val="00943D1B"/>
    <w:rsid w:val="009440F9"/>
    <w:rsid w:val="0094434B"/>
    <w:rsid w:val="009443B1"/>
    <w:rsid w:val="00944539"/>
    <w:rsid w:val="00944783"/>
    <w:rsid w:val="00944804"/>
    <w:rsid w:val="0094484B"/>
    <w:rsid w:val="00944D4C"/>
    <w:rsid w:val="00944E4A"/>
    <w:rsid w:val="00944FA6"/>
    <w:rsid w:val="00945218"/>
    <w:rsid w:val="009456DA"/>
    <w:rsid w:val="009457ED"/>
    <w:rsid w:val="00945A8A"/>
    <w:rsid w:val="00945AC6"/>
    <w:rsid w:val="00945AF7"/>
    <w:rsid w:val="00945B20"/>
    <w:rsid w:val="00945D40"/>
    <w:rsid w:val="00945F1C"/>
    <w:rsid w:val="00945FD1"/>
    <w:rsid w:val="0094601F"/>
    <w:rsid w:val="009461D5"/>
    <w:rsid w:val="00946202"/>
    <w:rsid w:val="0094625B"/>
    <w:rsid w:val="009462CA"/>
    <w:rsid w:val="00946675"/>
    <w:rsid w:val="009468D4"/>
    <w:rsid w:val="009469EB"/>
    <w:rsid w:val="00946B71"/>
    <w:rsid w:val="00946DBF"/>
    <w:rsid w:val="00946F2E"/>
    <w:rsid w:val="0094700D"/>
    <w:rsid w:val="00947053"/>
    <w:rsid w:val="00947248"/>
    <w:rsid w:val="009472D9"/>
    <w:rsid w:val="00947341"/>
    <w:rsid w:val="0094739C"/>
    <w:rsid w:val="00947766"/>
    <w:rsid w:val="009477C3"/>
    <w:rsid w:val="00947911"/>
    <w:rsid w:val="00947913"/>
    <w:rsid w:val="00947B63"/>
    <w:rsid w:val="00950190"/>
    <w:rsid w:val="009501F1"/>
    <w:rsid w:val="009502AD"/>
    <w:rsid w:val="009504A7"/>
    <w:rsid w:val="009504B3"/>
    <w:rsid w:val="009506B1"/>
    <w:rsid w:val="00950824"/>
    <w:rsid w:val="00950835"/>
    <w:rsid w:val="00950B39"/>
    <w:rsid w:val="00950BFD"/>
    <w:rsid w:val="00950D19"/>
    <w:rsid w:val="00950DF8"/>
    <w:rsid w:val="00950ED4"/>
    <w:rsid w:val="00951189"/>
    <w:rsid w:val="009511E9"/>
    <w:rsid w:val="0095155F"/>
    <w:rsid w:val="0095159C"/>
    <w:rsid w:val="0095168E"/>
    <w:rsid w:val="0095169C"/>
    <w:rsid w:val="009516AD"/>
    <w:rsid w:val="0095198B"/>
    <w:rsid w:val="00951C25"/>
    <w:rsid w:val="00951EFB"/>
    <w:rsid w:val="00952005"/>
    <w:rsid w:val="00952347"/>
    <w:rsid w:val="009523FA"/>
    <w:rsid w:val="009525E8"/>
    <w:rsid w:val="009529C7"/>
    <w:rsid w:val="00952AEE"/>
    <w:rsid w:val="00952B53"/>
    <w:rsid w:val="00952E2B"/>
    <w:rsid w:val="00952E34"/>
    <w:rsid w:val="00952E9E"/>
    <w:rsid w:val="00952EFF"/>
    <w:rsid w:val="0095309D"/>
    <w:rsid w:val="00953114"/>
    <w:rsid w:val="00953179"/>
    <w:rsid w:val="009531C7"/>
    <w:rsid w:val="0095358C"/>
    <w:rsid w:val="00953595"/>
    <w:rsid w:val="00953688"/>
    <w:rsid w:val="0095378F"/>
    <w:rsid w:val="00953AEB"/>
    <w:rsid w:val="00954078"/>
    <w:rsid w:val="0095418C"/>
    <w:rsid w:val="00954371"/>
    <w:rsid w:val="00954429"/>
    <w:rsid w:val="00954439"/>
    <w:rsid w:val="00954768"/>
    <w:rsid w:val="00954B04"/>
    <w:rsid w:val="00954B82"/>
    <w:rsid w:val="00954D9A"/>
    <w:rsid w:val="00954FEF"/>
    <w:rsid w:val="0095544C"/>
    <w:rsid w:val="00955490"/>
    <w:rsid w:val="009555AF"/>
    <w:rsid w:val="009555CC"/>
    <w:rsid w:val="009556D5"/>
    <w:rsid w:val="00955745"/>
    <w:rsid w:val="009558F0"/>
    <w:rsid w:val="00955A10"/>
    <w:rsid w:val="00955B69"/>
    <w:rsid w:val="00955DA3"/>
    <w:rsid w:val="00955EC9"/>
    <w:rsid w:val="00955FC0"/>
    <w:rsid w:val="00955FD1"/>
    <w:rsid w:val="00955FD5"/>
    <w:rsid w:val="009561C5"/>
    <w:rsid w:val="009561E0"/>
    <w:rsid w:val="00956374"/>
    <w:rsid w:val="009563C3"/>
    <w:rsid w:val="009563CE"/>
    <w:rsid w:val="00956688"/>
    <w:rsid w:val="00956BEA"/>
    <w:rsid w:val="00956C44"/>
    <w:rsid w:val="00956EE8"/>
    <w:rsid w:val="00957414"/>
    <w:rsid w:val="009575F7"/>
    <w:rsid w:val="009578BE"/>
    <w:rsid w:val="00957B9D"/>
    <w:rsid w:val="00957E2A"/>
    <w:rsid w:val="00957E31"/>
    <w:rsid w:val="00957FA4"/>
    <w:rsid w:val="009601CD"/>
    <w:rsid w:val="00960464"/>
    <w:rsid w:val="009604D9"/>
    <w:rsid w:val="009607B7"/>
    <w:rsid w:val="0096086E"/>
    <w:rsid w:val="009608E2"/>
    <w:rsid w:val="00960B3F"/>
    <w:rsid w:val="00960BF6"/>
    <w:rsid w:val="00960CE2"/>
    <w:rsid w:val="00960D28"/>
    <w:rsid w:val="00960EA6"/>
    <w:rsid w:val="009610C0"/>
    <w:rsid w:val="009616A3"/>
    <w:rsid w:val="00961857"/>
    <w:rsid w:val="00961C5A"/>
    <w:rsid w:val="00961C7F"/>
    <w:rsid w:val="00961F97"/>
    <w:rsid w:val="0096259C"/>
    <w:rsid w:val="009629F6"/>
    <w:rsid w:val="00962C7B"/>
    <w:rsid w:val="0096300B"/>
    <w:rsid w:val="009630EF"/>
    <w:rsid w:val="00963139"/>
    <w:rsid w:val="009632F3"/>
    <w:rsid w:val="009634C2"/>
    <w:rsid w:val="0096373A"/>
    <w:rsid w:val="009639C7"/>
    <w:rsid w:val="00963CB1"/>
    <w:rsid w:val="00963E09"/>
    <w:rsid w:val="00963F78"/>
    <w:rsid w:val="0096400D"/>
    <w:rsid w:val="00964308"/>
    <w:rsid w:val="009644C5"/>
    <w:rsid w:val="009649CC"/>
    <w:rsid w:val="00964B6D"/>
    <w:rsid w:val="00964BF0"/>
    <w:rsid w:val="00964BF2"/>
    <w:rsid w:val="00964D3E"/>
    <w:rsid w:val="00964D6B"/>
    <w:rsid w:val="00965332"/>
    <w:rsid w:val="009653D1"/>
    <w:rsid w:val="00965472"/>
    <w:rsid w:val="009654E4"/>
    <w:rsid w:val="009655FE"/>
    <w:rsid w:val="00965894"/>
    <w:rsid w:val="00965989"/>
    <w:rsid w:val="009659C2"/>
    <w:rsid w:val="00965FDA"/>
    <w:rsid w:val="009661F2"/>
    <w:rsid w:val="00966417"/>
    <w:rsid w:val="0096680F"/>
    <w:rsid w:val="0096694B"/>
    <w:rsid w:val="0096694C"/>
    <w:rsid w:val="00966CE9"/>
    <w:rsid w:val="00966D2C"/>
    <w:rsid w:val="0096705A"/>
    <w:rsid w:val="009670EF"/>
    <w:rsid w:val="009677F8"/>
    <w:rsid w:val="00967A44"/>
    <w:rsid w:val="00967A68"/>
    <w:rsid w:val="00967CC2"/>
    <w:rsid w:val="00967F5C"/>
    <w:rsid w:val="009701A7"/>
    <w:rsid w:val="009702ED"/>
    <w:rsid w:val="009703FB"/>
    <w:rsid w:val="009707A6"/>
    <w:rsid w:val="009715B3"/>
    <w:rsid w:val="009717F9"/>
    <w:rsid w:val="00971DD7"/>
    <w:rsid w:val="00971FBF"/>
    <w:rsid w:val="00972116"/>
    <w:rsid w:val="00972135"/>
    <w:rsid w:val="00972155"/>
    <w:rsid w:val="0097225F"/>
    <w:rsid w:val="009723CC"/>
    <w:rsid w:val="00972633"/>
    <w:rsid w:val="00972696"/>
    <w:rsid w:val="00972BA8"/>
    <w:rsid w:val="00972C1F"/>
    <w:rsid w:val="00972EB5"/>
    <w:rsid w:val="0097308C"/>
    <w:rsid w:val="009736C7"/>
    <w:rsid w:val="0097388E"/>
    <w:rsid w:val="00973A10"/>
    <w:rsid w:val="00973D89"/>
    <w:rsid w:val="00973EA1"/>
    <w:rsid w:val="00973FAE"/>
    <w:rsid w:val="0097417C"/>
    <w:rsid w:val="009748CF"/>
    <w:rsid w:val="00974C77"/>
    <w:rsid w:val="00974CB4"/>
    <w:rsid w:val="00974CDF"/>
    <w:rsid w:val="00974F32"/>
    <w:rsid w:val="00974F8D"/>
    <w:rsid w:val="0097510B"/>
    <w:rsid w:val="009752F4"/>
    <w:rsid w:val="0097531F"/>
    <w:rsid w:val="00975386"/>
    <w:rsid w:val="00975760"/>
    <w:rsid w:val="00975797"/>
    <w:rsid w:val="009757DB"/>
    <w:rsid w:val="009757DF"/>
    <w:rsid w:val="00975897"/>
    <w:rsid w:val="0097592A"/>
    <w:rsid w:val="00975C82"/>
    <w:rsid w:val="00975DD5"/>
    <w:rsid w:val="00975DED"/>
    <w:rsid w:val="00975FFB"/>
    <w:rsid w:val="00976011"/>
    <w:rsid w:val="0097611C"/>
    <w:rsid w:val="0097614C"/>
    <w:rsid w:val="00976233"/>
    <w:rsid w:val="00976298"/>
    <w:rsid w:val="00976328"/>
    <w:rsid w:val="009763A6"/>
    <w:rsid w:val="0097680D"/>
    <w:rsid w:val="00976856"/>
    <w:rsid w:val="00976A8B"/>
    <w:rsid w:val="00976ED7"/>
    <w:rsid w:val="00976F86"/>
    <w:rsid w:val="0097764C"/>
    <w:rsid w:val="00977A58"/>
    <w:rsid w:val="00977B72"/>
    <w:rsid w:val="00977DB3"/>
    <w:rsid w:val="00977E0A"/>
    <w:rsid w:val="009800DA"/>
    <w:rsid w:val="00980153"/>
    <w:rsid w:val="00980169"/>
    <w:rsid w:val="009801DA"/>
    <w:rsid w:val="009801E1"/>
    <w:rsid w:val="009803A1"/>
    <w:rsid w:val="00980476"/>
    <w:rsid w:val="00980548"/>
    <w:rsid w:val="009809B0"/>
    <w:rsid w:val="00980A98"/>
    <w:rsid w:val="00980D31"/>
    <w:rsid w:val="00980E47"/>
    <w:rsid w:val="00981047"/>
    <w:rsid w:val="0098126B"/>
    <w:rsid w:val="00981340"/>
    <w:rsid w:val="00981A73"/>
    <w:rsid w:val="00981E05"/>
    <w:rsid w:val="00981F99"/>
    <w:rsid w:val="0098207B"/>
    <w:rsid w:val="009820D8"/>
    <w:rsid w:val="009823F3"/>
    <w:rsid w:val="00982419"/>
    <w:rsid w:val="00982438"/>
    <w:rsid w:val="00982751"/>
    <w:rsid w:val="00982E4C"/>
    <w:rsid w:val="009830C0"/>
    <w:rsid w:val="00983317"/>
    <w:rsid w:val="0098344E"/>
    <w:rsid w:val="00983577"/>
    <w:rsid w:val="009835FB"/>
    <w:rsid w:val="009836EE"/>
    <w:rsid w:val="0098374F"/>
    <w:rsid w:val="00983823"/>
    <w:rsid w:val="0098389B"/>
    <w:rsid w:val="00983BCB"/>
    <w:rsid w:val="00983CAA"/>
    <w:rsid w:val="00983D54"/>
    <w:rsid w:val="0098404C"/>
    <w:rsid w:val="00984080"/>
    <w:rsid w:val="0098468B"/>
    <w:rsid w:val="00985023"/>
    <w:rsid w:val="00985283"/>
    <w:rsid w:val="00985531"/>
    <w:rsid w:val="0098570E"/>
    <w:rsid w:val="009857BB"/>
    <w:rsid w:val="00985898"/>
    <w:rsid w:val="009858A7"/>
    <w:rsid w:val="00985AF0"/>
    <w:rsid w:val="00985EF7"/>
    <w:rsid w:val="00985FE7"/>
    <w:rsid w:val="009866DE"/>
    <w:rsid w:val="00986A6D"/>
    <w:rsid w:val="00986BDF"/>
    <w:rsid w:val="00986D97"/>
    <w:rsid w:val="0098709F"/>
    <w:rsid w:val="009870DE"/>
    <w:rsid w:val="009871CC"/>
    <w:rsid w:val="009876FD"/>
    <w:rsid w:val="00987AA6"/>
    <w:rsid w:val="00987B67"/>
    <w:rsid w:val="00987D2B"/>
    <w:rsid w:val="00987F49"/>
    <w:rsid w:val="009903F7"/>
    <w:rsid w:val="00990423"/>
    <w:rsid w:val="00990597"/>
    <w:rsid w:val="0099062F"/>
    <w:rsid w:val="00990899"/>
    <w:rsid w:val="009908D3"/>
    <w:rsid w:val="00990912"/>
    <w:rsid w:val="00990AE5"/>
    <w:rsid w:val="00990FCB"/>
    <w:rsid w:val="009910D6"/>
    <w:rsid w:val="00991130"/>
    <w:rsid w:val="00991363"/>
    <w:rsid w:val="009914FB"/>
    <w:rsid w:val="009916C2"/>
    <w:rsid w:val="00991702"/>
    <w:rsid w:val="009919ED"/>
    <w:rsid w:val="00991A41"/>
    <w:rsid w:val="00991B7F"/>
    <w:rsid w:val="0099208A"/>
    <w:rsid w:val="0099248C"/>
    <w:rsid w:val="00992C7A"/>
    <w:rsid w:val="00993007"/>
    <w:rsid w:val="00993039"/>
    <w:rsid w:val="00993149"/>
    <w:rsid w:val="009933B4"/>
    <w:rsid w:val="009933F8"/>
    <w:rsid w:val="00993765"/>
    <w:rsid w:val="00993A7E"/>
    <w:rsid w:val="00993BC3"/>
    <w:rsid w:val="00993BEE"/>
    <w:rsid w:val="00993C66"/>
    <w:rsid w:val="00993CC3"/>
    <w:rsid w:val="00993D0E"/>
    <w:rsid w:val="00993FF7"/>
    <w:rsid w:val="00994975"/>
    <w:rsid w:val="0099529C"/>
    <w:rsid w:val="009952D7"/>
    <w:rsid w:val="00995508"/>
    <w:rsid w:val="0099561C"/>
    <w:rsid w:val="00995959"/>
    <w:rsid w:val="00995992"/>
    <w:rsid w:val="009959BB"/>
    <w:rsid w:val="009959DE"/>
    <w:rsid w:val="00995A94"/>
    <w:rsid w:val="00995AFE"/>
    <w:rsid w:val="00995D49"/>
    <w:rsid w:val="00995E20"/>
    <w:rsid w:val="00995EB0"/>
    <w:rsid w:val="0099601F"/>
    <w:rsid w:val="0099629E"/>
    <w:rsid w:val="009962BD"/>
    <w:rsid w:val="0099638E"/>
    <w:rsid w:val="00996395"/>
    <w:rsid w:val="00996790"/>
    <w:rsid w:val="009967BC"/>
    <w:rsid w:val="009967CB"/>
    <w:rsid w:val="00996821"/>
    <w:rsid w:val="0099685A"/>
    <w:rsid w:val="00996A56"/>
    <w:rsid w:val="00996D2B"/>
    <w:rsid w:val="0099707D"/>
    <w:rsid w:val="0099726A"/>
    <w:rsid w:val="0099744A"/>
    <w:rsid w:val="00997702"/>
    <w:rsid w:val="00997891"/>
    <w:rsid w:val="009978AA"/>
    <w:rsid w:val="00997CB5"/>
    <w:rsid w:val="009A00B8"/>
    <w:rsid w:val="009A00D2"/>
    <w:rsid w:val="009A03E5"/>
    <w:rsid w:val="009A0724"/>
    <w:rsid w:val="009A09C9"/>
    <w:rsid w:val="009A0F02"/>
    <w:rsid w:val="009A0F3B"/>
    <w:rsid w:val="009A12E6"/>
    <w:rsid w:val="009A1303"/>
    <w:rsid w:val="009A161C"/>
    <w:rsid w:val="009A1696"/>
    <w:rsid w:val="009A1777"/>
    <w:rsid w:val="009A18B5"/>
    <w:rsid w:val="009A1AE9"/>
    <w:rsid w:val="009A1B05"/>
    <w:rsid w:val="009A1B91"/>
    <w:rsid w:val="009A1B94"/>
    <w:rsid w:val="009A1BB4"/>
    <w:rsid w:val="009A1BBB"/>
    <w:rsid w:val="009A1CB4"/>
    <w:rsid w:val="009A1F52"/>
    <w:rsid w:val="009A250D"/>
    <w:rsid w:val="009A2628"/>
    <w:rsid w:val="009A2957"/>
    <w:rsid w:val="009A2A74"/>
    <w:rsid w:val="009A2C11"/>
    <w:rsid w:val="009A2D5E"/>
    <w:rsid w:val="009A2D95"/>
    <w:rsid w:val="009A2EA4"/>
    <w:rsid w:val="009A2EE8"/>
    <w:rsid w:val="009A2F1F"/>
    <w:rsid w:val="009A300F"/>
    <w:rsid w:val="009A310F"/>
    <w:rsid w:val="009A3200"/>
    <w:rsid w:val="009A35CA"/>
    <w:rsid w:val="009A389F"/>
    <w:rsid w:val="009A3A08"/>
    <w:rsid w:val="009A3B72"/>
    <w:rsid w:val="009A3D3D"/>
    <w:rsid w:val="009A3F41"/>
    <w:rsid w:val="009A419B"/>
    <w:rsid w:val="009A42B4"/>
    <w:rsid w:val="009A433F"/>
    <w:rsid w:val="009A4532"/>
    <w:rsid w:val="009A47C1"/>
    <w:rsid w:val="009A48E5"/>
    <w:rsid w:val="009A4977"/>
    <w:rsid w:val="009A4AA6"/>
    <w:rsid w:val="009A4DFA"/>
    <w:rsid w:val="009A4FF7"/>
    <w:rsid w:val="009A5234"/>
    <w:rsid w:val="009A5244"/>
    <w:rsid w:val="009A5415"/>
    <w:rsid w:val="009A5566"/>
    <w:rsid w:val="009A56A7"/>
    <w:rsid w:val="009A5924"/>
    <w:rsid w:val="009A5A75"/>
    <w:rsid w:val="009A6202"/>
    <w:rsid w:val="009A6459"/>
    <w:rsid w:val="009A64CF"/>
    <w:rsid w:val="009A6794"/>
    <w:rsid w:val="009A6A55"/>
    <w:rsid w:val="009A6D00"/>
    <w:rsid w:val="009A6D0F"/>
    <w:rsid w:val="009A6E1B"/>
    <w:rsid w:val="009A7679"/>
    <w:rsid w:val="009A769D"/>
    <w:rsid w:val="009A78A9"/>
    <w:rsid w:val="009A7A67"/>
    <w:rsid w:val="009A7BCB"/>
    <w:rsid w:val="009A7FF5"/>
    <w:rsid w:val="009B0290"/>
    <w:rsid w:val="009B0363"/>
    <w:rsid w:val="009B03F0"/>
    <w:rsid w:val="009B041E"/>
    <w:rsid w:val="009B04B4"/>
    <w:rsid w:val="009B057A"/>
    <w:rsid w:val="009B0897"/>
    <w:rsid w:val="009B0955"/>
    <w:rsid w:val="009B0C26"/>
    <w:rsid w:val="009B0CFE"/>
    <w:rsid w:val="009B0E04"/>
    <w:rsid w:val="009B1170"/>
    <w:rsid w:val="009B1471"/>
    <w:rsid w:val="009B1783"/>
    <w:rsid w:val="009B1832"/>
    <w:rsid w:val="009B1BB7"/>
    <w:rsid w:val="009B1DBC"/>
    <w:rsid w:val="009B1EFF"/>
    <w:rsid w:val="009B20DE"/>
    <w:rsid w:val="009B216E"/>
    <w:rsid w:val="009B22BA"/>
    <w:rsid w:val="009B2363"/>
    <w:rsid w:val="009B24AC"/>
    <w:rsid w:val="009B25BC"/>
    <w:rsid w:val="009B2986"/>
    <w:rsid w:val="009B29F0"/>
    <w:rsid w:val="009B2C08"/>
    <w:rsid w:val="009B2D3E"/>
    <w:rsid w:val="009B2DD0"/>
    <w:rsid w:val="009B2F29"/>
    <w:rsid w:val="009B306A"/>
    <w:rsid w:val="009B3159"/>
    <w:rsid w:val="009B3544"/>
    <w:rsid w:val="009B35C6"/>
    <w:rsid w:val="009B3835"/>
    <w:rsid w:val="009B38A6"/>
    <w:rsid w:val="009B3979"/>
    <w:rsid w:val="009B3D41"/>
    <w:rsid w:val="009B3D5C"/>
    <w:rsid w:val="009B4057"/>
    <w:rsid w:val="009B4936"/>
    <w:rsid w:val="009B4A9B"/>
    <w:rsid w:val="009B4BE8"/>
    <w:rsid w:val="009B4C85"/>
    <w:rsid w:val="009B4D72"/>
    <w:rsid w:val="009B4F54"/>
    <w:rsid w:val="009B5746"/>
    <w:rsid w:val="009B6166"/>
    <w:rsid w:val="009B632B"/>
    <w:rsid w:val="009B63C9"/>
    <w:rsid w:val="009B6524"/>
    <w:rsid w:val="009B6636"/>
    <w:rsid w:val="009B6846"/>
    <w:rsid w:val="009B700A"/>
    <w:rsid w:val="009B720A"/>
    <w:rsid w:val="009B75ED"/>
    <w:rsid w:val="009B7A5A"/>
    <w:rsid w:val="009B7B04"/>
    <w:rsid w:val="009B7B70"/>
    <w:rsid w:val="009B7BD9"/>
    <w:rsid w:val="009C00E4"/>
    <w:rsid w:val="009C013A"/>
    <w:rsid w:val="009C08EA"/>
    <w:rsid w:val="009C0AA3"/>
    <w:rsid w:val="009C101C"/>
    <w:rsid w:val="009C113A"/>
    <w:rsid w:val="009C1303"/>
    <w:rsid w:val="009C14C6"/>
    <w:rsid w:val="009C1596"/>
    <w:rsid w:val="009C15A8"/>
    <w:rsid w:val="009C15F8"/>
    <w:rsid w:val="009C1693"/>
    <w:rsid w:val="009C1734"/>
    <w:rsid w:val="009C184B"/>
    <w:rsid w:val="009C1A9F"/>
    <w:rsid w:val="009C1E4C"/>
    <w:rsid w:val="009C1E6D"/>
    <w:rsid w:val="009C1FA6"/>
    <w:rsid w:val="009C2618"/>
    <w:rsid w:val="009C2B65"/>
    <w:rsid w:val="009C2DF4"/>
    <w:rsid w:val="009C3467"/>
    <w:rsid w:val="009C34CD"/>
    <w:rsid w:val="009C3622"/>
    <w:rsid w:val="009C3694"/>
    <w:rsid w:val="009C37D0"/>
    <w:rsid w:val="009C3A21"/>
    <w:rsid w:val="009C3BB3"/>
    <w:rsid w:val="009C3CC9"/>
    <w:rsid w:val="009C3CE0"/>
    <w:rsid w:val="009C421C"/>
    <w:rsid w:val="009C4379"/>
    <w:rsid w:val="009C43C4"/>
    <w:rsid w:val="009C46DF"/>
    <w:rsid w:val="009C4756"/>
    <w:rsid w:val="009C488F"/>
    <w:rsid w:val="009C4B63"/>
    <w:rsid w:val="009C4C58"/>
    <w:rsid w:val="009C4E89"/>
    <w:rsid w:val="009C551F"/>
    <w:rsid w:val="009C554B"/>
    <w:rsid w:val="009C55EA"/>
    <w:rsid w:val="009C56DA"/>
    <w:rsid w:val="009C570C"/>
    <w:rsid w:val="009C5C6A"/>
    <w:rsid w:val="009C5C71"/>
    <w:rsid w:val="009C5E01"/>
    <w:rsid w:val="009C61D2"/>
    <w:rsid w:val="009C6403"/>
    <w:rsid w:val="009C655E"/>
    <w:rsid w:val="009C65E8"/>
    <w:rsid w:val="009C6A31"/>
    <w:rsid w:val="009C6A5C"/>
    <w:rsid w:val="009C6D3A"/>
    <w:rsid w:val="009C6D44"/>
    <w:rsid w:val="009C707D"/>
    <w:rsid w:val="009C7202"/>
    <w:rsid w:val="009C73C7"/>
    <w:rsid w:val="009C751B"/>
    <w:rsid w:val="009C7868"/>
    <w:rsid w:val="009C7C33"/>
    <w:rsid w:val="009C7DD5"/>
    <w:rsid w:val="009C7F20"/>
    <w:rsid w:val="009D00FE"/>
    <w:rsid w:val="009D0117"/>
    <w:rsid w:val="009D0159"/>
    <w:rsid w:val="009D0400"/>
    <w:rsid w:val="009D041C"/>
    <w:rsid w:val="009D050A"/>
    <w:rsid w:val="009D05AB"/>
    <w:rsid w:val="009D0910"/>
    <w:rsid w:val="009D0B86"/>
    <w:rsid w:val="009D0C3E"/>
    <w:rsid w:val="009D0CC9"/>
    <w:rsid w:val="009D0CDE"/>
    <w:rsid w:val="009D0D62"/>
    <w:rsid w:val="009D11E3"/>
    <w:rsid w:val="009D1261"/>
    <w:rsid w:val="009D135A"/>
    <w:rsid w:val="009D15FC"/>
    <w:rsid w:val="009D1B9F"/>
    <w:rsid w:val="009D1C14"/>
    <w:rsid w:val="009D1F24"/>
    <w:rsid w:val="009D1F9A"/>
    <w:rsid w:val="009D218A"/>
    <w:rsid w:val="009D240B"/>
    <w:rsid w:val="009D25DF"/>
    <w:rsid w:val="009D2739"/>
    <w:rsid w:val="009D27A6"/>
    <w:rsid w:val="009D28E0"/>
    <w:rsid w:val="009D31FA"/>
    <w:rsid w:val="009D3359"/>
    <w:rsid w:val="009D3677"/>
    <w:rsid w:val="009D36D3"/>
    <w:rsid w:val="009D3D06"/>
    <w:rsid w:val="009D3D36"/>
    <w:rsid w:val="009D3F99"/>
    <w:rsid w:val="009D3FD0"/>
    <w:rsid w:val="009D41D2"/>
    <w:rsid w:val="009D4202"/>
    <w:rsid w:val="009D4210"/>
    <w:rsid w:val="009D422F"/>
    <w:rsid w:val="009D46B3"/>
    <w:rsid w:val="009D4843"/>
    <w:rsid w:val="009D49AA"/>
    <w:rsid w:val="009D4D46"/>
    <w:rsid w:val="009D5023"/>
    <w:rsid w:val="009D5083"/>
    <w:rsid w:val="009D5088"/>
    <w:rsid w:val="009D50F8"/>
    <w:rsid w:val="009D55E6"/>
    <w:rsid w:val="009D5824"/>
    <w:rsid w:val="009D5941"/>
    <w:rsid w:val="009D59FD"/>
    <w:rsid w:val="009D5ED2"/>
    <w:rsid w:val="009D5F0F"/>
    <w:rsid w:val="009D631F"/>
    <w:rsid w:val="009D640D"/>
    <w:rsid w:val="009D643A"/>
    <w:rsid w:val="009D6E44"/>
    <w:rsid w:val="009D6F9C"/>
    <w:rsid w:val="009D6FE6"/>
    <w:rsid w:val="009D762C"/>
    <w:rsid w:val="009D7740"/>
    <w:rsid w:val="009D77A0"/>
    <w:rsid w:val="009D7968"/>
    <w:rsid w:val="009D7B00"/>
    <w:rsid w:val="009D7B87"/>
    <w:rsid w:val="009D7FA2"/>
    <w:rsid w:val="009E0011"/>
    <w:rsid w:val="009E017E"/>
    <w:rsid w:val="009E018C"/>
    <w:rsid w:val="009E01D9"/>
    <w:rsid w:val="009E0301"/>
    <w:rsid w:val="009E0373"/>
    <w:rsid w:val="009E060D"/>
    <w:rsid w:val="009E0674"/>
    <w:rsid w:val="009E079F"/>
    <w:rsid w:val="009E0834"/>
    <w:rsid w:val="009E091F"/>
    <w:rsid w:val="009E0BBC"/>
    <w:rsid w:val="009E0D11"/>
    <w:rsid w:val="009E0D9C"/>
    <w:rsid w:val="009E0E8A"/>
    <w:rsid w:val="009E0F33"/>
    <w:rsid w:val="009E1005"/>
    <w:rsid w:val="009E1640"/>
    <w:rsid w:val="009E1AAB"/>
    <w:rsid w:val="009E1DD9"/>
    <w:rsid w:val="009E2180"/>
    <w:rsid w:val="009E21C3"/>
    <w:rsid w:val="009E227D"/>
    <w:rsid w:val="009E236D"/>
    <w:rsid w:val="009E250C"/>
    <w:rsid w:val="009E252A"/>
    <w:rsid w:val="009E2549"/>
    <w:rsid w:val="009E26E0"/>
    <w:rsid w:val="009E278F"/>
    <w:rsid w:val="009E282A"/>
    <w:rsid w:val="009E2C9B"/>
    <w:rsid w:val="009E2D10"/>
    <w:rsid w:val="009E2DDB"/>
    <w:rsid w:val="009E2FE3"/>
    <w:rsid w:val="009E33D2"/>
    <w:rsid w:val="009E34CB"/>
    <w:rsid w:val="009E3717"/>
    <w:rsid w:val="009E3A0B"/>
    <w:rsid w:val="009E3DA5"/>
    <w:rsid w:val="009E3E17"/>
    <w:rsid w:val="009E3E1B"/>
    <w:rsid w:val="009E3E92"/>
    <w:rsid w:val="009E41BC"/>
    <w:rsid w:val="009E4790"/>
    <w:rsid w:val="009E4A3C"/>
    <w:rsid w:val="009E4A46"/>
    <w:rsid w:val="009E4F5A"/>
    <w:rsid w:val="009E5019"/>
    <w:rsid w:val="009E527B"/>
    <w:rsid w:val="009E54EE"/>
    <w:rsid w:val="009E573C"/>
    <w:rsid w:val="009E5D04"/>
    <w:rsid w:val="009E5F4E"/>
    <w:rsid w:val="009E61A3"/>
    <w:rsid w:val="009E625C"/>
    <w:rsid w:val="009E62D0"/>
    <w:rsid w:val="009E62E2"/>
    <w:rsid w:val="009E6386"/>
    <w:rsid w:val="009E63B2"/>
    <w:rsid w:val="009E6441"/>
    <w:rsid w:val="009E679D"/>
    <w:rsid w:val="009E6913"/>
    <w:rsid w:val="009E6AA8"/>
    <w:rsid w:val="009E6BB2"/>
    <w:rsid w:val="009E6BE2"/>
    <w:rsid w:val="009E6F2C"/>
    <w:rsid w:val="009E6FAD"/>
    <w:rsid w:val="009E7074"/>
    <w:rsid w:val="009E70E8"/>
    <w:rsid w:val="009E73A4"/>
    <w:rsid w:val="009E76A0"/>
    <w:rsid w:val="009E7735"/>
    <w:rsid w:val="009E7880"/>
    <w:rsid w:val="009E79D6"/>
    <w:rsid w:val="009E7B5F"/>
    <w:rsid w:val="009E7BC5"/>
    <w:rsid w:val="009E7BE9"/>
    <w:rsid w:val="009E7E01"/>
    <w:rsid w:val="009E7F10"/>
    <w:rsid w:val="009F0266"/>
    <w:rsid w:val="009F041F"/>
    <w:rsid w:val="009F08C0"/>
    <w:rsid w:val="009F0E76"/>
    <w:rsid w:val="009F12C2"/>
    <w:rsid w:val="009F18DF"/>
    <w:rsid w:val="009F1E29"/>
    <w:rsid w:val="009F2029"/>
    <w:rsid w:val="009F2049"/>
    <w:rsid w:val="009F2309"/>
    <w:rsid w:val="009F2330"/>
    <w:rsid w:val="009F246D"/>
    <w:rsid w:val="009F25EB"/>
    <w:rsid w:val="009F2990"/>
    <w:rsid w:val="009F2DB8"/>
    <w:rsid w:val="009F342C"/>
    <w:rsid w:val="009F3644"/>
    <w:rsid w:val="009F371E"/>
    <w:rsid w:val="009F376E"/>
    <w:rsid w:val="009F37C1"/>
    <w:rsid w:val="009F39F6"/>
    <w:rsid w:val="009F3B3E"/>
    <w:rsid w:val="009F3B64"/>
    <w:rsid w:val="009F3EC7"/>
    <w:rsid w:val="009F41BB"/>
    <w:rsid w:val="009F41C8"/>
    <w:rsid w:val="009F444F"/>
    <w:rsid w:val="009F4621"/>
    <w:rsid w:val="009F4838"/>
    <w:rsid w:val="009F48E7"/>
    <w:rsid w:val="009F4CC7"/>
    <w:rsid w:val="009F4CE7"/>
    <w:rsid w:val="009F4D2A"/>
    <w:rsid w:val="009F4DD4"/>
    <w:rsid w:val="009F4EA7"/>
    <w:rsid w:val="009F5266"/>
    <w:rsid w:val="009F53C4"/>
    <w:rsid w:val="009F54C4"/>
    <w:rsid w:val="009F54C8"/>
    <w:rsid w:val="009F593F"/>
    <w:rsid w:val="009F5AA9"/>
    <w:rsid w:val="009F5B66"/>
    <w:rsid w:val="009F5B82"/>
    <w:rsid w:val="009F6228"/>
    <w:rsid w:val="009F622E"/>
    <w:rsid w:val="009F6537"/>
    <w:rsid w:val="009F6A64"/>
    <w:rsid w:val="009F6D38"/>
    <w:rsid w:val="009F6E2C"/>
    <w:rsid w:val="009F7145"/>
    <w:rsid w:val="009F7725"/>
    <w:rsid w:val="009F79BC"/>
    <w:rsid w:val="009F79E8"/>
    <w:rsid w:val="009F7A25"/>
    <w:rsid w:val="009F7BC7"/>
    <w:rsid w:val="009F7C2C"/>
    <w:rsid w:val="009F7D2D"/>
    <w:rsid w:val="009F7EF0"/>
    <w:rsid w:val="00A003FC"/>
    <w:rsid w:val="00A00433"/>
    <w:rsid w:val="00A00456"/>
    <w:rsid w:val="00A0051B"/>
    <w:rsid w:val="00A0058F"/>
    <w:rsid w:val="00A0083F"/>
    <w:rsid w:val="00A0086F"/>
    <w:rsid w:val="00A00A4D"/>
    <w:rsid w:val="00A00A5B"/>
    <w:rsid w:val="00A00AE2"/>
    <w:rsid w:val="00A00B32"/>
    <w:rsid w:val="00A00B3E"/>
    <w:rsid w:val="00A00EE3"/>
    <w:rsid w:val="00A00F0C"/>
    <w:rsid w:val="00A00FF1"/>
    <w:rsid w:val="00A0114A"/>
    <w:rsid w:val="00A01581"/>
    <w:rsid w:val="00A0173A"/>
    <w:rsid w:val="00A01804"/>
    <w:rsid w:val="00A01A81"/>
    <w:rsid w:val="00A01B99"/>
    <w:rsid w:val="00A01CBF"/>
    <w:rsid w:val="00A01CF5"/>
    <w:rsid w:val="00A01E9E"/>
    <w:rsid w:val="00A01FF7"/>
    <w:rsid w:val="00A02230"/>
    <w:rsid w:val="00A025E4"/>
    <w:rsid w:val="00A026A7"/>
    <w:rsid w:val="00A028F2"/>
    <w:rsid w:val="00A0290C"/>
    <w:rsid w:val="00A02BC6"/>
    <w:rsid w:val="00A031A1"/>
    <w:rsid w:val="00A031FD"/>
    <w:rsid w:val="00A03501"/>
    <w:rsid w:val="00A035E8"/>
    <w:rsid w:val="00A036F6"/>
    <w:rsid w:val="00A0375A"/>
    <w:rsid w:val="00A03973"/>
    <w:rsid w:val="00A03A1B"/>
    <w:rsid w:val="00A03C71"/>
    <w:rsid w:val="00A03D7E"/>
    <w:rsid w:val="00A03EF3"/>
    <w:rsid w:val="00A03FFB"/>
    <w:rsid w:val="00A0462C"/>
    <w:rsid w:val="00A04904"/>
    <w:rsid w:val="00A04978"/>
    <w:rsid w:val="00A04B4F"/>
    <w:rsid w:val="00A04CDD"/>
    <w:rsid w:val="00A04D44"/>
    <w:rsid w:val="00A04ECB"/>
    <w:rsid w:val="00A04F1B"/>
    <w:rsid w:val="00A0501B"/>
    <w:rsid w:val="00A051F8"/>
    <w:rsid w:val="00A05258"/>
    <w:rsid w:val="00A053B6"/>
    <w:rsid w:val="00A0556C"/>
    <w:rsid w:val="00A055DC"/>
    <w:rsid w:val="00A056F8"/>
    <w:rsid w:val="00A0580B"/>
    <w:rsid w:val="00A0583D"/>
    <w:rsid w:val="00A058F3"/>
    <w:rsid w:val="00A05AFA"/>
    <w:rsid w:val="00A05E1D"/>
    <w:rsid w:val="00A05E45"/>
    <w:rsid w:val="00A05E8F"/>
    <w:rsid w:val="00A05EB9"/>
    <w:rsid w:val="00A06101"/>
    <w:rsid w:val="00A061A5"/>
    <w:rsid w:val="00A06255"/>
    <w:rsid w:val="00A0625A"/>
    <w:rsid w:val="00A06366"/>
    <w:rsid w:val="00A066A0"/>
    <w:rsid w:val="00A06AF7"/>
    <w:rsid w:val="00A06B1C"/>
    <w:rsid w:val="00A06BE0"/>
    <w:rsid w:val="00A0707F"/>
    <w:rsid w:val="00A0719B"/>
    <w:rsid w:val="00A071AD"/>
    <w:rsid w:val="00A07457"/>
    <w:rsid w:val="00A074CD"/>
    <w:rsid w:val="00A07873"/>
    <w:rsid w:val="00A079F7"/>
    <w:rsid w:val="00A07D63"/>
    <w:rsid w:val="00A101C6"/>
    <w:rsid w:val="00A10247"/>
    <w:rsid w:val="00A1042B"/>
    <w:rsid w:val="00A10488"/>
    <w:rsid w:val="00A104D0"/>
    <w:rsid w:val="00A106E6"/>
    <w:rsid w:val="00A10789"/>
    <w:rsid w:val="00A1079B"/>
    <w:rsid w:val="00A107CA"/>
    <w:rsid w:val="00A10AB3"/>
    <w:rsid w:val="00A10B84"/>
    <w:rsid w:val="00A10C58"/>
    <w:rsid w:val="00A10E93"/>
    <w:rsid w:val="00A11138"/>
    <w:rsid w:val="00A114DE"/>
    <w:rsid w:val="00A1153B"/>
    <w:rsid w:val="00A11604"/>
    <w:rsid w:val="00A11831"/>
    <w:rsid w:val="00A11E0E"/>
    <w:rsid w:val="00A11E3B"/>
    <w:rsid w:val="00A11F2C"/>
    <w:rsid w:val="00A120BA"/>
    <w:rsid w:val="00A12334"/>
    <w:rsid w:val="00A123BE"/>
    <w:rsid w:val="00A12640"/>
    <w:rsid w:val="00A126B2"/>
    <w:rsid w:val="00A1288A"/>
    <w:rsid w:val="00A1298C"/>
    <w:rsid w:val="00A129EE"/>
    <w:rsid w:val="00A12CDD"/>
    <w:rsid w:val="00A12DF1"/>
    <w:rsid w:val="00A12E5E"/>
    <w:rsid w:val="00A12E64"/>
    <w:rsid w:val="00A12FF0"/>
    <w:rsid w:val="00A13332"/>
    <w:rsid w:val="00A1337F"/>
    <w:rsid w:val="00A1343C"/>
    <w:rsid w:val="00A134C9"/>
    <w:rsid w:val="00A13703"/>
    <w:rsid w:val="00A1385A"/>
    <w:rsid w:val="00A138B8"/>
    <w:rsid w:val="00A13BDB"/>
    <w:rsid w:val="00A13D10"/>
    <w:rsid w:val="00A14099"/>
    <w:rsid w:val="00A140B2"/>
    <w:rsid w:val="00A1428A"/>
    <w:rsid w:val="00A1463F"/>
    <w:rsid w:val="00A147F8"/>
    <w:rsid w:val="00A14947"/>
    <w:rsid w:val="00A14E5B"/>
    <w:rsid w:val="00A15070"/>
    <w:rsid w:val="00A152C8"/>
    <w:rsid w:val="00A1579E"/>
    <w:rsid w:val="00A159CB"/>
    <w:rsid w:val="00A15D12"/>
    <w:rsid w:val="00A15D83"/>
    <w:rsid w:val="00A1601C"/>
    <w:rsid w:val="00A16382"/>
    <w:rsid w:val="00A16899"/>
    <w:rsid w:val="00A16930"/>
    <w:rsid w:val="00A16A1C"/>
    <w:rsid w:val="00A16CE4"/>
    <w:rsid w:val="00A16D34"/>
    <w:rsid w:val="00A16D81"/>
    <w:rsid w:val="00A1708A"/>
    <w:rsid w:val="00A1709E"/>
    <w:rsid w:val="00A1742C"/>
    <w:rsid w:val="00A17BFF"/>
    <w:rsid w:val="00A17EC5"/>
    <w:rsid w:val="00A17F41"/>
    <w:rsid w:val="00A20181"/>
    <w:rsid w:val="00A202C8"/>
    <w:rsid w:val="00A20372"/>
    <w:rsid w:val="00A20437"/>
    <w:rsid w:val="00A2054F"/>
    <w:rsid w:val="00A20907"/>
    <w:rsid w:val="00A209DC"/>
    <w:rsid w:val="00A20B98"/>
    <w:rsid w:val="00A20DB5"/>
    <w:rsid w:val="00A20F95"/>
    <w:rsid w:val="00A20FD9"/>
    <w:rsid w:val="00A2105E"/>
    <w:rsid w:val="00A21847"/>
    <w:rsid w:val="00A21A5B"/>
    <w:rsid w:val="00A21A6A"/>
    <w:rsid w:val="00A2247E"/>
    <w:rsid w:val="00A22582"/>
    <w:rsid w:val="00A22713"/>
    <w:rsid w:val="00A22B81"/>
    <w:rsid w:val="00A22BFF"/>
    <w:rsid w:val="00A22F76"/>
    <w:rsid w:val="00A22FB1"/>
    <w:rsid w:val="00A23667"/>
    <w:rsid w:val="00A2367C"/>
    <w:rsid w:val="00A23E2E"/>
    <w:rsid w:val="00A23FBB"/>
    <w:rsid w:val="00A24168"/>
    <w:rsid w:val="00A24384"/>
    <w:rsid w:val="00A24426"/>
    <w:rsid w:val="00A2464B"/>
    <w:rsid w:val="00A24C13"/>
    <w:rsid w:val="00A24C4D"/>
    <w:rsid w:val="00A2512E"/>
    <w:rsid w:val="00A2570F"/>
    <w:rsid w:val="00A258D0"/>
    <w:rsid w:val="00A25CC9"/>
    <w:rsid w:val="00A25F78"/>
    <w:rsid w:val="00A26000"/>
    <w:rsid w:val="00A260FB"/>
    <w:rsid w:val="00A261AB"/>
    <w:rsid w:val="00A26350"/>
    <w:rsid w:val="00A26591"/>
    <w:rsid w:val="00A26915"/>
    <w:rsid w:val="00A269ED"/>
    <w:rsid w:val="00A26A8A"/>
    <w:rsid w:val="00A26BC7"/>
    <w:rsid w:val="00A26BE4"/>
    <w:rsid w:val="00A273C7"/>
    <w:rsid w:val="00A27747"/>
    <w:rsid w:val="00A27793"/>
    <w:rsid w:val="00A278DB"/>
    <w:rsid w:val="00A27AA4"/>
    <w:rsid w:val="00A27BFD"/>
    <w:rsid w:val="00A3017E"/>
    <w:rsid w:val="00A303CF"/>
    <w:rsid w:val="00A30801"/>
    <w:rsid w:val="00A30C81"/>
    <w:rsid w:val="00A30E63"/>
    <w:rsid w:val="00A31766"/>
    <w:rsid w:val="00A31770"/>
    <w:rsid w:val="00A31A6B"/>
    <w:rsid w:val="00A31FA4"/>
    <w:rsid w:val="00A3230E"/>
    <w:rsid w:val="00A324D1"/>
    <w:rsid w:val="00A32606"/>
    <w:rsid w:val="00A32A2D"/>
    <w:rsid w:val="00A32A83"/>
    <w:rsid w:val="00A32C9A"/>
    <w:rsid w:val="00A32DCE"/>
    <w:rsid w:val="00A33098"/>
    <w:rsid w:val="00A331EC"/>
    <w:rsid w:val="00A3356D"/>
    <w:rsid w:val="00A33707"/>
    <w:rsid w:val="00A33709"/>
    <w:rsid w:val="00A33737"/>
    <w:rsid w:val="00A3384E"/>
    <w:rsid w:val="00A33A1F"/>
    <w:rsid w:val="00A33A25"/>
    <w:rsid w:val="00A33BCF"/>
    <w:rsid w:val="00A33BF0"/>
    <w:rsid w:val="00A34671"/>
    <w:rsid w:val="00A3487C"/>
    <w:rsid w:val="00A34A2F"/>
    <w:rsid w:val="00A34A3D"/>
    <w:rsid w:val="00A34F52"/>
    <w:rsid w:val="00A34F89"/>
    <w:rsid w:val="00A3502F"/>
    <w:rsid w:val="00A3530F"/>
    <w:rsid w:val="00A3549A"/>
    <w:rsid w:val="00A358F1"/>
    <w:rsid w:val="00A35A84"/>
    <w:rsid w:val="00A35F1D"/>
    <w:rsid w:val="00A366FF"/>
    <w:rsid w:val="00A3686D"/>
    <w:rsid w:val="00A368DB"/>
    <w:rsid w:val="00A36928"/>
    <w:rsid w:val="00A36B2A"/>
    <w:rsid w:val="00A36B5E"/>
    <w:rsid w:val="00A36B63"/>
    <w:rsid w:val="00A377C6"/>
    <w:rsid w:val="00A378B1"/>
    <w:rsid w:val="00A37A92"/>
    <w:rsid w:val="00A37B88"/>
    <w:rsid w:val="00A37B99"/>
    <w:rsid w:val="00A37CEC"/>
    <w:rsid w:val="00A37EB1"/>
    <w:rsid w:val="00A37FDC"/>
    <w:rsid w:val="00A406C7"/>
    <w:rsid w:val="00A4072A"/>
    <w:rsid w:val="00A4091F"/>
    <w:rsid w:val="00A40C42"/>
    <w:rsid w:val="00A40F07"/>
    <w:rsid w:val="00A40FBB"/>
    <w:rsid w:val="00A41291"/>
    <w:rsid w:val="00A412FB"/>
    <w:rsid w:val="00A41476"/>
    <w:rsid w:val="00A4152A"/>
    <w:rsid w:val="00A415BF"/>
    <w:rsid w:val="00A416C7"/>
    <w:rsid w:val="00A416E3"/>
    <w:rsid w:val="00A4198C"/>
    <w:rsid w:val="00A41AAF"/>
    <w:rsid w:val="00A41C32"/>
    <w:rsid w:val="00A41E1F"/>
    <w:rsid w:val="00A422E9"/>
    <w:rsid w:val="00A423AA"/>
    <w:rsid w:val="00A4250F"/>
    <w:rsid w:val="00A42989"/>
    <w:rsid w:val="00A42D34"/>
    <w:rsid w:val="00A42F64"/>
    <w:rsid w:val="00A42F7B"/>
    <w:rsid w:val="00A432C1"/>
    <w:rsid w:val="00A432D8"/>
    <w:rsid w:val="00A4363A"/>
    <w:rsid w:val="00A4456E"/>
    <w:rsid w:val="00A44BCC"/>
    <w:rsid w:val="00A44CC1"/>
    <w:rsid w:val="00A44E9F"/>
    <w:rsid w:val="00A45336"/>
    <w:rsid w:val="00A4597D"/>
    <w:rsid w:val="00A4598C"/>
    <w:rsid w:val="00A45C49"/>
    <w:rsid w:val="00A45C6A"/>
    <w:rsid w:val="00A45DB6"/>
    <w:rsid w:val="00A45E53"/>
    <w:rsid w:val="00A46023"/>
    <w:rsid w:val="00A46041"/>
    <w:rsid w:val="00A460F1"/>
    <w:rsid w:val="00A4613F"/>
    <w:rsid w:val="00A46140"/>
    <w:rsid w:val="00A4631A"/>
    <w:rsid w:val="00A46342"/>
    <w:rsid w:val="00A4665A"/>
    <w:rsid w:val="00A46987"/>
    <w:rsid w:val="00A46D69"/>
    <w:rsid w:val="00A4700B"/>
    <w:rsid w:val="00A47072"/>
    <w:rsid w:val="00A47142"/>
    <w:rsid w:val="00A47379"/>
    <w:rsid w:val="00A4742F"/>
    <w:rsid w:val="00A476AE"/>
    <w:rsid w:val="00A47719"/>
    <w:rsid w:val="00A47728"/>
    <w:rsid w:val="00A477A5"/>
    <w:rsid w:val="00A500BB"/>
    <w:rsid w:val="00A50136"/>
    <w:rsid w:val="00A501E9"/>
    <w:rsid w:val="00A50461"/>
    <w:rsid w:val="00A50C32"/>
    <w:rsid w:val="00A50C5B"/>
    <w:rsid w:val="00A5119A"/>
    <w:rsid w:val="00A511EC"/>
    <w:rsid w:val="00A5164C"/>
    <w:rsid w:val="00A5166F"/>
    <w:rsid w:val="00A517AF"/>
    <w:rsid w:val="00A51B0D"/>
    <w:rsid w:val="00A51CBD"/>
    <w:rsid w:val="00A51E48"/>
    <w:rsid w:val="00A51EC0"/>
    <w:rsid w:val="00A51FAA"/>
    <w:rsid w:val="00A521ED"/>
    <w:rsid w:val="00A522FF"/>
    <w:rsid w:val="00A52496"/>
    <w:rsid w:val="00A525A5"/>
    <w:rsid w:val="00A525ED"/>
    <w:rsid w:val="00A5270E"/>
    <w:rsid w:val="00A52777"/>
    <w:rsid w:val="00A5277F"/>
    <w:rsid w:val="00A529FD"/>
    <w:rsid w:val="00A52A94"/>
    <w:rsid w:val="00A52B8E"/>
    <w:rsid w:val="00A52E0E"/>
    <w:rsid w:val="00A52EC3"/>
    <w:rsid w:val="00A530DC"/>
    <w:rsid w:val="00A531AE"/>
    <w:rsid w:val="00A534D3"/>
    <w:rsid w:val="00A5360C"/>
    <w:rsid w:val="00A5361E"/>
    <w:rsid w:val="00A537FB"/>
    <w:rsid w:val="00A539B6"/>
    <w:rsid w:val="00A53D04"/>
    <w:rsid w:val="00A53EC6"/>
    <w:rsid w:val="00A53ED4"/>
    <w:rsid w:val="00A54081"/>
    <w:rsid w:val="00A54569"/>
    <w:rsid w:val="00A5474F"/>
    <w:rsid w:val="00A54A23"/>
    <w:rsid w:val="00A54E28"/>
    <w:rsid w:val="00A54E44"/>
    <w:rsid w:val="00A55113"/>
    <w:rsid w:val="00A55177"/>
    <w:rsid w:val="00A553C5"/>
    <w:rsid w:val="00A5544C"/>
    <w:rsid w:val="00A55455"/>
    <w:rsid w:val="00A55542"/>
    <w:rsid w:val="00A557E7"/>
    <w:rsid w:val="00A55C0F"/>
    <w:rsid w:val="00A55CAA"/>
    <w:rsid w:val="00A55F39"/>
    <w:rsid w:val="00A5617E"/>
    <w:rsid w:val="00A56475"/>
    <w:rsid w:val="00A5671C"/>
    <w:rsid w:val="00A5675B"/>
    <w:rsid w:val="00A5694B"/>
    <w:rsid w:val="00A570EF"/>
    <w:rsid w:val="00A571D0"/>
    <w:rsid w:val="00A573D3"/>
    <w:rsid w:val="00A57576"/>
    <w:rsid w:val="00A5791C"/>
    <w:rsid w:val="00A5791D"/>
    <w:rsid w:val="00A57DCC"/>
    <w:rsid w:val="00A57FCD"/>
    <w:rsid w:val="00A60469"/>
    <w:rsid w:val="00A606B6"/>
    <w:rsid w:val="00A60DB0"/>
    <w:rsid w:val="00A60EDF"/>
    <w:rsid w:val="00A6114E"/>
    <w:rsid w:val="00A6145C"/>
    <w:rsid w:val="00A615A4"/>
    <w:rsid w:val="00A61705"/>
    <w:rsid w:val="00A61A8B"/>
    <w:rsid w:val="00A61C4C"/>
    <w:rsid w:val="00A61D4B"/>
    <w:rsid w:val="00A61EC8"/>
    <w:rsid w:val="00A61EC9"/>
    <w:rsid w:val="00A61FEA"/>
    <w:rsid w:val="00A6207A"/>
    <w:rsid w:val="00A6229D"/>
    <w:rsid w:val="00A622F1"/>
    <w:rsid w:val="00A623BF"/>
    <w:rsid w:val="00A62A8D"/>
    <w:rsid w:val="00A62B22"/>
    <w:rsid w:val="00A62B3C"/>
    <w:rsid w:val="00A62B65"/>
    <w:rsid w:val="00A62CC1"/>
    <w:rsid w:val="00A62D05"/>
    <w:rsid w:val="00A62DE1"/>
    <w:rsid w:val="00A62E77"/>
    <w:rsid w:val="00A62F2C"/>
    <w:rsid w:val="00A62F3C"/>
    <w:rsid w:val="00A63119"/>
    <w:rsid w:val="00A63260"/>
    <w:rsid w:val="00A63517"/>
    <w:rsid w:val="00A63555"/>
    <w:rsid w:val="00A635AA"/>
    <w:rsid w:val="00A63935"/>
    <w:rsid w:val="00A63DA0"/>
    <w:rsid w:val="00A63E56"/>
    <w:rsid w:val="00A640DD"/>
    <w:rsid w:val="00A64101"/>
    <w:rsid w:val="00A64476"/>
    <w:rsid w:val="00A644F6"/>
    <w:rsid w:val="00A64643"/>
    <w:rsid w:val="00A64866"/>
    <w:rsid w:val="00A64888"/>
    <w:rsid w:val="00A649FB"/>
    <w:rsid w:val="00A64C77"/>
    <w:rsid w:val="00A64DEE"/>
    <w:rsid w:val="00A65090"/>
    <w:rsid w:val="00A6515A"/>
    <w:rsid w:val="00A651CC"/>
    <w:rsid w:val="00A6536B"/>
    <w:rsid w:val="00A65573"/>
    <w:rsid w:val="00A655A0"/>
    <w:rsid w:val="00A65720"/>
    <w:rsid w:val="00A659C3"/>
    <w:rsid w:val="00A65D81"/>
    <w:rsid w:val="00A662E4"/>
    <w:rsid w:val="00A66300"/>
    <w:rsid w:val="00A6652A"/>
    <w:rsid w:val="00A665F5"/>
    <w:rsid w:val="00A668C8"/>
    <w:rsid w:val="00A669F1"/>
    <w:rsid w:val="00A66C88"/>
    <w:rsid w:val="00A66CDF"/>
    <w:rsid w:val="00A66DA7"/>
    <w:rsid w:val="00A66DF5"/>
    <w:rsid w:val="00A66EBB"/>
    <w:rsid w:val="00A67119"/>
    <w:rsid w:val="00A67154"/>
    <w:rsid w:val="00A67244"/>
    <w:rsid w:val="00A67256"/>
    <w:rsid w:val="00A672DB"/>
    <w:rsid w:val="00A673EE"/>
    <w:rsid w:val="00A67410"/>
    <w:rsid w:val="00A67720"/>
    <w:rsid w:val="00A67807"/>
    <w:rsid w:val="00A6785D"/>
    <w:rsid w:val="00A67A1B"/>
    <w:rsid w:val="00A67AB9"/>
    <w:rsid w:val="00A67AE4"/>
    <w:rsid w:val="00A67B74"/>
    <w:rsid w:val="00A67BEC"/>
    <w:rsid w:val="00A67CAD"/>
    <w:rsid w:val="00A7017C"/>
    <w:rsid w:val="00A701F3"/>
    <w:rsid w:val="00A7029B"/>
    <w:rsid w:val="00A70C78"/>
    <w:rsid w:val="00A712B9"/>
    <w:rsid w:val="00A7142A"/>
    <w:rsid w:val="00A715A7"/>
    <w:rsid w:val="00A71698"/>
    <w:rsid w:val="00A7173C"/>
    <w:rsid w:val="00A7182C"/>
    <w:rsid w:val="00A718A5"/>
    <w:rsid w:val="00A718C1"/>
    <w:rsid w:val="00A71B73"/>
    <w:rsid w:val="00A71C55"/>
    <w:rsid w:val="00A72112"/>
    <w:rsid w:val="00A721F8"/>
    <w:rsid w:val="00A7228F"/>
    <w:rsid w:val="00A7233A"/>
    <w:rsid w:val="00A72398"/>
    <w:rsid w:val="00A724AE"/>
    <w:rsid w:val="00A72723"/>
    <w:rsid w:val="00A72D72"/>
    <w:rsid w:val="00A72F3E"/>
    <w:rsid w:val="00A737ED"/>
    <w:rsid w:val="00A73F79"/>
    <w:rsid w:val="00A74C22"/>
    <w:rsid w:val="00A74D33"/>
    <w:rsid w:val="00A74F5A"/>
    <w:rsid w:val="00A75116"/>
    <w:rsid w:val="00A75179"/>
    <w:rsid w:val="00A753C8"/>
    <w:rsid w:val="00A753E0"/>
    <w:rsid w:val="00A7556E"/>
    <w:rsid w:val="00A759EB"/>
    <w:rsid w:val="00A75DE8"/>
    <w:rsid w:val="00A75F5B"/>
    <w:rsid w:val="00A76025"/>
    <w:rsid w:val="00A76138"/>
    <w:rsid w:val="00A76206"/>
    <w:rsid w:val="00A7630D"/>
    <w:rsid w:val="00A76533"/>
    <w:rsid w:val="00A76618"/>
    <w:rsid w:val="00A76B4A"/>
    <w:rsid w:val="00A76B79"/>
    <w:rsid w:val="00A77008"/>
    <w:rsid w:val="00A77041"/>
    <w:rsid w:val="00A770A7"/>
    <w:rsid w:val="00A770D1"/>
    <w:rsid w:val="00A77213"/>
    <w:rsid w:val="00A7726C"/>
    <w:rsid w:val="00A77347"/>
    <w:rsid w:val="00A77476"/>
    <w:rsid w:val="00A774BA"/>
    <w:rsid w:val="00A77554"/>
    <w:rsid w:val="00A77559"/>
    <w:rsid w:val="00A77630"/>
    <w:rsid w:val="00A777A8"/>
    <w:rsid w:val="00A777E0"/>
    <w:rsid w:val="00A779B6"/>
    <w:rsid w:val="00A779D2"/>
    <w:rsid w:val="00A77C53"/>
    <w:rsid w:val="00A77D6E"/>
    <w:rsid w:val="00A77FF2"/>
    <w:rsid w:val="00A800C7"/>
    <w:rsid w:val="00A8020D"/>
    <w:rsid w:val="00A80756"/>
    <w:rsid w:val="00A80802"/>
    <w:rsid w:val="00A8124E"/>
    <w:rsid w:val="00A81266"/>
    <w:rsid w:val="00A81545"/>
    <w:rsid w:val="00A815DB"/>
    <w:rsid w:val="00A81C09"/>
    <w:rsid w:val="00A81CED"/>
    <w:rsid w:val="00A82091"/>
    <w:rsid w:val="00A82263"/>
    <w:rsid w:val="00A823BE"/>
    <w:rsid w:val="00A8254B"/>
    <w:rsid w:val="00A82605"/>
    <w:rsid w:val="00A82653"/>
    <w:rsid w:val="00A82A2A"/>
    <w:rsid w:val="00A82A76"/>
    <w:rsid w:val="00A82AD6"/>
    <w:rsid w:val="00A82D39"/>
    <w:rsid w:val="00A82EAB"/>
    <w:rsid w:val="00A82F61"/>
    <w:rsid w:val="00A82F88"/>
    <w:rsid w:val="00A8305F"/>
    <w:rsid w:val="00A83143"/>
    <w:rsid w:val="00A834AF"/>
    <w:rsid w:val="00A837D2"/>
    <w:rsid w:val="00A83984"/>
    <w:rsid w:val="00A83A69"/>
    <w:rsid w:val="00A83ADD"/>
    <w:rsid w:val="00A83F28"/>
    <w:rsid w:val="00A83F2F"/>
    <w:rsid w:val="00A841F7"/>
    <w:rsid w:val="00A84A69"/>
    <w:rsid w:val="00A84BC3"/>
    <w:rsid w:val="00A84E61"/>
    <w:rsid w:val="00A8504B"/>
    <w:rsid w:val="00A850D5"/>
    <w:rsid w:val="00A85116"/>
    <w:rsid w:val="00A8517C"/>
    <w:rsid w:val="00A852F8"/>
    <w:rsid w:val="00A853EB"/>
    <w:rsid w:val="00A856E9"/>
    <w:rsid w:val="00A8581A"/>
    <w:rsid w:val="00A8584F"/>
    <w:rsid w:val="00A859BF"/>
    <w:rsid w:val="00A860E9"/>
    <w:rsid w:val="00A86517"/>
    <w:rsid w:val="00A866C9"/>
    <w:rsid w:val="00A86A92"/>
    <w:rsid w:val="00A86EE2"/>
    <w:rsid w:val="00A87005"/>
    <w:rsid w:val="00A870BB"/>
    <w:rsid w:val="00A8713F"/>
    <w:rsid w:val="00A871CC"/>
    <w:rsid w:val="00A8725B"/>
    <w:rsid w:val="00A8725C"/>
    <w:rsid w:val="00A872AD"/>
    <w:rsid w:val="00A876D4"/>
    <w:rsid w:val="00A87725"/>
    <w:rsid w:val="00A87827"/>
    <w:rsid w:val="00A87ADB"/>
    <w:rsid w:val="00A87AF7"/>
    <w:rsid w:val="00A87C62"/>
    <w:rsid w:val="00A87D19"/>
    <w:rsid w:val="00A87E43"/>
    <w:rsid w:val="00A87E6D"/>
    <w:rsid w:val="00A87EDA"/>
    <w:rsid w:val="00A87F41"/>
    <w:rsid w:val="00A87FBC"/>
    <w:rsid w:val="00A903EE"/>
    <w:rsid w:val="00A90482"/>
    <w:rsid w:val="00A907CE"/>
    <w:rsid w:val="00A907F6"/>
    <w:rsid w:val="00A90ABA"/>
    <w:rsid w:val="00A90BA1"/>
    <w:rsid w:val="00A90D14"/>
    <w:rsid w:val="00A90EB6"/>
    <w:rsid w:val="00A90EFF"/>
    <w:rsid w:val="00A910ED"/>
    <w:rsid w:val="00A9118A"/>
    <w:rsid w:val="00A911D4"/>
    <w:rsid w:val="00A913A4"/>
    <w:rsid w:val="00A913BB"/>
    <w:rsid w:val="00A91425"/>
    <w:rsid w:val="00A914FD"/>
    <w:rsid w:val="00A9174F"/>
    <w:rsid w:val="00A918EC"/>
    <w:rsid w:val="00A91A67"/>
    <w:rsid w:val="00A91B01"/>
    <w:rsid w:val="00A91B34"/>
    <w:rsid w:val="00A91B39"/>
    <w:rsid w:val="00A91BEA"/>
    <w:rsid w:val="00A91FF1"/>
    <w:rsid w:val="00A92209"/>
    <w:rsid w:val="00A92212"/>
    <w:rsid w:val="00A92328"/>
    <w:rsid w:val="00A92456"/>
    <w:rsid w:val="00A92623"/>
    <w:rsid w:val="00A92757"/>
    <w:rsid w:val="00A92792"/>
    <w:rsid w:val="00A92830"/>
    <w:rsid w:val="00A9284F"/>
    <w:rsid w:val="00A92983"/>
    <w:rsid w:val="00A92A14"/>
    <w:rsid w:val="00A92AA2"/>
    <w:rsid w:val="00A92AB1"/>
    <w:rsid w:val="00A92FFB"/>
    <w:rsid w:val="00A93457"/>
    <w:rsid w:val="00A937CF"/>
    <w:rsid w:val="00A938F4"/>
    <w:rsid w:val="00A93E49"/>
    <w:rsid w:val="00A94103"/>
    <w:rsid w:val="00A943D5"/>
    <w:rsid w:val="00A946EC"/>
    <w:rsid w:val="00A94855"/>
    <w:rsid w:val="00A950D0"/>
    <w:rsid w:val="00A956AE"/>
    <w:rsid w:val="00A9593F"/>
    <w:rsid w:val="00A95F7D"/>
    <w:rsid w:val="00A95F9F"/>
    <w:rsid w:val="00A9600F"/>
    <w:rsid w:val="00A9616C"/>
    <w:rsid w:val="00A961EF"/>
    <w:rsid w:val="00A96652"/>
    <w:rsid w:val="00A966C4"/>
    <w:rsid w:val="00A96775"/>
    <w:rsid w:val="00A96A77"/>
    <w:rsid w:val="00A96A81"/>
    <w:rsid w:val="00A96BCD"/>
    <w:rsid w:val="00A96F1E"/>
    <w:rsid w:val="00A97102"/>
    <w:rsid w:val="00A97584"/>
    <w:rsid w:val="00A975DE"/>
    <w:rsid w:val="00A97615"/>
    <w:rsid w:val="00A97A9A"/>
    <w:rsid w:val="00A97ADE"/>
    <w:rsid w:val="00A97B33"/>
    <w:rsid w:val="00A97D46"/>
    <w:rsid w:val="00A97DBF"/>
    <w:rsid w:val="00A97F23"/>
    <w:rsid w:val="00A97F32"/>
    <w:rsid w:val="00AA0265"/>
    <w:rsid w:val="00AA0592"/>
    <w:rsid w:val="00AA05C7"/>
    <w:rsid w:val="00AA0671"/>
    <w:rsid w:val="00AA0799"/>
    <w:rsid w:val="00AA0DCB"/>
    <w:rsid w:val="00AA0F12"/>
    <w:rsid w:val="00AA0FB3"/>
    <w:rsid w:val="00AA113E"/>
    <w:rsid w:val="00AA1418"/>
    <w:rsid w:val="00AA143A"/>
    <w:rsid w:val="00AA1463"/>
    <w:rsid w:val="00AA1487"/>
    <w:rsid w:val="00AA149D"/>
    <w:rsid w:val="00AA158B"/>
    <w:rsid w:val="00AA1679"/>
    <w:rsid w:val="00AA1778"/>
    <w:rsid w:val="00AA198E"/>
    <w:rsid w:val="00AA1D0F"/>
    <w:rsid w:val="00AA1E05"/>
    <w:rsid w:val="00AA1E2A"/>
    <w:rsid w:val="00AA1EBF"/>
    <w:rsid w:val="00AA2158"/>
    <w:rsid w:val="00AA24B4"/>
    <w:rsid w:val="00AA2531"/>
    <w:rsid w:val="00AA253F"/>
    <w:rsid w:val="00AA26D7"/>
    <w:rsid w:val="00AA2727"/>
    <w:rsid w:val="00AA27C5"/>
    <w:rsid w:val="00AA28D7"/>
    <w:rsid w:val="00AA2AED"/>
    <w:rsid w:val="00AA2C00"/>
    <w:rsid w:val="00AA2C90"/>
    <w:rsid w:val="00AA2E25"/>
    <w:rsid w:val="00AA2EBB"/>
    <w:rsid w:val="00AA32B8"/>
    <w:rsid w:val="00AA3345"/>
    <w:rsid w:val="00AA33CC"/>
    <w:rsid w:val="00AA348D"/>
    <w:rsid w:val="00AA34D8"/>
    <w:rsid w:val="00AA3526"/>
    <w:rsid w:val="00AA3929"/>
    <w:rsid w:val="00AA3CC0"/>
    <w:rsid w:val="00AA3E71"/>
    <w:rsid w:val="00AA41C2"/>
    <w:rsid w:val="00AA42A3"/>
    <w:rsid w:val="00AA43AF"/>
    <w:rsid w:val="00AA4604"/>
    <w:rsid w:val="00AA47F0"/>
    <w:rsid w:val="00AA48B6"/>
    <w:rsid w:val="00AA4C61"/>
    <w:rsid w:val="00AA4EBE"/>
    <w:rsid w:val="00AA50F7"/>
    <w:rsid w:val="00AA5109"/>
    <w:rsid w:val="00AA535F"/>
    <w:rsid w:val="00AA540E"/>
    <w:rsid w:val="00AA55CF"/>
    <w:rsid w:val="00AA57B4"/>
    <w:rsid w:val="00AA5BC2"/>
    <w:rsid w:val="00AA5FAD"/>
    <w:rsid w:val="00AA61B7"/>
    <w:rsid w:val="00AA653E"/>
    <w:rsid w:val="00AA66BD"/>
    <w:rsid w:val="00AA6764"/>
    <w:rsid w:val="00AA6B5C"/>
    <w:rsid w:val="00AA6C6E"/>
    <w:rsid w:val="00AA6D5C"/>
    <w:rsid w:val="00AA6F79"/>
    <w:rsid w:val="00AA7AC8"/>
    <w:rsid w:val="00AA7D16"/>
    <w:rsid w:val="00AA7E82"/>
    <w:rsid w:val="00AA7F8E"/>
    <w:rsid w:val="00AB00A8"/>
    <w:rsid w:val="00AB0160"/>
    <w:rsid w:val="00AB032B"/>
    <w:rsid w:val="00AB05A2"/>
    <w:rsid w:val="00AB05E8"/>
    <w:rsid w:val="00AB061D"/>
    <w:rsid w:val="00AB064B"/>
    <w:rsid w:val="00AB0668"/>
    <w:rsid w:val="00AB0791"/>
    <w:rsid w:val="00AB0ADE"/>
    <w:rsid w:val="00AB0BC6"/>
    <w:rsid w:val="00AB0D7A"/>
    <w:rsid w:val="00AB0E79"/>
    <w:rsid w:val="00AB1060"/>
    <w:rsid w:val="00AB10D7"/>
    <w:rsid w:val="00AB1271"/>
    <w:rsid w:val="00AB1553"/>
    <w:rsid w:val="00AB19C9"/>
    <w:rsid w:val="00AB1C39"/>
    <w:rsid w:val="00AB1E09"/>
    <w:rsid w:val="00AB1EF6"/>
    <w:rsid w:val="00AB21B1"/>
    <w:rsid w:val="00AB2414"/>
    <w:rsid w:val="00AB24DA"/>
    <w:rsid w:val="00AB25C1"/>
    <w:rsid w:val="00AB27DC"/>
    <w:rsid w:val="00AB27F6"/>
    <w:rsid w:val="00AB296A"/>
    <w:rsid w:val="00AB2E5D"/>
    <w:rsid w:val="00AB3015"/>
    <w:rsid w:val="00AB326C"/>
    <w:rsid w:val="00AB33BE"/>
    <w:rsid w:val="00AB35A7"/>
    <w:rsid w:val="00AB4409"/>
    <w:rsid w:val="00AB446C"/>
    <w:rsid w:val="00AB4A31"/>
    <w:rsid w:val="00AB4A35"/>
    <w:rsid w:val="00AB4C64"/>
    <w:rsid w:val="00AB4D44"/>
    <w:rsid w:val="00AB4E1D"/>
    <w:rsid w:val="00AB4E6F"/>
    <w:rsid w:val="00AB4F90"/>
    <w:rsid w:val="00AB5330"/>
    <w:rsid w:val="00AB5746"/>
    <w:rsid w:val="00AB586A"/>
    <w:rsid w:val="00AB5DAC"/>
    <w:rsid w:val="00AB5FE7"/>
    <w:rsid w:val="00AB6104"/>
    <w:rsid w:val="00AB63BD"/>
    <w:rsid w:val="00AB64D7"/>
    <w:rsid w:val="00AB6580"/>
    <w:rsid w:val="00AB65A9"/>
    <w:rsid w:val="00AB661A"/>
    <w:rsid w:val="00AB6A65"/>
    <w:rsid w:val="00AB6BAD"/>
    <w:rsid w:val="00AB6D55"/>
    <w:rsid w:val="00AB6E4B"/>
    <w:rsid w:val="00AB6F82"/>
    <w:rsid w:val="00AB70BD"/>
    <w:rsid w:val="00AB734A"/>
    <w:rsid w:val="00AB7544"/>
    <w:rsid w:val="00AB7638"/>
    <w:rsid w:val="00AB763A"/>
    <w:rsid w:val="00AB7747"/>
    <w:rsid w:val="00AB7908"/>
    <w:rsid w:val="00AB7B56"/>
    <w:rsid w:val="00AB7CAB"/>
    <w:rsid w:val="00AB7EED"/>
    <w:rsid w:val="00AB7EFF"/>
    <w:rsid w:val="00AB7F60"/>
    <w:rsid w:val="00AC0075"/>
    <w:rsid w:val="00AC04C9"/>
    <w:rsid w:val="00AC05A6"/>
    <w:rsid w:val="00AC0925"/>
    <w:rsid w:val="00AC0BC9"/>
    <w:rsid w:val="00AC0C77"/>
    <w:rsid w:val="00AC0D46"/>
    <w:rsid w:val="00AC14CE"/>
    <w:rsid w:val="00AC14F2"/>
    <w:rsid w:val="00AC15A4"/>
    <w:rsid w:val="00AC20D7"/>
    <w:rsid w:val="00AC2493"/>
    <w:rsid w:val="00AC26F4"/>
    <w:rsid w:val="00AC2938"/>
    <w:rsid w:val="00AC2A56"/>
    <w:rsid w:val="00AC2A78"/>
    <w:rsid w:val="00AC2ACC"/>
    <w:rsid w:val="00AC2AD4"/>
    <w:rsid w:val="00AC2C7E"/>
    <w:rsid w:val="00AC2DEB"/>
    <w:rsid w:val="00AC2EDC"/>
    <w:rsid w:val="00AC31C2"/>
    <w:rsid w:val="00AC3437"/>
    <w:rsid w:val="00AC374E"/>
    <w:rsid w:val="00AC3884"/>
    <w:rsid w:val="00AC3AF4"/>
    <w:rsid w:val="00AC3BE2"/>
    <w:rsid w:val="00AC3EC4"/>
    <w:rsid w:val="00AC43BE"/>
    <w:rsid w:val="00AC43E3"/>
    <w:rsid w:val="00AC4721"/>
    <w:rsid w:val="00AC5330"/>
    <w:rsid w:val="00AC5F12"/>
    <w:rsid w:val="00AC631F"/>
    <w:rsid w:val="00AC64A8"/>
    <w:rsid w:val="00AC64FA"/>
    <w:rsid w:val="00AC654F"/>
    <w:rsid w:val="00AC6559"/>
    <w:rsid w:val="00AC657C"/>
    <w:rsid w:val="00AC65FE"/>
    <w:rsid w:val="00AC67CE"/>
    <w:rsid w:val="00AC68D8"/>
    <w:rsid w:val="00AC6D52"/>
    <w:rsid w:val="00AC7487"/>
    <w:rsid w:val="00AC762E"/>
    <w:rsid w:val="00AC7634"/>
    <w:rsid w:val="00AC78CB"/>
    <w:rsid w:val="00AC7B6C"/>
    <w:rsid w:val="00AC7B93"/>
    <w:rsid w:val="00AD0030"/>
    <w:rsid w:val="00AD03DB"/>
    <w:rsid w:val="00AD055E"/>
    <w:rsid w:val="00AD0567"/>
    <w:rsid w:val="00AD0717"/>
    <w:rsid w:val="00AD0BD4"/>
    <w:rsid w:val="00AD10B8"/>
    <w:rsid w:val="00AD11C9"/>
    <w:rsid w:val="00AD14D7"/>
    <w:rsid w:val="00AD156C"/>
    <w:rsid w:val="00AD1848"/>
    <w:rsid w:val="00AD1B1A"/>
    <w:rsid w:val="00AD1C0C"/>
    <w:rsid w:val="00AD1EA8"/>
    <w:rsid w:val="00AD1EB3"/>
    <w:rsid w:val="00AD1EBC"/>
    <w:rsid w:val="00AD296D"/>
    <w:rsid w:val="00AD2B4A"/>
    <w:rsid w:val="00AD2BEB"/>
    <w:rsid w:val="00AD2D23"/>
    <w:rsid w:val="00AD2D38"/>
    <w:rsid w:val="00AD2F3B"/>
    <w:rsid w:val="00AD2F64"/>
    <w:rsid w:val="00AD315A"/>
    <w:rsid w:val="00AD348E"/>
    <w:rsid w:val="00AD35D7"/>
    <w:rsid w:val="00AD36C6"/>
    <w:rsid w:val="00AD39CD"/>
    <w:rsid w:val="00AD3B11"/>
    <w:rsid w:val="00AD3BA3"/>
    <w:rsid w:val="00AD3BC0"/>
    <w:rsid w:val="00AD3D45"/>
    <w:rsid w:val="00AD47A7"/>
    <w:rsid w:val="00AD47D5"/>
    <w:rsid w:val="00AD486D"/>
    <w:rsid w:val="00AD49D9"/>
    <w:rsid w:val="00AD4E17"/>
    <w:rsid w:val="00AD4F8E"/>
    <w:rsid w:val="00AD5063"/>
    <w:rsid w:val="00AD50DC"/>
    <w:rsid w:val="00AD51F0"/>
    <w:rsid w:val="00AD5486"/>
    <w:rsid w:val="00AD54E4"/>
    <w:rsid w:val="00AD5622"/>
    <w:rsid w:val="00AD56EB"/>
    <w:rsid w:val="00AD572F"/>
    <w:rsid w:val="00AD576E"/>
    <w:rsid w:val="00AD57A6"/>
    <w:rsid w:val="00AD582A"/>
    <w:rsid w:val="00AD58F1"/>
    <w:rsid w:val="00AD593B"/>
    <w:rsid w:val="00AD5D0C"/>
    <w:rsid w:val="00AD5EF1"/>
    <w:rsid w:val="00AD5F36"/>
    <w:rsid w:val="00AD6035"/>
    <w:rsid w:val="00AD62C8"/>
    <w:rsid w:val="00AD679C"/>
    <w:rsid w:val="00AD6905"/>
    <w:rsid w:val="00AD6B49"/>
    <w:rsid w:val="00AD6D69"/>
    <w:rsid w:val="00AD6EF2"/>
    <w:rsid w:val="00AD7008"/>
    <w:rsid w:val="00AD7354"/>
    <w:rsid w:val="00AD73C0"/>
    <w:rsid w:val="00AD74AE"/>
    <w:rsid w:val="00AD77E7"/>
    <w:rsid w:val="00AD783B"/>
    <w:rsid w:val="00AD7D25"/>
    <w:rsid w:val="00AE033B"/>
    <w:rsid w:val="00AE03C1"/>
    <w:rsid w:val="00AE03D0"/>
    <w:rsid w:val="00AE0464"/>
    <w:rsid w:val="00AE046D"/>
    <w:rsid w:val="00AE0638"/>
    <w:rsid w:val="00AE0643"/>
    <w:rsid w:val="00AE07CB"/>
    <w:rsid w:val="00AE0AE8"/>
    <w:rsid w:val="00AE0CAB"/>
    <w:rsid w:val="00AE0FA7"/>
    <w:rsid w:val="00AE12B5"/>
    <w:rsid w:val="00AE149B"/>
    <w:rsid w:val="00AE1587"/>
    <w:rsid w:val="00AE15AE"/>
    <w:rsid w:val="00AE15ED"/>
    <w:rsid w:val="00AE170A"/>
    <w:rsid w:val="00AE186C"/>
    <w:rsid w:val="00AE1958"/>
    <w:rsid w:val="00AE1A37"/>
    <w:rsid w:val="00AE1BF4"/>
    <w:rsid w:val="00AE1C8B"/>
    <w:rsid w:val="00AE1DDB"/>
    <w:rsid w:val="00AE1E2A"/>
    <w:rsid w:val="00AE1E48"/>
    <w:rsid w:val="00AE20E3"/>
    <w:rsid w:val="00AE2625"/>
    <w:rsid w:val="00AE29D8"/>
    <w:rsid w:val="00AE3380"/>
    <w:rsid w:val="00AE3797"/>
    <w:rsid w:val="00AE3A15"/>
    <w:rsid w:val="00AE3C80"/>
    <w:rsid w:val="00AE40F0"/>
    <w:rsid w:val="00AE4362"/>
    <w:rsid w:val="00AE4448"/>
    <w:rsid w:val="00AE448B"/>
    <w:rsid w:val="00AE4743"/>
    <w:rsid w:val="00AE4BB6"/>
    <w:rsid w:val="00AE4CBB"/>
    <w:rsid w:val="00AE4DEF"/>
    <w:rsid w:val="00AE4E55"/>
    <w:rsid w:val="00AE5328"/>
    <w:rsid w:val="00AE5416"/>
    <w:rsid w:val="00AE576A"/>
    <w:rsid w:val="00AE59E0"/>
    <w:rsid w:val="00AE5D4F"/>
    <w:rsid w:val="00AE5F00"/>
    <w:rsid w:val="00AE5FAA"/>
    <w:rsid w:val="00AE647F"/>
    <w:rsid w:val="00AE678F"/>
    <w:rsid w:val="00AE6A7B"/>
    <w:rsid w:val="00AE6BCB"/>
    <w:rsid w:val="00AE6C61"/>
    <w:rsid w:val="00AE6D47"/>
    <w:rsid w:val="00AE6DA9"/>
    <w:rsid w:val="00AE71CF"/>
    <w:rsid w:val="00AE7821"/>
    <w:rsid w:val="00AE79E3"/>
    <w:rsid w:val="00AE7F9F"/>
    <w:rsid w:val="00AF00C2"/>
    <w:rsid w:val="00AF019C"/>
    <w:rsid w:val="00AF0489"/>
    <w:rsid w:val="00AF065E"/>
    <w:rsid w:val="00AF08CB"/>
    <w:rsid w:val="00AF0ADB"/>
    <w:rsid w:val="00AF0BCA"/>
    <w:rsid w:val="00AF0CBF"/>
    <w:rsid w:val="00AF10D0"/>
    <w:rsid w:val="00AF15CF"/>
    <w:rsid w:val="00AF165D"/>
    <w:rsid w:val="00AF196B"/>
    <w:rsid w:val="00AF1A54"/>
    <w:rsid w:val="00AF1D08"/>
    <w:rsid w:val="00AF1E09"/>
    <w:rsid w:val="00AF1E35"/>
    <w:rsid w:val="00AF1F77"/>
    <w:rsid w:val="00AF1F94"/>
    <w:rsid w:val="00AF20CA"/>
    <w:rsid w:val="00AF2142"/>
    <w:rsid w:val="00AF2336"/>
    <w:rsid w:val="00AF24CE"/>
    <w:rsid w:val="00AF257F"/>
    <w:rsid w:val="00AF2596"/>
    <w:rsid w:val="00AF27D4"/>
    <w:rsid w:val="00AF296D"/>
    <w:rsid w:val="00AF2B75"/>
    <w:rsid w:val="00AF2E86"/>
    <w:rsid w:val="00AF33CF"/>
    <w:rsid w:val="00AF3507"/>
    <w:rsid w:val="00AF3590"/>
    <w:rsid w:val="00AF42A0"/>
    <w:rsid w:val="00AF4338"/>
    <w:rsid w:val="00AF438A"/>
    <w:rsid w:val="00AF43A1"/>
    <w:rsid w:val="00AF43C7"/>
    <w:rsid w:val="00AF477A"/>
    <w:rsid w:val="00AF482E"/>
    <w:rsid w:val="00AF49C1"/>
    <w:rsid w:val="00AF49CB"/>
    <w:rsid w:val="00AF4D50"/>
    <w:rsid w:val="00AF4FD8"/>
    <w:rsid w:val="00AF4FF3"/>
    <w:rsid w:val="00AF52BC"/>
    <w:rsid w:val="00AF5335"/>
    <w:rsid w:val="00AF546E"/>
    <w:rsid w:val="00AF557D"/>
    <w:rsid w:val="00AF5CA1"/>
    <w:rsid w:val="00AF5D00"/>
    <w:rsid w:val="00AF5D10"/>
    <w:rsid w:val="00AF6170"/>
    <w:rsid w:val="00AF6179"/>
    <w:rsid w:val="00AF6410"/>
    <w:rsid w:val="00AF6828"/>
    <w:rsid w:val="00AF6C96"/>
    <w:rsid w:val="00AF6D59"/>
    <w:rsid w:val="00AF72E2"/>
    <w:rsid w:val="00AF7380"/>
    <w:rsid w:val="00AF745B"/>
    <w:rsid w:val="00AF756C"/>
    <w:rsid w:val="00AF75F5"/>
    <w:rsid w:val="00AF7686"/>
    <w:rsid w:val="00AF78F6"/>
    <w:rsid w:val="00AF7C65"/>
    <w:rsid w:val="00AF7ED8"/>
    <w:rsid w:val="00B00099"/>
    <w:rsid w:val="00B00154"/>
    <w:rsid w:val="00B00605"/>
    <w:rsid w:val="00B00625"/>
    <w:rsid w:val="00B00969"/>
    <w:rsid w:val="00B00BB9"/>
    <w:rsid w:val="00B013F7"/>
    <w:rsid w:val="00B014B8"/>
    <w:rsid w:val="00B014F9"/>
    <w:rsid w:val="00B01581"/>
    <w:rsid w:val="00B01C5D"/>
    <w:rsid w:val="00B01C86"/>
    <w:rsid w:val="00B01D70"/>
    <w:rsid w:val="00B025FA"/>
    <w:rsid w:val="00B02E7B"/>
    <w:rsid w:val="00B03213"/>
    <w:rsid w:val="00B0354A"/>
    <w:rsid w:val="00B03615"/>
    <w:rsid w:val="00B0371D"/>
    <w:rsid w:val="00B03857"/>
    <w:rsid w:val="00B03926"/>
    <w:rsid w:val="00B039D6"/>
    <w:rsid w:val="00B04076"/>
    <w:rsid w:val="00B04533"/>
    <w:rsid w:val="00B04904"/>
    <w:rsid w:val="00B04A91"/>
    <w:rsid w:val="00B04A9C"/>
    <w:rsid w:val="00B04DDA"/>
    <w:rsid w:val="00B04E35"/>
    <w:rsid w:val="00B04FD3"/>
    <w:rsid w:val="00B04FE8"/>
    <w:rsid w:val="00B05308"/>
    <w:rsid w:val="00B053BC"/>
    <w:rsid w:val="00B054D0"/>
    <w:rsid w:val="00B055FA"/>
    <w:rsid w:val="00B05802"/>
    <w:rsid w:val="00B05B8E"/>
    <w:rsid w:val="00B05E6C"/>
    <w:rsid w:val="00B06108"/>
    <w:rsid w:val="00B06157"/>
    <w:rsid w:val="00B0618B"/>
    <w:rsid w:val="00B0618E"/>
    <w:rsid w:val="00B0628C"/>
    <w:rsid w:val="00B0648E"/>
    <w:rsid w:val="00B066C8"/>
    <w:rsid w:val="00B06B97"/>
    <w:rsid w:val="00B06BDB"/>
    <w:rsid w:val="00B06CFB"/>
    <w:rsid w:val="00B06D7E"/>
    <w:rsid w:val="00B07016"/>
    <w:rsid w:val="00B070DB"/>
    <w:rsid w:val="00B072BB"/>
    <w:rsid w:val="00B072C6"/>
    <w:rsid w:val="00B0744E"/>
    <w:rsid w:val="00B075B2"/>
    <w:rsid w:val="00B077A0"/>
    <w:rsid w:val="00B07F8E"/>
    <w:rsid w:val="00B105B9"/>
    <w:rsid w:val="00B10711"/>
    <w:rsid w:val="00B10762"/>
    <w:rsid w:val="00B10D5E"/>
    <w:rsid w:val="00B10DDD"/>
    <w:rsid w:val="00B10E5E"/>
    <w:rsid w:val="00B11478"/>
    <w:rsid w:val="00B11AA2"/>
    <w:rsid w:val="00B11DAF"/>
    <w:rsid w:val="00B11F19"/>
    <w:rsid w:val="00B11FC3"/>
    <w:rsid w:val="00B120B0"/>
    <w:rsid w:val="00B122A4"/>
    <w:rsid w:val="00B12312"/>
    <w:rsid w:val="00B12526"/>
    <w:rsid w:val="00B125AA"/>
    <w:rsid w:val="00B1293F"/>
    <w:rsid w:val="00B1295A"/>
    <w:rsid w:val="00B12D84"/>
    <w:rsid w:val="00B12E8F"/>
    <w:rsid w:val="00B12EF9"/>
    <w:rsid w:val="00B12F7F"/>
    <w:rsid w:val="00B130DC"/>
    <w:rsid w:val="00B1342C"/>
    <w:rsid w:val="00B135A1"/>
    <w:rsid w:val="00B13C8E"/>
    <w:rsid w:val="00B13DAA"/>
    <w:rsid w:val="00B1410B"/>
    <w:rsid w:val="00B1465E"/>
    <w:rsid w:val="00B146A5"/>
    <w:rsid w:val="00B148EE"/>
    <w:rsid w:val="00B14C1A"/>
    <w:rsid w:val="00B15221"/>
    <w:rsid w:val="00B15297"/>
    <w:rsid w:val="00B15362"/>
    <w:rsid w:val="00B153FD"/>
    <w:rsid w:val="00B15918"/>
    <w:rsid w:val="00B15B42"/>
    <w:rsid w:val="00B15B8F"/>
    <w:rsid w:val="00B15C94"/>
    <w:rsid w:val="00B15F5E"/>
    <w:rsid w:val="00B165C5"/>
    <w:rsid w:val="00B165EA"/>
    <w:rsid w:val="00B16996"/>
    <w:rsid w:val="00B169E3"/>
    <w:rsid w:val="00B16B1B"/>
    <w:rsid w:val="00B17264"/>
    <w:rsid w:val="00B173EC"/>
    <w:rsid w:val="00B17468"/>
    <w:rsid w:val="00B17B71"/>
    <w:rsid w:val="00B17B88"/>
    <w:rsid w:val="00B17CC4"/>
    <w:rsid w:val="00B20375"/>
    <w:rsid w:val="00B20384"/>
    <w:rsid w:val="00B203E6"/>
    <w:rsid w:val="00B2047E"/>
    <w:rsid w:val="00B204B0"/>
    <w:rsid w:val="00B20550"/>
    <w:rsid w:val="00B205DE"/>
    <w:rsid w:val="00B20748"/>
    <w:rsid w:val="00B20A45"/>
    <w:rsid w:val="00B20BDD"/>
    <w:rsid w:val="00B210C1"/>
    <w:rsid w:val="00B210EF"/>
    <w:rsid w:val="00B2118B"/>
    <w:rsid w:val="00B212D4"/>
    <w:rsid w:val="00B21505"/>
    <w:rsid w:val="00B21AD0"/>
    <w:rsid w:val="00B21D41"/>
    <w:rsid w:val="00B220D2"/>
    <w:rsid w:val="00B22100"/>
    <w:rsid w:val="00B221E9"/>
    <w:rsid w:val="00B222AD"/>
    <w:rsid w:val="00B22569"/>
    <w:rsid w:val="00B225E6"/>
    <w:rsid w:val="00B226EA"/>
    <w:rsid w:val="00B227E1"/>
    <w:rsid w:val="00B22835"/>
    <w:rsid w:val="00B22850"/>
    <w:rsid w:val="00B2289F"/>
    <w:rsid w:val="00B22911"/>
    <w:rsid w:val="00B22C5C"/>
    <w:rsid w:val="00B22CAB"/>
    <w:rsid w:val="00B22F12"/>
    <w:rsid w:val="00B22F33"/>
    <w:rsid w:val="00B22F95"/>
    <w:rsid w:val="00B22F9D"/>
    <w:rsid w:val="00B230A2"/>
    <w:rsid w:val="00B23141"/>
    <w:rsid w:val="00B23287"/>
    <w:rsid w:val="00B23342"/>
    <w:rsid w:val="00B23393"/>
    <w:rsid w:val="00B23445"/>
    <w:rsid w:val="00B235EC"/>
    <w:rsid w:val="00B239F9"/>
    <w:rsid w:val="00B23D80"/>
    <w:rsid w:val="00B23E9C"/>
    <w:rsid w:val="00B23F75"/>
    <w:rsid w:val="00B24131"/>
    <w:rsid w:val="00B2440F"/>
    <w:rsid w:val="00B24A83"/>
    <w:rsid w:val="00B24EAA"/>
    <w:rsid w:val="00B24F30"/>
    <w:rsid w:val="00B253D0"/>
    <w:rsid w:val="00B253D5"/>
    <w:rsid w:val="00B253F6"/>
    <w:rsid w:val="00B25436"/>
    <w:rsid w:val="00B25699"/>
    <w:rsid w:val="00B256F3"/>
    <w:rsid w:val="00B2581F"/>
    <w:rsid w:val="00B26366"/>
    <w:rsid w:val="00B26372"/>
    <w:rsid w:val="00B26619"/>
    <w:rsid w:val="00B2668D"/>
    <w:rsid w:val="00B267F1"/>
    <w:rsid w:val="00B268D3"/>
    <w:rsid w:val="00B26A0C"/>
    <w:rsid w:val="00B26C04"/>
    <w:rsid w:val="00B26C56"/>
    <w:rsid w:val="00B26EB5"/>
    <w:rsid w:val="00B26F92"/>
    <w:rsid w:val="00B2721D"/>
    <w:rsid w:val="00B2731F"/>
    <w:rsid w:val="00B27339"/>
    <w:rsid w:val="00B2748D"/>
    <w:rsid w:val="00B27B9C"/>
    <w:rsid w:val="00B27BD4"/>
    <w:rsid w:val="00B3017D"/>
    <w:rsid w:val="00B3040C"/>
    <w:rsid w:val="00B30539"/>
    <w:rsid w:val="00B3068F"/>
    <w:rsid w:val="00B30806"/>
    <w:rsid w:val="00B30BBB"/>
    <w:rsid w:val="00B31165"/>
    <w:rsid w:val="00B31ABF"/>
    <w:rsid w:val="00B31E5E"/>
    <w:rsid w:val="00B31EB0"/>
    <w:rsid w:val="00B32026"/>
    <w:rsid w:val="00B320B0"/>
    <w:rsid w:val="00B32651"/>
    <w:rsid w:val="00B32755"/>
    <w:rsid w:val="00B328C1"/>
    <w:rsid w:val="00B32AF8"/>
    <w:rsid w:val="00B32C64"/>
    <w:rsid w:val="00B32CF9"/>
    <w:rsid w:val="00B32D19"/>
    <w:rsid w:val="00B32D9B"/>
    <w:rsid w:val="00B32E5F"/>
    <w:rsid w:val="00B32E8E"/>
    <w:rsid w:val="00B32ED5"/>
    <w:rsid w:val="00B32FD8"/>
    <w:rsid w:val="00B33756"/>
    <w:rsid w:val="00B337BC"/>
    <w:rsid w:val="00B33B5B"/>
    <w:rsid w:val="00B33BBF"/>
    <w:rsid w:val="00B33BE3"/>
    <w:rsid w:val="00B33DBB"/>
    <w:rsid w:val="00B33DDE"/>
    <w:rsid w:val="00B3402D"/>
    <w:rsid w:val="00B34039"/>
    <w:rsid w:val="00B3423D"/>
    <w:rsid w:val="00B3457C"/>
    <w:rsid w:val="00B34869"/>
    <w:rsid w:val="00B3502B"/>
    <w:rsid w:val="00B351C8"/>
    <w:rsid w:val="00B35290"/>
    <w:rsid w:val="00B352D2"/>
    <w:rsid w:val="00B352D3"/>
    <w:rsid w:val="00B35376"/>
    <w:rsid w:val="00B354B3"/>
    <w:rsid w:val="00B354F6"/>
    <w:rsid w:val="00B35C1B"/>
    <w:rsid w:val="00B35D4E"/>
    <w:rsid w:val="00B35DF4"/>
    <w:rsid w:val="00B35E2A"/>
    <w:rsid w:val="00B3600E"/>
    <w:rsid w:val="00B36032"/>
    <w:rsid w:val="00B3607F"/>
    <w:rsid w:val="00B363CD"/>
    <w:rsid w:val="00B3665F"/>
    <w:rsid w:val="00B366F4"/>
    <w:rsid w:val="00B367B2"/>
    <w:rsid w:val="00B36B19"/>
    <w:rsid w:val="00B36CFD"/>
    <w:rsid w:val="00B36D4D"/>
    <w:rsid w:val="00B36F59"/>
    <w:rsid w:val="00B373DD"/>
    <w:rsid w:val="00B37B1C"/>
    <w:rsid w:val="00B37C34"/>
    <w:rsid w:val="00B37D54"/>
    <w:rsid w:val="00B37E26"/>
    <w:rsid w:val="00B37E36"/>
    <w:rsid w:val="00B4027E"/>
    <w:rsid w:val="00B40360"/>
    <w:rsid w:val="00B403C9"/>
    <w:rsid w:val="00B4047C"/>
    <w:rsid w:val="00B40534"/>
    <w:rsid w:val="00B4084C"/>
    <w:rsid w:val="00B40926"/>
    <w:rsid w:val="00B40F6A"/>
    <w:rsid w:val="00B411CF"/>
    <w:rsid w:val="00B417EB"/>
    <w:rsid w:val="00B4181F"/>
    <w:rsid w:val="00B4189B"/>
    <w:rsid w:val="00B418E7"/>
    <w:rsid w:val="00B41B2E"/>
    <w:rsid w:val="00B41D34"/>
    <w:rsid w:val="00B420EC"/>
    <w:rsid w:val="00B42272"/>
    <w:rsid w:val="00B422F6"/>
    <w:rsid w:val="00B424FB"/>
    <w:rsid w:val="00B42D98"/>
    <w:rsid w:val="00B42E5D"/>
    <w:rsid w:val="00B43099"/>
    <w:rsid w:val="00B43243"/>
    <w:rsid w:val="00B435A4"/>
    <w:rsid w:val="00B438D9"/>
    <w:rsid w:val="00B43986"/>
    <w:rsid w:val="00B43BA6"/>
    <w:rsid w:val="00B43E1E"/>
    <w:rsid w:val="00B43E1F"/>
    <w:rsid w:val="00B4412F"/>
    <w:rsid w:val="00B441BA"/>
    <w:rsid w:val="00B444C9"/>
    <w:rsid w:val="00B444FB"/>
    <w:rsid w:val="00B448BE"/>
    <w:rsid w:val="00B448DF"/>
    <w:rsid w:val="00B44B33"/>
    <w:rsid w:val="00B454AF"/>
    <w:rsid w:val="00B4578C"/>
    <w:rsid w:val="00B45879"/>
    <w:rsid w:val="00B4592B"/>
    <w:rsid w:val="00B45951"/>
    <w:rsid w:val="00B45C0C"/>
    <w:rsid w:val="00B45CCC"/>
    <w:rsid w:val="00B45D15"/>
    <w:rsid w:val="00B46226"/>
    <w:rsid w:val="00B46301"/>
    <w:rsid w:val="00B46384"/>
    <w:rsid w:val="00B466E7"/>
    <w:rsid w:val="00B4673E"/>
    <w:rsid w:val="00B46773"/>
    <w:rsid w:val="00B46A3D"/>
    <w:rsid w:val="00B46D81"/>
    <w:rsid w:val="00B470BB"/>
    <w:rsid w:val="00B47279"/>
    <w:rsid w:val="00B47317"/>
    <w:rsid w:val="00B47D9C"/>
    <w:rsid w:val="00B5018C"/>
    <w:rsid w:val="00B501EF"/>
    <w:rsid w:val="00B5070C"/>
    <w:rsid w:val="00B50835"/>
    <w:rsid w:val="00B50B1A"/>
    <w:rsid w:val="00B50B94"/>
    <w:rsid w:val="00B50CD8"/>
    <w:rsid w:val="00B50CDD"/>
    <w:rsid w:val="00B50ED6"/>
    <w:rsid w:val="00B51083"/>
    <w:rsid w:val="00B51242"/>
    <w:rsid w:val="00B5163B"/>
    <w:rsid w:val="00B51682"/>
    <w:rsid w:val="00B5171E"/>
    <w:rsid w:val="00B51841"/>
    <w:rsid w:val="00B519C4"/>
    <w:rsid w:val="00B51C4B"/>
    <w:rsid w:val="00B51C65"/>
    <w:rsid w:val="00B51D37"/>
    <w:rsid w:val="00B51E62"/>
    <w:rsid w:val="00B51F83"/>
    <w:rsid w:val="00B52025"/>
    <w:rsid w:val="00B520F3"/>
    <w:rsid w:val="00B5239D"/>
    <w:rsid w:val="00B52411"/>
    <w:rsid w:val="00B5268C"/>
    <w:rsid w:val="00B527CA"/>
    <w:rsid w:val="00B52818"/>
    <w:rsid w:val="00B529DB"/>
    <w:rsid w:val="00B52B49"/>
    <w:rsid w:val="00B52C4B"/>
    <w:rsid w:val="00B52D0E"/>
    <w:rsid w:val="00B52EFC"/>
    <w:rsid w:val="00B53042"/>
    <w:rsid w:val="00B5309C"/>
    <w:rsid w:val="00B532F3"/>
    <w:rsid w:val="00B536A8"/>
    <w:rsid w:val="00B53B5D"/>
    <w:rsid w:val="00B53E3E"/>
    <w:rsid w:val="00B53F6C"/>
    <w:rsid w:val="00B542E8"/>
    <w:rsid w:val="00B546FB"/>
    <w:rsid w:val="00B54BAF"/>
    <w:rsid w:val="00B54BCF"/>
    <w:rsid w:val="00B54C74"/>
    <w:rsid w:val="00B54CB5"/>
    <w:rsid w:val="00B54E89"/>
    <w:rsid w:val="00B55167"/>
    <w:rsid w:val="00B551EB"/>
    <w:rsid w:val="00B55563"/>
    <w:rsid w:val="00B55728"/>
    <w:rsid w:val="00B55CA1"/>
    <w:rsid w:val="00B56028"/>
    <w:rsid w:val="00B56398"/>
    <w:rsid w:val="00B563A7"/>
    <w:rsid w:val="00B56698"/>
    <w:rsid w:val="00B5671C"/>
    <w:rsid w:val="00B56736"/>
    <w:rsid w:val="00B5674F"/>
    <w:rsid w:val="00B567AD"/>
    <w:rsid w:val="00B56BF8"/>
    <w:rsid w:val="00B56CCD"/>
    <w:rsid w:val="00B56E79"/>
    <w:rsid w:val="00B56F91"/>
    <w:rsid w:val="00B5737F"/>
    <w:rsid w:val="00B57457"/>
    <w:rsid w:val="00B57458"/>
    <w:rsid w:val="00B57529"/>
    <w:rsid w:val="00B575B1"/>
    <w:rsid w:val="00B57610"/>
    <w:rsid w:val="00B577D4"/>
    <w:rsid w:val="00B57825"/>
    <w:rsid w:val="00B57B79"/>
    <w:rsid w:val="00B57D7F"/>
    <w:rsid w:val="00B60059"/>
    <w:rsid w:val="00B601F4"/>
    <w:rsid w:val="00B6042F"/>
    <w:rsid w:val="00B6055E"/>
    <w:rsid w:val="00B605F2"/>
    <w:rsid w:val="00B607D5"/>
    <w:rsid w:val="00B60887"/>
    <w:rsid w:val="00B608A3"/>
    <w:rsid w:val="00B608EA"/>
    <w:rsid w:val="00B60B82"/>
    <w:rsid w:val="00B610A1"/>
    <w:rsid w:val="00B61586"/>
    <w:rsid w:val="00B61CBC"/>
    <w:rsid w:val="00B61F0B"/>
    <w:rsid w:val="00B62118"/>
    <w:rsid w:val="00B6232C"/>
    <w:rsid w:val="00B62492"/>
    <w:rsid w:val="00B6249C"/>
    <w:rsid w:val="00B626AD"/>
    <w:rsid w:val="00B6279F"/>
    <w:rsid w:val="00B62844"/>
    <w:rsid w:val="00B62882"/>
    <w:rsid w:val="00B628DB"/>
    <w:rsid w:val="00B62974"/>
    <w:rsid w:val="00B629DE"/>
    <w:rsid w:val="00B62AEF"/>
    <w:rsid w:val="00B62B11"/>
    <w:rsid w:val="00B62DEC"/>
    <w:rsid w:val="00B62E58"/>
    <w:rsid w:val="00B6317D"/>
    <w:rsid w:val="00B6334E"/>
    <w:rsid w:val="00B63401"/>
    <w:rsid w:val="00B6367D"/>
    <w:rsid w:val="00B636BF"/>
    <w:rsid w:val="00B637E3"/>
    <w:rsid w:val="00B63939"/>
    <w:rsid w:val="00B639A8"/>
    <w:rsid w:val="00B63A2D"/>
    <w:rsid w:val="00B63D6F"/>
    <w:rsid w:val="00B63DAF"/>
    <w:rsid w:val="00B6431C"/>
    <w:rsid w:val="00B64361"/>
    <w:rsid w:val="00B64374"/>
    <w:rsid w:val="00B6438F"/>
    <w:rsid w:val="00B646EB"/>
    <w:rsid w:val="00B647E3"/>
    <w:rsid w:val="00B64887"/>
    <w:rsid w:val="00B64A68"/>
    <w:rsid w:val="00B64B89"/>
    <w:rsid w:val="00B65049"/>
    <w:rsid w:val="00B65416"/>
    <w:rsid w:val="00B654D2"/>
    <w:rsid w:val="00B655B8"/>
    <w:rsid w:val="00B65693"/>
    <w:rsid w:val="00B657B5"/>
    <w:rsid w:val="00B659F4"/>
    <w:rsid w:val="00B65A7D"/>
    <w:rsid w:val="00B65A8E"/>
    <w:rsid w:val="00B65BFF"/>
    <w:rsid w:val="00B65C00"/>
    <w:rsid w:val="00B65CAC"/>
    <w:rsid w:val="00B662B1"/>
    <w:rsid w:val="00B66485"/>
    <w:rsid w:val="00B6663F"/>
    <w:rsid w:val="00B669F4"/>
    <w:rsid w:val="00B66D01"/>
    <w:rsid w:val="00B66DD1"/>
    <w:rsid w:val="00B67362"/>
    <w:rsid w:val="00B67903"/>
    <w:rsid w:val="00B6797A"/>
    <w:rsid w:val="00B67992"/>
    <w:rsid w:val="00B67EAF"/>
    <w:rsid w:val="00B67F8D"/>
    <w:rsid w:val="00B700C2"/>
    <w:rsid w:val="00B7058C"/>
    <w:rsid w:val="00B707F1"/>
    <w:rsid w:val="00B70918"/>
    <w:rsid w:val="00B70EE3"/>
    <w:rsid w:val="00B70F1C"/>
    <w:rsid w:val="00B70F5C"/>
    <w:rsid w:val="00B71122"/>
    <w:rsid w:val="00B712C0"/>
    <w:rsid w:val="00B71321"/>
    <w:rsid w:val="00B713EB"/>
    <w:rsid w:val="00B71530"/>
    <w:rsid w:val="00B71549"/>
    <w:rsid w:val="00B7163B"/>
    <w:rsid w:val="00B71899"/>
    <w:rsid w:val="00B718BE"/>
    <w:rsid w:val="00B71950"/>
    <w:rsid w:val="00B71D17"/>
    <w:rsid w:val="00B71EBD"/>
    <w:rsid w:val="00B7224A"/>
    <w:rsid w:val="00B72294"/>
    <w:rsid w:val="00B7232A"/>
    <w:rsid w:val="00B724CB"/>
    <w:rsid w:val="00B72504"/>
    <w:rsid w:val="00B7255B"/>
    <w:rsid w:val="00B72568"/>
    <w:rsid w:val="00B72614"/>
    <w:rsid w:val="00B72854"/>
    <w:rsid w:val="00B7299C"/>
    <w:rsid w:val="00B72B76"/>
    <w:rsid w:val="00B72D01"/>
    <w:rsid w:val="00B72D41"/>
    <w:rsid w:val="00B730CB"/>
    <w:rsid w:val="00B735D0"/>
    <w:rsid w:val="00B73AF4"/>
    <w:rsid w:val="00B73BFC"/>
    <w:rsid w:val="00B73C1A"/>
    <w:rsid w:val="00B73C6C"/>
    <w:rsid w:val="00B73E61"/>
    <w:rsid w:val="00B73E79"/>
    <w:rsid w:val="00B73FC3"/>
    <w:rsid w:val="00B74081"/>
    <w:rsid w:val="00B743BE"/>
    <w:rsid w:val="00B74782"/>
    <w:rsid w:val="00B747F5"/>
    <w:rsid w:val="00B74B29"/>
    <w:rsid w:val="00B74B68"/>
    <w:rsid w:val="00B74BB2"/>
    <w:rsid w:val="00B74D2B"/>
    <w:rsid w:val="00B75076"/>
    <w:rsid w:val="00B75628"/>
    <w:rsid w:val="00B75899"/>
    <w:rsid w:val="00B75CA0"/>
    <w:rsid w:val="00B75F64"/>
    <w:rsid w:val="00B762E2"/>
    <w:rsid w:val="00B765B6"/>
    <w:rsid w:val="00B766DD"/>
    <w:rsid w:val="00B767E9"/>
    <w:rsid w:val="00B768F5"/>
    <w:rsid w:val="00B76C6E"/>
    <w:rsid w:val="00B7723F"/>
    <w:rsid w:val="00B77248"/>
    <w:rsid w:val="00B773F1"/>
    <w:rsid w:val="00B77900"/>
    <w:rsid w:val="00B77AD9"/>
    <w:rsid w:val="00B77BBC"/>
    <w:rsid w:val="00B80156"/>
    <w:rsid w:val="00B801FA"/>
    <w:rsid w:val="00B803F3"/>
    <w:rsid w:val="00B80534"/>
    <w:rsid w:val="00B8053E"/>
    <w:rsid w:val="00B8071D"/>
    <w:rsid w:val="00B80FEB"/>
    <w:rsid w:val="00B80FF4"/>
    <w:rsid w:val="00B81208"/>
    <w:rsid w:val="00B81349"/>
    <w:rsid w:val="00B815E8"/>
    <w:rsid w:val="00B818A0"/>
    <w:rsid w:val="00B818A5"/>
    <w:rsid w:val="00B81B2B"/>
    <w:rsid w:val="00B81E7A"/>
    <w:rsid w:val="00B82066"/>
    <w:rsid w:val="00B82159"/>
    <w:rsid w:val="00B82350"/>
    <w:rsid w:val="00B824D8"/>
    <w:rsid w:val="00B827FF"/>
    <w:rsid w:val="00B82C22"/>
    <w:rsid w:val="00B82C99"/>
    <w:rsid w:val="00B82D18"/>
    <w:rsid w:val="00B830B5"/>
    <w:rsid w:val="00B83130"/>
    <w:rsid w:val="00B835BB"/>
    <w:rsid w:val="00B83682"/>
    <w:rsid w:val="00B837B7"/>
    <w:rsid w:val="00B83923"/>
    <w:rsid w:val="00B83A10"/>
    <w:rsid w:val="00B83E32"/>
    <w:rsid w:val="00B83EF1"/>
    <w:rsid w:val="00B83F85"/>
    <w:rsid w:val="00B83FB8"/>
    <w:rsid w:val="00B83FD3"/>
    <w:rsid w:val="00B83FF8"/>
    <w:rsid w:val="00B8424E"/>
    <w:rsid w:val="00B842A6"/>
    <w:rsid w:val="00B8433C"/>
    <w:rsid w:val="00B8434D"/>
    <w:rsid w:val="00B84350"/>
    <w:rsid w:val="00B847F4"/>
    <w:rsid w:val="00B848FA"/>
    <w:rsid w:val="00B84BE7"/>
    <w:rsid w:val="00B84D5E"/>
    <w:rsid w:val="00B84E27"/>
    <w:rsid w:val="00B850EE"/>
    <w:rsid w:val="00B8513C"/>
    <w:rsid w:val="00B85257"/>
    <w:rsid w:val="00B858BF"/>
    <w:rsid w:val="00B858D8"/>
    <w:rsid w:val="00B85934"/>
    <w:rsid w:val="00B85F45"/>
    <w:rsid w:val="00B85FF9"/>
    <w:rsid w:val="00B8619E"/>
    <w:rsid w:val="00B86320"/>
    <w:rsid w:val="00B868D0"/>
    <w:rsid w:val="00B8692D"/>
    <w:rsid w:val="00B86BD8"/>
    <w:rsid w:val="00B86C65"/>
    <w:rsid w:val="00B86C66"/>
    <w:rsid w:val="00B86E71"/>
    <w:rsid w:val="00B8720C"/>
    <w:rsid w:val="00B8733C"/>
    <w:rsid w:val="00B87367"/>
    <w:rsid w:val="00B87491"/>
    <w:rsid w:val="00B877F3"/>
    <w:rsid w:val="00B878E7"/>
    <w:rsid w:val="00B879F3"/>
    <w:rsid w:val="00B87A88"/>
    <w:rsid w:val="00B87C8B"/>
    <w:rsid w:val="00B87CBA"/>
    <w:rsid w:val="00B900B0"/>
    <w:rsid w:val="00B90206"/>
    <w:rsid w:val="00B903D8"/>
    <w:rsid w:val="00B90576"/>
    <w:rsid w:val="00B90713"/>
    <w:rsid w:val="00B908F0"/>
    <w:rsid w:val="00B90B18"/>
    <w:rsid w:val="00B90C6C"/>
    <w:rsid w:val="00B90D3A"/>
    <w:rsid w:val="00B90DA6"/>
    <w:rsid w:val="00B90DD5"/>
    <w:rsid w:val="00B9110D"/>
    <w:rsid w:val="00B91208"/>
    <w:rsid w:val="00B91241"/>
    <w:rsid w:val="00B91259"/>
    <w:rsid w:val="00B91378"/>
    <w:rsid w:val="00B91489"/>
    <w:rsid w:val="00B91A04"/>
    <w:rsid w:val="00B91A49"/>
    <w:rsid w:val="00B91E05"/>
    <w:rsid w:val="00B921D3"/>
    <w:rsid w:val="00B9257A"/>
    <w:rsid w:val="00B925A6"/>
    <w:rsid w:val="00B926BD"/>
    <w:rsid w:val="00B928D7"/>
    <w:rsid w:val="00B92D1B"/>
    <w:rsid w:val="00B92D7C"/>
    <w:rsid w:val="00B92FE0"/>
    <w:rsid w:val="00B93063"/>
    <w:rsid w:val="00B93073"/>
    <w:rsid w:val="00B93511"/>
    <w:rsid w:val="00B93545"/>
    <w:rsid w:val="00B93573"/>
    <w:rsid w:val="00B9367B"/>
    <w:rsid w:val="00B93A5F"/>
    <w:rsid w:val="00B940C5"/>
    <w:rsid w:val="00B94310"/>
    <w:rsid w:val="00B94376"/>
    <w:rsid w:val="00B947DA"/>
    <w:rsid w:val="00B94A25"/>
    <w:rsid w:val="00B9509C"/>
    <w:rsid w:val="00B9511C"/>
    <w:rsid w:val="00B951C4"/>
    <w:rsid w:val="00B95277"/>
    <w:rsid w:val="00B952E4"/>
    <w:rsid w:val="00B956E4"/>
    <w:rsid w:val="00B95708"/>
    <w:rsid w:val="00B958C6"/>
    <w:rsid w:val="00B95904"/>
    <w:rsid w:val="00B96006"/>
    <w:rsid w:val="00B96299"/>
    <w:rsid w:val="00B9665D"/>
    <w:rsid w:val="00B96714"/>
    <w:rsid w:val="00B96772"/>
    <w:rsid w:val="00B96918"/>
    <w:rsid w:val="00B96D0B"/>
    <w:rsid w:val="00B96D45"/>
    <w:rsid w:val="00B9716D"/>
    <w:rsid w:val="00B979AD"/>
    <w:rsid w:val="00B97B20"/>
    <w:rsid w:val="00B97BC5"/>
    <w:rsid w:val="00B97BCB"/>
    <w:rsid w:val="00B97BED"/>
    <w:rsid w:val="00B97C2C"/>
    <w:rsid w:val="00B97CD3"/>
    <w:rsid w:val="00BA0470"/>
    <w:rsid w:val="00BA05D0"/>
    <w:rsid w:val="00BA068D"/>
    <w:rsid w:val="00BA06DD"/>
    <w:rsid w:val="00BA0716"/>
    <w:rsid w:val="00BA0A66"/>
    <w:rsid w:val="00BA0AE7"/>
    <w:rsid w:val="00BA0D27"/>
    <w:rsid w:val="00BA0D99"/>
    <w:rsid w:val="00BA1055"/>
    <w:rsid w:val="00BA139A"/>
    <w:rsid w:val="00BA14BC"/>
    <w:rsid w:val="00BA1780"/>
    <w:rsid w:val="00BA17D9"/>
    <w:rsid w:val="00BA1B5A"/>
    <w:rsid w:val="00BA1C32"/>
    <w:rsid w:val="00BA1CC0"/>
    <w:rsid w:val="00BA1EE8"/>
    <w:rsid w:val="00BA2139"/>
    <w:rsid w:val="00BA220E"/>
    <w:rsid w:val="00BA22FA"/>
    <w:rsid w:val="00BA23C2"/>
    <w:rsid w:val="00BA243E"/>
    <w:rsid w:val="00BA2587"/>
    <w:rsid w:val="00BA25DD"/>
    <w:rsid w:val="00BA27E6"/>
    <w:rsid w:val="00BA2955"/>
    <w:rsid w:val="00BA29E9"/>
    <w:rsid w:val="00BA2AB8"/>
    <w:rsid w:val="00BA3143"/>
    <w:rsid w:val="00BA38B3"/>
    <w:rsid w:val="00BA39ED"/>
    <w:rsid w:val="00BA3A4B"/>
    <w:rsid w:val="00BA3E5E"/>
    <w:rsid w:val="00BA406E"/>
    <w:rsid w:val="00BA4332"/>
    <w:rsid w:val="00BA4530"/>
    <w:rsid w:val="00BA45A5"/>
    <w:rsid w:val="00BA466B"/>
    <w:rsid w:val="00BA471D"/>
    <w:rsid w:val="00BA49B5"/>
    <w:rsid w:val="00BA4A4F"/>
    <w:rsid w:val="00BA4CB6"/>
    <w:rsid w:val="00BA4E99"/>
    <w:rsid w:val="00BA50B7"/>
    <w:rsid w:val="00BA51E9"/>
    <w:rsid w:val="00BA5256"/>
    <w:rsid w:val="00BA58A5"/>
    <w:rsid w:val="00BA5B10"/>
    <w:rsid w:val="00BA5B37"/>
    <w:rsid w:val="00BA5C7F"/>
    <w:rsid w:val="00BA5CEC"/>
    <w:rsid w:val="00BA5DF5"/>
    <w:rsid w:val="00BA5E00"/>
    <w:rsid w:val="00BA5E25"/>
    <w:rsid w:val="00BA5F16"/>
    <w:rsid w:val="00BA5F27"/>
    <w:rsid w:val="00BA60A8"/>
    <w:rsid w:val="00BA612A"/>
    <w:rsid w:val="00BA6205"/>
    <w:rsid w:val="00BA63C6"/>
    <w:rsid w:val="00BA63F4"/>
    <w:rsid w:val="00BA65B7"/>
    <w:rsid w:val="00BA68E8"/>
    <w:rsid w:val="00BA6FBB"/>
    <w:rsid w:val="00BA7142"/>
    <w:rsid w:val="00BA738B"/>
    <w:rsid w:val="00BA74A4"/>
    <w:rsid w:val="00BA78DE"/>
    <w:rsid w:val="00BA79D6"/>
    <w:rsid w:val="00BA7AF4"/>
    <w:rsid w:val="00BA7E8F"/>
    <w:rsid w:val="00BB00FA"/>
    <w:rsid w:val="00BB01AF"/>
    <w:rsid w:val="00BB028E"/>
    <w:rsid w:val="00BB04CB"/>
    <w:rsid w:val="00BB0AAC"/>
    <w:rsid w:val="00BB0B3D"/>
    <w:rsid w:val="00BB0E0C"/>
    <w:rsid w:val="00BB0E2C"/>
    <w:rsid w:val="00BB0E9F"/>
    <w:rsid w:val="00BB0F77"/>
    <w:rsid w:val="00BB0FBA"/>
    <w:rsid w:val="00BB0FEE"/>
    <w:rsid w:val="00BB109D"/>
    <w:rsid w:val="00BB12AA"/>
    <w:rsid w:val="00BB1474"/>
    <w:rsid w:val="00BB1519"/>
    <w:rsid w:val="00BB158D"/>
    <w:rsid w:val="00BB18AE"/>
    <w:rsid w:val="00BB199A"/>
    <w:rsid w:val="00BB1BBE"/>
    <w:rsid w:val="00BB1DCC"/>
    <w:rsid w:val="00BB2062"/>
    <w:rsid w:val="00BB2193"/>
    <w:rsid w:val="00BB220B"/>
    <w:rsid w:val="00BB2211"/>
    <w:rsid w:val="00BB2278"/>
    <w:rsid w:val="00BB22DC"/>
    <w:rsid w:val="00BB22EA"/>
    <w:rsid w:val="00BB2357"/>
    <w:rsid w:val="00BB237C"/>
    <w:rsid w:val="00BB23FB"/>
    <w:rsid w:val="00BB249D"/>
    <w:rsid w:val="00BB264D"/>
    <w:rsid w:val="00BB26E6"/>
    <w:rsid w:val="00BB2E5A"/>
    <w:rsid w:val="00BB3116"/>
    <w:rsid w:val="00BB3148"/>
    <w:rsid w:val="00BB3472"/>
    <w:rsid w:val="00BB3911"/>
    <w:rsid w:val="00BB3B2E"/>
    <w:rsid w:val="00BB3B8B"/>
    <w:rsid w:val="00BB3CC0"/>
    <w:rsid w:val="00BB3FA7"/>
    <w:rsid w:val="00BB411E"/>
    <w:rsid w:val="00BB41A3"/>
    <w:rsid w:val="00BB4313"/>
    <w:rsid w:val="00BB45D2"/>
    <w:rsid w:val="00BB47D5"/>
    <w:rsid w:val="00BB4961"/>
    <w:rsid w:val="00BB4987"/>
    <w:rsid w:val="00BB4AFC"/>
    <w:rsid w:val="00BB4B39"/>
    <w:rsid w:val="00BB50F6"/>
    <w:rsid w:val="00BB5330"/>
    <w:rsid w:val="00BB5585"/>
    <w:rsid w:val="00BB55E8"/>
    <w:rsid w:val="00BB58A3"/>
    <w:rsid w:val="00BB5A0A"/>
    <w:rsid w:val="00BB5BAC"/>
    <w:rsid w:val="00BB5BC1"/>
    <w:rsid w:val="00BB5EFD"/>
    <w:rsid w:val="00BB5F0F"/>
    <w:rsid w:val="00BB5FAC"/>
    <w:rsid w:val="00BB61F5"/>
    <w:rsid w:val="00BB663D"/>
    <w:rsid w:val="00BB6D14"/>
    <w:rsid w:val="00BB70B8"/>
    <w:rsid w:val="00BB7220"/>
    <w:rsid w:val="00BB7302"/>
    <w:rsid w:val="00BB7305"/>
    <w:rsid w:val="00BB749A"/>
    <w:rsid w:val="00BB7540"/>
    <w:rsid w:val="00BB780E"/>
    <w:rsid w:val="00BB7BC0"/>
    <w:rsid w:val="00BB7C83"/>
    <w:rsid w:val="00BB7D98"/>
    <w:rsid w:val="00BB7E9C"/>
    <w:rsid w:val="00BB7F3E"/>
    <w:rsid w:val="00BC0055"/>
    <w:rsid w:val="00BC0091"/>
    <w:rsid w:val="00BC047B"/>
    <w:rsid w:val="00BC076D"/>
    <w:rsid w:val="00BC07BD"/>
    <w:rsid w:val="00BC07E2"/>
    <w:rsid w:val="00BC0880"/>
    <w:rsid w:val="00BC0BA7"/>
    <w:rsid w:val="00BC0D1A"/>
    <w:rsid w:val="00BC1069"/>
    <w:rsid w:val="00BC16AC"/>
    <w:rsid w:val="00BC1708"/>
    <w:rsid w:val="00BC1D25"/>
    <w:rsid w:val="00BC1E02"/>
    <w:rsid w:val="00BC2038"/>
    <w:rsid w:val="00BC2131"/>
    <w:rsid w:val="00BC25CB"/>
    <w:rsid w:val="00BC2D4D"/>
    <w:rsid w:val="00BC312F"/>
    <w:rsid w:val="00BC31C6"/>
    <w:rsid w:val="00BC32DC"/>
    <w:rsid w:val="00BC34BD"/>
    <w:rsid w:val="00BC34E1"/>
    <w:rsid w:val="00BC35B6"/>
    <w:rsid w:val="00BC369E"/>
    <w:rsid w:val="00BC387D"/>
    <w:rsid w:val="00BC3AB4"/>
    <w:rsid w:val="00BC3C09"/>
    <w:rsid w:val="00BC3C33"/>
    <w:rsid w:val="00BC3C70"/>
    <w:rsid w:val="00BC3CF9"/>
    <w:rsid w:val="00BC405C"/>
    <w:rsid w:val="00BC42B3"/>
    <w:rsid w:val="00BC434A"/>
    <w:rsid w:val="00BC4477"/>
    <w:rsid w:val="00BC47B5"/>
    <w:rsid w:val="00BC4A0A"/>
    <w:rsid w:val="00BC4BF5"/>
    <w:rsid w:val="00BC4C2C"/>
    <w:rsid w:val="00BC4F10"/>
    <w:rsid w:val="00BC50EF"/>
    <w:rsid w:val="00BC5152"/>
    <w:rsid w:val="00BC53CE"/>
    <w:rsid w:val="00BC55CC"/>
    <w:rsid w:val="00BC572A"/>
    <w:rsid w:val="00BC5982"/>
    <w:rsid w:val="00BC5CA4"/>
    <w:rsid w:val="00BC5D2E"/>
    <w:rsid w:val="00BC5DD8"/>
    <w:rsid w:val="00BC5EC0"/>
    <w:rsid w:val="00BC5F01"/>
    <w:rsid w:val="00BC5FA6"/>
    <w:rsid w:val="00BC6209"/>
    <w:rsid w:val="00BC6215"/>
    <w:rsid w:val="00BC65D1"/>
    <w:rsid w:val="00BC6C3C"/>
    <w:rsid w:val="00BC6D58"/>
    <w:rsid w:val="00BC6E0B"/>
    <w:rsid w:val="00BC6F4C"/>
    <w:rsid w:val="00BC703C"/>
    <w:rsid w:val="00BC70D2"/>
    <w:rsid w:val="00BC7403"/>
    <w:rsid w:val="00BC7761"/>
    <w:rsid w:val="00BC7D19"/>
    <w:rsid w:val="00BC7F7A"/>
    <w:rsid w:val="00BD0020"/>
    <w:rsid w:val="00BD00A8"/>
    <w:rsid w:val="00BD00CB"/>
    <w:rsid w:val="00BD02FE"/>
    <w:rsid w:val="00BD040E"/>
    <w:rsid w:val="00BD0840"/>
    <w:rsid w:val="00BD0F3F"/>
    <w:rsid w:val="00BD0FDC"/>
    <w:rsid w:val="00BD13BF"/>
    <w:rsid w:val="00BD15CC"/>
    <w:rsid w:val="00BD15E3"/>
    <w:rsid w:val="00BD1634"/>
    <w:rsid w:val="00BD1720"/>
    <w:rsid w:val="00BD172F"/>
    <w:rsid w:val="00BD1733"/>
    <w:rsid w:val="00BD1AF5"/>
    <w:rsid w:val="00BD1B51"/>
    <w:rsid w:val="00BD1B6E"/>
    <w:rsid w:val="00BD1F12"/>
    <w:rsid w:val="00BD1F95"/>
    <w:rsid w:val="00BD21F4"/>
    <w:rsid w:val="00BD230D"/>
    <w:rsid w:val="00BD23AA"/>
    <w:rsid w:val="00BD247D"/>
    <w:rsid w:val="00BD24A3"/>
    <w:rsid w:val="00BD25E1"/>
    <w:rsid w:val="00BD2746"/>
    <w:rsid w:val="00BD2802"/>
    <w:rsid w:val="00BD28BD"/>
    <w:rsid w:val="00BD30BA"/>
    <w:rsid w:val="00BD31EC"/>
    <w:rsid w:val="00BD3280"/>
    <w:rsid w:val="00BD32F9"/>
    <w:rsid w:val="00BD33FD"/>
    <w:rsid w:val="00BD367E"/>
    <w:rsid w:val="00BD38C3"/>
    <w:rsid w:val="00BD3921"/>
    <w:rsid w:val="00BD39E3"/>
    <w:rsid w:val="00BD3D32"/>
    <w:rsid w:val="00BD3DB5"/>
    <w:rsid w:val="00BD3F08"/>
    <w:rsid w:val="00BD41A7"/>
    <w:rsid w:val="00BD448C"/>
    <w:rsid w:val="00BD4576"/>
    <w:rsid w:val="00BD4596"/>
    <w:rsid w:val="00BD4799"/>
    <w:rsid w:val="00BD48D2"/>
    <w:rsid w:val="00BD49F6"/>
    <w:rsid w:val="00BD4C50"/>
    <w:rsid w:val="00BD4C64"/>
    <w:rsid w:val="00BD4D23"/>
    <w:rsid w:val="00BD4E2E"/>
    <w:rsid w:val="00BD4FD8"/>
    <w:rsid w:val="00BD5122"/>
    <w:rsid w:val="00BD57F6"/>
    <w:rsid w:val="00BD5834"/>
    <w:rsid w:val="00BD5839"/>
    <w:rsid w:val="00BD5F01"/>
    <w:rsid w:val="00BD61B7"/>
    <w:rsid w:val="00BD62BB"/>
    <w:rsid w:val="00BD64ED"/>
    <w:rsid w:val="00BD695A"/>
    <w:rsid w:val="00BD6B7C"/>
    <w:rsid w:val="00BD6E9A"/>
    <w:rsid w:val="00BD71F2"/>
    <w:rsid w:val="00BD753E"/>
    <w:rsid w:val="00BD76AC"/>
    <w:rsid w:val="00BD77E3"/>
    <w:rsid w:val="00BD7B71"/>
    <w:rsid w:val="00BD7C97"/>
    <w:rsid w:val="00BD7DD8"/>
    <w:rsid w:val="00BE013E"/>
    <w:rsid w:val="00BE014B"/>
    <w:rsid w:val="00BE041E"/>
    <w:rsid w:val="00BE04FE"/>
    <w:rsid w:val="00BE0677"/>
    <w:rsid w:val="00BE0A6B"/>
    <w:rsid w:val="00BE0CE7"/>
    <w:rsid w:val="00BE11F7"/>
    <w:rsid w:val="00BE1405"/>
    <w:rsid w:val="00BE15A7"/>
    <w:rsid w:val="00BE16E3"/>
    <w:rsid w:val="00BE1BBB"/>
    <w:rsid w:val="00BE1D5B"/>
    <w:rsid w:val="00BE1DA3"/>
    <w:rsid w:val="00BE1E78"/>
    <w:rsid w:val="00BE1F79"/>
    <w:rsid w:val="00BE1FB0"/>
    <w:rsid w:val="00BE227C"/>
    <w:rsid w:val="00BE2344"/>
    <w:rsid w:val="00BE250A"/>
    <w:rsid w:val="00BE2A0A"/>
    <w:rsid w:val="00BE2AD2"/>
    <w:rsid w:val="00BE2C33"/>
    <w:rsid w:val="00BE2EA2"/>
    <w:rsid w:val="00BE30F1"/>
    <w:rsid w:val="00BE312D"/>
    <w:rsid w:val="00BE3137"/>
    <w:rsid w:val="00BE3266"/>
    <w:rsid w:val="00BE33A5"/>
    <w:rsid w:val="00BE33FA"/>
    <w:rsid w:val="00BE35DD"/>
    <w:rsid w:val="00BE3673"/>
    <w:rsid w:val="00BE36F1"/>
    <w:rsid w:val="00BE3705"/>
    <w:rsid w:val="00BE380A"/>
    <w:rsid w:val="00BE3965"/>
    <w:rsid w:val="00BE3B24"/>
    <w:rsid w:val="00BE3B4F"/>
    <w:rsid w:val="00BE3BF9"/>
    <w:rsid w:val="00BE4370"/>
    <w:rsid w:val="00BE44CB"/>
    <w:rsid w:val="00BE45CB"/>
    <w:rsid w:val="00BE473E"/>
    <w:rsid w:val="00BE4807"/>
    <w:rsid w:val="00BE48D0"/>
    <w:rsid w:val="00BE4904"/>
    <w:rsid w:val="00BE4B89"/>
    <w:rsid w:val="00BE4D8C"/>
    <w:rsid w:val="00BE5193"/>
    <w:rsid w:val="00BE5268"/>
    <w:rsid w:val="00BE52C0"/>
    <w:rsid w:val="00BE569C"/>
    <w:rsid w:val="00BE59AF"/>
    <w:rsid w:val="00BE5BEB"/>
    <w:rsid w:val="00BE5C5C"/>
    <w:rsid w:val="00BE5C77"/>
    <w:rsid w:val="00BE6172"/>
    <w:rsid w:val="00BE6729"/>
    <w:rsid w:val="00BE6858"/>
    <w:rsid w:val="00BE6C04"/>
    <w:rsid w:val="00BE6C57"/>
    <w:rsid w:val="00BE7193"/>
    <w:rsid w:val="00BE724C"/>
    <w:rsid w:val="00BE732C"/>
    <w:rsid w:val="00BE7356"/>
    <w:rsid w:val="00BE7593"/>
    <w:rsid w:val="00BE789F"/>
    <w:rsid w:val="00BE7A65"/>
    <w:rsid w:val="00BE7B0C"/>
    <w:rsid w:val="00BE7B69"/>
    <w:rsid w:val="00BE7BAA"/>
    <w:rsid w:val="00BF01C1"/>
    <w:rsid w:val="00BF0264"/>
    <w:rsid w:val="00BF043F"/>
    <w:rsid w:val="00BF047A"/>
    <w:rsid w:val="00BF0619"/>
    <w:rsid w:val="00BF0852"/>
    <w:rsid w:val="00BF0887"/>
    <w:rsid w:val="00BF0AAB"/>
    <w:rsid w:val="00BF0E4E"/>
    <w:rsid w:val="00BF12EA"/>
    <w:rsid w:val="00BF14F3"/>
    <w:rsid w:val="00BF15C8"/>
    <w:rsid w:val="00BF17CB"/>
    <w:rsid w:val="00BF188F"/>
    <w:rsid w:val="00BF1C20"/>
    <w:rsid w:val="00BF21AD"/>
    <w:rsid w:val="00BF226C"/>
    <w:rsid w:val="00BF2390"/>
    <w:rsid w:val="00BF268B"/>
    <w:rsid w:val="00BF26CE"/>
    <w:rsid w:val="00BF2750"/>
    <w:rsid w:val="00BF29DF"/>
    <w:rsid w:val="00BF2D6A"/>
    <w:rsid w:val="00BF2E8D"/>
    <w:rsid w:val="00BF3054"/>
    <w:rsid w:val="00BF3363"/>
    <w:rsid w:val="00BF3816"/>
    <w:rsid w:val="00BF39E5"/>
    <w:rsid w:val="00BF3A69"/>
    <w:rsid w:val="00BF3AE7"/>
    <w:rsid w:val="00BF3EC6"/>
    <w:rsid w:val="00BF3F07"/>
    <w:rsid w:val="00BF42F9"/>
    <w:rsid w:val="00BF44A0"/>
    <w:rsid w:val="00BF4561"/>
    <w:rsid w:val="00BF477A"/>
    <w:rsid w:val="00BF4A69"/>
    <w:rsid w:val="00BF4B92"/>
    <w:rsid w:val="00BF4DCE"/>
    <w:rsid w:val="00BF51F7"/>
    <w:rsid w:val="00BF5435"/>
    <w:rsid w:val="00BF5547"/>
    <w:rsid w:val="00BF564C"/>
    <w:rsid w:val="00BF58EC"/>
    <w:rsid w:val="00BF5910"/>
    <w:rsid w:val="00BF599C"/>
    <w:rsid w:val="00BF5CFD"/>
    <w:rsid w:val="00BF5E78"/>
    <w:rsid w:val="00BF613A"/>
    <w:rsid w:val="00BF6AA2"/>
    <w:rsid w:val="00BF7119"/>
    <w:rsid w:val="00BF72AA"/>
    <w:rsid w:val="00BF72CC"/>
    <w:rsid w:val="00BF72CF"/>
    <w:rsid w:val="00BF7501"/>
    <w:rsid w:val="00BF7524"/>
    <w:rsid w:val="00BF75A7"/>
    <w:rsid w:val="00BF7789"/>
    <w:rsid w:val="00BF77FE"/>
    <w:rsid w:val="00BF7887"/>
    <w:rsid w:val="00BF79F1"/>
    <w:rsid w:val="00BF7A88"/>
    <w:rsid w:val="00BF7CA5"/>
    <w:rsid w:val="00BF7D3A"/>
    <w:rsid w:val="00BF7D71"/>
    <w:rsid w:val="00C00029"/>
    <w:rsid w:val="00C00039"/>
    <w:rsid w:val="00C0044C"/>
    <w:rsid w:val="00C0065C"/>
    <w:rsid w:val="00C00907"/>
    <w:rsid w:val="00C00DD5"/>
    <w:rsid w:val="00C00E6B"/>
    <w:rsid w:val="00C00EFC"/>
    <w:rsid w:val="00C00F8E"/>
    <w:rsid w:val="00C0102E"/>
    <w:rsid w:val="00C01081"/>
    <w:rsid w:val="00C010C2"/>
    <w:rsid w:val="00C010D8"/>
    <w:rsid w:val="00C017B5"/>
    <w:rsid w:val="00C01A8A"/>
    <w:rsid w:val="00C01B8F"/>
    <w:rsid w:val="00C01E5B"/>
    <w:rsid w:val="00C01FFD"/>
    <w:rsid w:val="00C02061"/>
    <w:rsid w:val="00C020D1"/>
    <w:rsid w:val="00C021A6"/>
    <w:rsid w:val="00C022BB"/>
    <w:rsid w:val="00C027C2"/>
    <w:rsid w:val="00C0280C"/>
    <w:rsid w:val="00C02851"/>
    <w:rsid w:val="00C02986"/>
    <w:rsid w:val="00C02A66"/>
    <w:rsid w:val="00C02B14"/>
    <w:rsid w:val="00C02B2A"/>
    <w:rsid w:val="00C02EC8"/>
    <w:rsid w:val="00C03018"/>
    <w:rsid w:val="00C0312A"/>
    <w:rsid w:val="00C0320F"/>
    <w:rsid w:val="00C033C3"/>
    <w:rsid w:val="00C034CA"/>
    <w:rsid w:val="00C036E7"/>
    <w:rsid w:val="00C0376B"/>
    <w:rsid w:val="00C03799"/>
    <w:rsid w:val="00C037D3"/>
    <w:rsid w:val="00C03B46"/>
    <w:rsid w:val="00C03B8B"/>
    <w:rsid w:val="00C04385"/>
    <w:rsid w:val="00C04398"/>
    <w:rsid w:val="00C044A5"/>
    <w:rsid w:val="00C047E9"/>
    <w:rsid w:val="00C04D75"/>
    <w:rsid w:val="00C04E8E"/>
    <w:rsid w:val="00C04F76"/>
    <w:rsid w:val="00C04F97"/>
    <w:rsid w:val="00C05046"/>
    <w:rsid w:val="00C051AB"/>
    <w:rsid w:val="00C053AD"/>
    <w:rsid w:val="00C05585"/>
    <w:rsid w:val="00C057CD"/>
    <w:rsid w:val="00C05A00"/>
    <w:rsid w:val="00C05AAB"/>
    <w:rsid w:val="00C05B36"/>
    <w:rsid w:val="00C05E7D"/>
    <w:rsid w:val="00C0628A"/>
    <w:rsid w:val="00C0634C"/>
    <w:rsid w:val="00C0644B"/>
    <w:rsid w:val="00C0676B"/>
    <w:rsid w:val="00C06A79"/>
    <w:rsid w:val="00C06B6A"/>
    <w:rsid w:val="00C06DFF"/>
    <w:rsid w:val="00C070F4"/>
    <w:rsid w:val="00C071E0"/>
    <w:rsid w:val="00C071F4"/>
    <w:rsid w:val="00C07314"/>
    <w:rsid w:val="00C07318"/>
    <w:rsid w:val="00C073EC"/>
    <w:rsid w:val="00C07969"/>
    <w:rsid w:val="00C079A7"/>
    <w:rsid w:val="00C079C2"/>
    <w:rsid w:val="00C07A78"/>
    <w:rsid w:val="00C07B27"/>
    <w:rsid w:val="00C07D1E"/>
    <w:rsid w:val="00C07EEA"/>
    <w:rsid w:val="00C07F2A"/>
    <w:rsid w:val="00C10229"/>
    <w:rsid w:val="00C10416"/>
    <w:rsid w:val="00C10578"/>
    <w:rsid w:val="00C10B62"/>
    <w:rsid w:val="00C10CC2"/>
    <w:rsid w:val="00C10DED"/>
    <w:rsid w:val="00C10E7E"/>
    <w:rsid w:val="00C10F5D"/>
    <w:rsid w:val="00C111FB"/>
    <w:rsid w:val="00C1128D"/>
    <w:rsid w:val="00C112B5"/>
    <w:rsid w:val="00C1130A"/>
    <w:rsid w:val="00C1138B"/>
    <w:rsid w:val="00C1145F"/>
    <w:rsid w:val="00C11731"/>
    <w:rsid w:val="00C1220B"/>
    <w:rsid w:val="00C124C6"/>
    <w:rsid w:val="00C124D8"/>
    <w:rsid w:val="00C12519"/>
    <w:rsid w:val="00C12589"/>
    <w:rsid w:val="00C125A6"/>
    <w:rsid w:val="00C127E4"/>
    <w:rsid w:val="00C12861"/>
    <w:rsid w:val="00C12A83"/>
    <w:rsid w:val="00C12B32"/>
    <w:rsid w:val="00C13049"/>
    <w:rsid w:val="00C131EF"/>
    <w:rsid w:val="00C13202"/>
    <w:rsid w:val="00C1327F"/>
    <w:rsid w:val="00C13345"/>
    <w:rsid w:val="00C1342A"/>
    <w:rsid w:val="00C135BC"/>
    <w:rsid w:val="00C13730"/>
    <w:rsid w:val="00C139B3"/>
    <w:rsid w:val="00C13C80"/>
    <w:rsid w:val="00C13FB2"/>
    <w:rsid w:val="00C13FF7"/>
    <w:rsid w:val="00C14230"/>
    <w:rsid w:val="00C143A6"/>
    <w:rsid w:val="00C144C6"/>
    <w:rsid w:val="00C1457E"/>
    <w:rsid w:val="00C145B9"/>
    <w:rsid w:val="00C146D9"/>
    <w:rsid w:val="00C147E3"/>
    <w:rsid w:val="00C147F9"/>
    <w:rsid w:val="00C149B9"/>
    <w:rsid w:val="00C149F3"/>
    <w:rsid w:val="00C14D03"/>
    <w:rsid w:val="00C14DE2"/>
    <w:rsid w:val="00C151F6"/>
    <w:rsid w:val="00C152B5"/>
    <w:rsid w:val="00C1541C"/>
    <w:rsid w:val="00C156D4"/>
    <w:rsid w:val="00C15739"/>
    <w:rsid w:val="00C15AE3"/>
    <w:rsid w:val="00C15C21"/>
    <w:rsid w:val="00C15C95"/>
    <w:rsid w:val="00C15D32"/>
    <w:rsid w:val="00C15EFC"/>
    <w:rsid w:val="00C15F92"/>
    <w:rsid w:val="00C160FE"/>
    <w:rsid w:val="00C16123"/>
    <w:rsid w:val="00C1616C"/>
    <w:rsid w:val="00C16188"/>
    <w:rsid w:val="00C162EA"/>
    <w:rsid w:val="00C16682"/>
    <w:rsid w:val="00C1672B"/>
    <w:rsid w:val="00C16951"/>
    <w:rsid w:val="00C16BC4"/>
    <w:rsid w:val="00C16C6C"/>
    <w:rsid w:val="00C16D28"/>
    <w:rsid w:val="00C17076"/>
    <w:rsid w:val="00C17694"/>
    <w:rsid w:val="00C17ADE"/>
    <w:rsid w:val="00C17D78"/>
    <w:rsid w:val="00C17EA2"/>
    <w:rsid w:val="00C17F41"/>
    <w:rsid w:val="00C20733"/>
    <w:rsid w:val="00C2073B"/>
    <w:rsid w:val="00C2077E"/>
    <w:rsid w:val="00C207F2"/>
    <w:rsid w:val="00C2088B"/>
    <w:rsid w:val="00C20AD9"/>
    <w:rsid w:val="00C20C3C"/>
    <w:rsid w:val="00C20C83"/>
    <w:rsid w:val="00C20C87"/>
    <w:rsid w:val="00C21988"/>
    <w:rsid w:val="00C21ABD"/>
    <w:rsid w:val="00C21E0A"/>
    <w:rsid w:val="00C21ED4"/>
    <w:rsid w:val="00C22046"/>
    <w:rsid w:val="00C220AB"/>
    <w:rsid w:val="00C2213B"/>
    <w:rsid w:val="00C221B1"/>
    <w:rsid w:val="00C22238"/>
    <w:rsid w:val="00C22565"/>
    <w:rsid w:val="00C2280A"/>
    <w:rsid w:val="00C2298A"/>
    <w:rsid w:val="00C22B19"/>
    <w:rsid w:val="00C22BE6"/>
    <w:rsid w:val="00C23046"/>
    <w:rsid w:val="00C231DA"/>
    <w:rsid w:val="00C23350"/>
    <w:rsid w:val="00C23621"/>
    <w:rsid w:val="00C23694"/>
    <w:rsid w:val="00C23738"/>
    <w:rsid w:val="00C23BFF"/>
    <w:rsid w:val="00C23E72"/>
    <w:rsid w:val="00C24406"/>
    <w:rsid w:val="00C244A3"/>
    <w:rsid w:val="00C24617"/>
    <w:rsid w:val="00C2477A"/>
    <w:rsid w:val="00C24822"/>
    <w:rsid w:val="00C248CF"/>
    <w:rsid w:val="00C2493C"/>
    <w:rsid w:val="00C24E8C"/>
    <w:rsid w:val="00C25106"/>
    <w:rsid w:val="00C253CC"/>
    <w:rsid w:val="00C2556A"/>
    <w:rsid w:val="00C256F8"/>
    <w:rsid w:val="00C25815"/>
    <w:rsid w:val="00C25858"/>
    <w:rsid w:val="00C25886"/>
    <w:rsid w:val="00C2596A"/>
    <w:rsid w:val="00C259DB"/>
    <w:rsid w:val="00C25A42"/>
    <w:rsid w:val="00C25AF3"/>
    <w:rsid w:val="00C25CF7"/>
    <w:rsid w:val="00C25D0A"/>
    <w:rsid w:val="00C260D2"/>
    <w:rsid w:val="00C26405"/>
    <w:rsid w:val="00C26585"/>
    <w:rsid w:val="00C265CE"/>
    <w:rsid w:val="00C26608"/>
    <w:rsid w:val="00C26816"/>
    <w:rsid w:val="00C26841"/>
    <w:rsid w:val="00C268AA"/>
    <w:rsid w:val="00C268E5"/>
    <w:rsid w:val="00C26A1B"/>
    <w:rsid w:val="00C26AA2"/>
    <w:rsid w:val="00C26CA2"/>
    <w:rsid w:val="00C26E1D"/>
    <w:rsid w:val="00C26FD2"/>
    <w:rsid w:val="00C2745A"/>
    <w:rsid w:val="00C27477"/>
    <w:rsid w:val="00C27537"/>
    <w:rsid w:val="00C277D6"/>
    <w:rsid w:val="00C277F4"/>
    <w:rsid w:val="00C27935"/>
    <w:rsid w:val="00C27987"/>
    <w:rsid w:val="00C27A4B"/>
    <w:rsid w:val="00C27DD1"/>
    <w:rsid w:val="00C30129"/>
    <w:rsid w:val="00C3023C"/>
    <w:rsid w:val="00C302CE"/>
    <w:rsid w:val="00C3064D"/>
    <w:rsid w:val="00C3068E"/>
    <w:rsid w:val="00C30A08"/>
    <w:rsid w:val="00C30B4C"/>
    <w:rsid w:val="00C30BC9"/>
    <w:rsid w:val="00C30C67"/>
    <w:rsid w:val="00C31254"/>
    <w:rsid w:val="00C31610"/>
    <w:rsid w:val="00C31757"/>
    <w:rsid w:val="00C31A50"/>
    <w:rsid w:val="00C31C2B"/>
    <w:rsid w:val="00C3201D"/>
    <w:rsid w:val="00C32126"/>
    <w:rsid w:val="00C321FD"/>
    <w:rsid w:val="00C32436"/>
    <w:rsid w:val="00C325D8"/>
    <w:rsid w:val="00C326DE"/>
    <w:rsid w:val="00C328FE"/>
    <w:rsid w:val="00C32B0D"/>
    <w:rsid w:val="00C32C61"/>
    <w:rsid w:val="00C32EAF"/>
    <w:rsid w:val="00C3301A"/>
    <w:rsid w:val="00C33149"/>
    <w:rsid w:val="00C33297"/>
    <w:rsid w:val="00C33471"/>
    <w:rsid w:val="00C33507"/>
    <w:rsid w:val="00C336A3"/>
    <w:rsid w:val="00C33742"/>
    <w:rsid w:val="00C33A89"/>
    <w:rsid w:val="00C33BB4"/>
    <w:rsid w:val="00C33BE2"/>
    <w:rsid w:val="00C33DBF"/>
    <w:rsid w:val="00C33DD7"/>
    <w:rsid w:val="00C33F18"/>
    <w:rsid w:val="00C33F79"/>
    <w:rsid w:val="00C33FDA"/>
    <w:rsid w:val="00C3401C"/>
    <w:rsid w:val="00C3516C"/>
    <w:rsid w:val="00C35470"/>
    <w:rsid w:val="00C3555A"/>
    <w:rsid w:val="00C3583E"/>
    <w:rsid w:val="00C358B9"/>
    <w:rsid w:val="00C35CB7"/>
    <w:rsid w:val="00C35CD3"/>
    <w:rsid w:val="00C36029"/>
    <w:rsid w:val="00C36666"/>
    <w:rsid w:val="00C366B3"/>
    <w:rsid w:val="00C3674B"/>
    <w:rsid w:val="00C36784"/>
    <w:rsid w:val="00C36BD7"/>
    <w:rsid w:val="00C36D58"/>
    <w:rsid w:val="00C37100"/>
    <w:rsid w:val="00C3734C"/>
    <w:rsid w:val="00C375E6"/>
    <w:rsid w:val="00C376E3"/>
    <w:rsid w:val="00C377C1"/>
    <w:rsid w:val="00C3794D"/>
    <w:rsid w:val="00C37AC8"/>
    <w:rsid w:val="00C37C47"/>
    <w:rsid w:val="00C37FC9"/>
    <w:rsid w:val="00C4005F"/>
    <w:rsid w:val="00C40070"/>
    <w:rsid w:val="00C40284"/>
    <w:rsid w:val="00C40359"/>
    <w:rsid w:val="00C403D5"/>
    <w:rsid w:val="00C40558"/>
    <w:rsid w:val="00C40857"/>
    <w:rsid w:val="00C409BB"/>
    <w:rsid w:val="00C40B41"/>
    <w:rsid w:val="00C40F84"/>
    <w:rsid w:val="00C40FB4"/>
    <w:rsid w:val="00C4128F"/>
    <w:rsid w:val="00C413F6"/>
    <w:rsid w:val="00C41481"/>
    <w:rsid w:val="00C41607"/>
    <w:rsid w:val="00C416D3"/>
    <w:rsid w:val="00C41AE0"/>
    <w:rsid w:val="00C41DC1"/>
    <w:rsid w:val="00C41F77"/>
    <w:rsid w:val="00C424C0"/>
    <w:rsid w:val="00C424D8"/>
    <w:rsid w:val="00C4267B"/>
    <w:rsid w:val="00C427BC"/>
    <w:rsid w:val="00C427E8"/>
    <w:rsid w:val="00C42A47"/>
    <w:rsid w:val="00C42C62"/>
    <w:rsid w:val="00C43029"/>
    <w:rsid w:val="00C4308F"/>
    <w:rsid w:val="00C43213"/>
    <w:rsid w:val="00C43275"/>
    <w:rsid w:val="00C4342F"/>
    <w:rsid w:val="00C4375E"/>
    <w:rsid w:val="00C43C4A"/>
    <w:rsid w:val="00C43CB7"/>
    <w:rsid w:val="00C43E4B"/>
    <w:rsid w:val="00C4409D"/>
    <w:rsid w:val="00C441ED"/>
    <w:rsid w:val="00C4431A"/>
    <w:rsid w:val="00C4436F"/>
    <w:rsid w:val="00C44549"/>
    <w:rsid w:val="00C4459A"/>
    <w:rsid w:val="00C44610"/>
    <w:rsid w:val="00C44707"/>
    <w:rsid w:val="00C44930"/>
    <w:rsid w:val="00C449C0"/>
    <w:rsid w:val="00C449EE"/>
    <w:rsid w:val="00C44AC7"/>
    <w:rsid w:val="00C44C31"/>
    <w:rsid w:val="00C44C5B"/>
    <w:rsid w:val="00C44DF7"/>
    <w:rsid w:val="00C44E72"/>
    <w:rsid w:val="00C44EF4"/>
    <w:rsid w:val="00C450CC"/>
    <w:rsid w:val="00C45253"/>
    <w:rsid w:val="00C4540D"/>
    <w:rsid w:val="00C456AA"/>
    <w:rsid w:val="00C4582D"/>
    <w:rsid w:val="00C45A06"/>
    <w:rsid w:val="00C45C08"/>
    <w:rsid w:val="00C45C59"/>
    <w:rsid w:val="00C45DAE"/>
    <w:rsid w:val="00C45FC3"/>
    <w:rsid w:val="00C46052"/>
    <w:rsid w:val="00C46127"/>
    <w:rsid w:val="00C4665B"/>
    <w:rsid w:val="00C466CF"/>
    <w:rsid w:val="00C467CC"/>
    <w:rsid w:val="00C46A93"/>
    <w:rsid w:val="00C46A9D"/>
    <w:rsid w:val="00C46CE1"/>
    <w:rsid w:val="00C46EA1"/>
    <w:rsid w:val="00C46FB4"/>
    <w:rsid w:val="00C46FCE"/>
    <w:rsid w:val="00C47264"/>
    <w:rsid w:val="00C477C5"/>
    <w:rsid w:val="00C477FF"/>
    <w:rsid w:val="00C47BB6"/>
    <w:rsid w:val="00C47E5B"/>
    <w:rsid w:val="00C47FF0"/>
    <w:rsid w:val="00C5003E"/>
    <w:rsid w:val="00C5019E"/>
    <w:rsid w:val="00C502E5"/>
    <w:rsid w:val="00C504A9"/>
    <w:rsid w:val="00C5098B"/>
    <w:rsid w:val="00C50C55"/>
    <w:rsid w:val="00C50DAE"/>
    <w:rsid w:val="00C50DEA"/>
    <w:rsid w:val="00C50DF2"/>
    <w:rsid w:val="00C50F4D"/>
    <w:rsid w:val="00C51344"/>
    <w:rsid w:val="00C516AB"/>
    <w:rsid w:val="00C517FA"/>
    <w:rsid w:val="00C517FF"/>
    <w:rsid w:val="00C51944"/>
    <w:rsid w:val="00C51A0A"/>
    <w:rsid w:val="00C51EF6"/>
    <w:rsid w:val="00C52168"/>
    <w:rsid w:val="00C5259A"/>
    <w:rsid w:val="00C52795"/>
    <w:rsid w:val="00C5289C"/>
    <w:rsid w:val="00C528CB"/>
    <w:rsid w:val="00C52972"/>
    <w:rsid w:val="00C52B67"/>
    <w:rsid w:val="00C52BA9"/>
    <w:rsid w:val="00C52C6A"/>
    <w:rsid w:val="00C53110"/>
    <w:rsid w:val="00C532E2"/>
    <w:rsid w:val="00C53413"/>
    <w:rsid w:val="00C53A7F"/>
    <w:rsid w:val="00C53C2B"/>
    <w:rsid w:val="00C53C74"/>
    <w:rsid w:val="00C53F99"/>
    <w:rsid w:val="00C53FAB"/>
    <w:rsid w:val="00C54053"/>
    <w:rsid w:val="00C5453D"/>
    <w:rsid w:val="00C54757"/>
    <w:rsid w:val="00C54923"/>
    <w:rsid w:val="00C54B89"/>
    <w:rsid w:val="00C54CB8"/>
    <w:rsid w:val="00C55096"/>
    <w:rsid w:val="00C5558E"/>
    <w:rsid w:val="00C558D2"/>
    <w:rsid w:val="00C55B51"/>
    <w:rsid w:val="00C55D2A"/>
    <w:rsid w:val="00C55FA0"/>
    <w:rsid w:val="00C56260"/>
    <w:rsid w:val="00C5628B"/>
    <w:rsid w:val="00C562EF"/>
    <w:rsid w:val="00C56450"/>
    <w:rsid w:val="00C5654C"/>
    <w:rsid w:val="00C56724"/>
    <w:rsid w:val="00C5696A"/>
    <w:rsid w:val="00C56D3A"/>
    <w:rsid w:val="00C56E6B"/>
    <w:rsid w:val="00C56F6C"/>
    <w:rsid w:val="00C57130"/>
    <w:rsid w:val="00C57145"/>
    <w:rsid w:val="00C5769C"/>
    <w:rsid w:val="00C57928"/>
    <w:rsid w:val="00C60080"/>
    <w:rsid w:val="00C602CC"/>
    <w:rsid w:val="00C60A32"/>
    <w:rsid w:val="00C60B55"/>
    <w:rsid w:val="00C6113B"/>
    <w:rsid w:val="00C6173D"/>
    <w:rsid w:val="00C61943"/>
    <w:rsid w:val="00C61B78"/>
    <w:rsid w:val="00C61E4B"/>
    <w:rsid w:val="00C623CF"/>
    <w:rsid w:val="00C62696"/>
    <w:rsid w:val="00C62736"/>
    <w:rsid w:val="00C62AEF"/>
    <w:rsid w:val="00C62BB3"/>
    <w:rsid w:val="00C630BE"/>
    <w:rsid w:val="00C630D4"/>
    <w:rsid w:val="00C63141"/>
    <w:rsid w:val="00C63217"/>
    <w:rsid w:val="00C6350A"/>
    <w:rsid w:val="00C637A8"/>
    <w:rsid w:val="00C63F82"/>
    <w:rsid w:val="00C6401C"/>
    <w:rsid w:val="00C64064"/>
    <w:rsid w:val="00C641E4"/>
    <w:rsid w:val="00C643DF"/>
    <w:rsid w:val="00C6466C"/>
    <w:rsid w:val="00C646C7"/>
    <w:rsid w:val="00C64BFF"/>
    <w:rsid w:val="00C64D12"/>
    <w:rsid w:val="00C64FDB"/>
    <w:rsid w:val="00C6515B"/>
    <w:rsid w:val="00C6562F"/>
    <w:rsid w:val="00C65B31"/>
    <w:rsid w:val="00C65B3A"/>
    <w:rsid w:val="00C65CE6"/>
    <w:rsid w:val="00C65D1F"/>
    <w:rsid w:val="00C65F31"/>
    <w:rsid w:val="00C6600B"/>
    <w:rsid w:val="00C66106"/>
    <w:rsid w:val="00C66638"/>
    <w:rsid w:val="00C669D9"/>
    <w:rsid w:val="00C66C62"/>
    <w:rsid w:val="00C66CEF"/>
    <w:rsid w:val="00C66FA9"/>
    <w:rsid w:val="00C670FA"/>
    <w:rsid w:val="00C6727E"/>
    <w:rsid w:val="00C67383"/>
    <w:rsid w:val="00C67B37"/>
    <w:rsid w:val="00C67B3B"/>
    <w:rsid w:val="00C67C84"/>
    <w:rsid w:val="00C67D28"/>
    <w:rsid w:val="00C7009B"/>
    <w:rsid w:val="00C7015F"/>
    <w:rsid w:val="00C70162"/>
    <w:rsid w:val="00C702CC"/>
    <w:rsid w:val="00C704E9"/>
    <w:rsid w:val="00C70801"/>
    <w:rsid w:val="00C70808"/>
    <w:rsid w:val="00C7088F"/>
    <w:rsid w:val="00C70A38"/>
    <w:rsid w:val="00C70C79"/>
    <w:rsid w:val="00C70D9A"/>
    <w:rsid w:val="00C70E1D"/>
    <w:rsid w:val="00C714B3"/>
    <w:rsid w:val="00C715EE"/>
    <w:rsid w:val="00C7180E"/>
    <w:rsid w:val="00C718E6"/>
    <w:rsid w:val="00C7193B"/>
    <w:rsid w:val="00C719D4"/>
    <w:rsid w:val="00C71BE4"/>
    <w:rsid w:val="00C720E1"/>
    <w:rsid w:val="00C720F3"/>
    <w:rsid w:val="00C72127"/>
    <w:rsid w:val="00C7215B"/>
    <w:rsid w:val="00C72285"/>
    <w:rsid w:val="00C7231A"/>
    <w:rsid w:val="00C72845"/>
    <w:rsid w:val="00C72C01"/>
    <w:rsid w:val="00C730BA"/>
    <w:rsid w:val="00C73156"/>
    <w:rsid w:val="00C7345E"/>
    <w:rsid w:val="00C73604"/>
    <w:rsid w:val="00C7374D"/>
    <w:rsid w:val="00C73785"/>
    <w:rsid w:val="00C73841"/>
    <w:rsid w:val="00C73C6F"/>
    <w:rsid w:val="00C73D80"/>
    <w:rsid w:val="00C73EBB"/>
    <w:rsid w:val="00C741D3"/>
    <w:rsid w:val="00C7468F"/>
    <w:rsid w:val="00C74824"/>
    <w:rsid w:val="00C749AA"/>
    <w:rsid w:val="00C749C3"/>
    <w:rsid w:val="00C74AFD"/>
    <w:rsid w:val="00C74BDB"/>
    <w:rsid w:val="00C74D43"/>
    <w:rsid w:val="00C74D9C"/>
    <w:rsid w:val="00C74E08"/>
    <w:rsid w:val="00C75203"/>
    <w:rsid w:val="00C758F7"/>
    <w:rsid w:val="00C75941"/>
    <w:rsid w:val="00C75B16"/>
    <w:rsid w:val="00C75B52"/>
    <w:rsid w:val="00C75CA7"/>
    <w:rsid w:val="00C7605C"/>
    <w:rsid w:val="00C760FD"/>
    <w:rsid w:val="00C76100"/>
    <w:rsid w:val="00C7616B"/>
    <w:rsid w:val="00C76231"/>
    <w:rsid w:val="00C762DE"/>
    <w:rsid w:val="00C7633D"/>
    <w:rsid w:val="00C763C7"/>
    <w:rsid w:val="00C763C9"/>
    <w:rsid w:val="00C7667F"/>
    <w:rsid w:val="00C7689F"/>
    <w:rsid w:val="00C76996"/>
    <w:rsid w:val="00C76F5A"/>
    <w:rsid w:val="00C77042"/>
    <w:rsid w:val="00C771B0"/>
    <w:rsid w:val="00C77715"/>
    <w:rsid w:val="00C8001C"/>
    <w:rsid w:val="00C80057"/>
    <w:rsid w:val="00C8010D"/>
    <w:rsid w:val="00C80575"/>
    <w:rsid w:val="00C8093A"/>
    <w:rsid w:val="00C80979"/>
    <w:rsid w:val="00C80A64"/>
    <w:rsid w:val="00C80E5E"/>
    <w:rsid w:val="00C80ECE"/>
    <w:rsid w:val="00C81309"/>
    <w:rsid w:val="00C8144D"/>
    <w:rsid w:val="00C81765"/>
    <w:rsid w:val="00C81B51"/>
    <w:rsid w:val="00C81B74"/>
    <w:rsid w:val="00C81E89"/>
    <w:rsid w:val="00C81EB5"/>
    <w:rsid w:val="00C81F74"/>
    <w:rsid w:val="00C81FF7"/>
    <w:rsid w:val="00C82232"/>
    <w:rsid w:val="00C823CB"/>
    <w:rsid w:val="00C8244F"/>
    <w:rsid w:val="00C82656"/>
    <w:rsid w:val="00C82658"/>
    <w:rsid w:val="00C828B2"/>
    <w:rsid w:val="00C82913"/>
    <w:rsid w:val="00C8295C"/>
    <w:rsid w:val="00C82A7B"/>
    <w:rsid w:val="00C82DBC"/>
    <w:rsid w:val="00C82F56"/>
    <w:rsid w:val="00C82F74"/>
    <w:rsid w:val="00C82FDE"/>
    <w:rsid w:val="00C833D5"/>
    <w:rsid w:val="00C837FD"/>
    <w:rsid w:val="00C8391D"/>
    <w:rsid w:val="00C8396C"/>
    <w:rsid w:val="00C83AC0"/>
    <w:rsid w:val="00C83BAB"/>
    <w:rsid w:val="00C83E6F"/>
    <w:rsid w:val="00C83F09"/>
    <w:rsid w:val="00C84038"/>
    <w:rsid w:val="00C84043"/>
    <w:rsid w:val="00C84107"/>
    <w:rsid w:val="00C841A6"/>
    <w:rsid w:val="00C84240"/>
    <w:rsid w:val="00C842E9"/>
    <w:rsid w:val="00C8451B"/>
    <w:rsid w:val="00C8468D"/>
    <w:rsid w:val="00C84A55"/>
    <w:rsid w:val="00C850CC"/>
    <w:rsid w:val="00C8530C"/>
    <w:rsid w:val="00C855FC"/>
    <w:rsid w:val="00C85723"/>
    <w:rsid w:val="00C85766"/>
    <w:rsid w:val="00C8599D"/>
    <w:rsid w:val="00C85A4B"/>
    <w:rsid w:val="00C85A89"/>
    <w:rsid w:val="00C85A9E"/>
    <w:rsid w:val="00C85AF6"/>
    <w:rsid w:val="00C85B76"/>
    <w:rsid w:val="00C85C2C"/>
    <w:rsid w:val="00C85C6D"/>
    <w:rsid w:val="00C85D9E"/>
    <w:rsid w:val="00C85E27"/>
    <w:rsid w:val="00C8619C"/>
    <w:rsid w:val="00C861AF"/>
    <w:rsid w:val="00C8641A"/>
    <w:rsid w:val="00C86437"/>
    <w:rsid w:val="00C867AC"/>
    <w:rsid w:val="00C86B4D"/>
    <w:rsid w:val="00C86BD8"/>
    <w:rsid w:val="00C86E2D"/>
    <w:rsid w:val="00C86E72"/>
    <w:rsid w:val="00C8726F"/>
    <w:rsid w:val="00C87377"/>
    <w:rsid w:val="00C873B0"/>
    <w:rsid w:val="00C8791C"/>
    <w:rsid w:val="00C879DD"/>
    <w:rsid w:val="00C87ACD"/>
    <w:rsid w:val="00C87B8C"/>
    <w:rsid w:val="00C87F3B"/>
    <w:rsid w:val="00C9002F"/>
    <w:rsid w:val="00C901DD"/>
    <w:rsid w:val="00C9036A"/>
    <w:rsid w:val="00C90568"/>
    <w:rsid w:val="00C90666"/>
    <w:rsid w:val="00C906BB"/>
    <w:rsid w:val="00C90946"/>
    <w:rsid w:val="00C909C5"/>
    <w:rsid w:val="00C90AAA"/>
    <w:rsid w:val="00C90CC3"/>
    <w:rsid w:val="00C914D5"/>
    <w:rsid w:val="00C9178E"/>
    <w:rsid w:val="00C91847"/>
    <w:rsid w:val="00C91917"/>
    <w:rsid w:val="00C91918"/>
    <w:rsid w:val="00C9197C"/>
    <w:rsid w:val="00C91D8B"/>
    <w:rsid w:val="00C91DFD"/>
    <w:rsid w:val="00C921E1"/>
    <w:rsid w:val="00C9298D"/>
    <w:rsid w:val="00C92D6A"/>
    <w:rsid w:val="00C92F7A"/>
    <w:rsid w:val="00C930B5"/>
    <w:rsid w:val="00C9331E"/>
    <w:rsid w:val="00C933A8"/>
    <w:rsid w:val="00C9342B"/>
    <w:rsid w:val="00C93529"/>
    <w:rsid w:val="00C9372D"/>
    <w:rsid w:val="00C937CF"/>
    <w:rsid w:val="00C939F6"/>
    <w:rsid w:val="00C93ADC"/>
    <w:rsid w:val="00C93DB7"/>
    <w:rsid w:val="00C94141"/>
    <w:rsid w:val="00C94321"/>
    <w:rsid w:val="00C943DA"/>
    <w:rsid w:val="00C943FF"/>
    <w:rsid w:val="00C945F0"/>
    <w:rsid w:val="00C9469A"/>
    <w:rsid w:val="00C94A3F"/>
    <w:rsid w:val="00C94ABD"/>
    <w:rsid w:val="00C94D08"/>
    <w:rsid w:val="00C94E9C"/>
    <w:rsid w:val="00C94EF2"/>
    <w:rsid w:val="00C94F40"/>
    <w:rsid w:val="00C950A9"/>
    <w:rsid w:val="00C95256"/>
    <w:rsid w:val="00C9552D"/>
    <w:rsid w:val="00C9556F"/>
    <w:rsid w:val="00C959EA"/>
    <w:rsid w:val="00C95AE9"/>
    <w:rsid w:val="00C95FFF"/>
    <w:rsid w:val="00C96424"/>
    <w:rsid w:val="00C96629"/>
    <w:rsid w:val="00C9689D"/>
    <w:rsid w:val="00C968C2"/>
    <w:rsid w:val="00C96BB4"/>
    <w:rsid w:val="00C96CD6"/>
    <w:rsid w:val="00C96D29"/>
    <w:rsid w:val="00C96D68"/>
    <w:rsid w:val="00C9706D"/>
    <w:rsid w:val="00C97285"/>
    <w:rsid w:val="00C972B1"/>
    <w:rsid w:val="00C97417"/>
    <w:rsid w:val="00C97612"/>
    <w:rsid w:val="00C97987"/>
    <w:rsid w:val="00C97E37"/>
    <w:rsid w:val="00CA0322"/>
    <w:rsid w:val="00CA03CB"/>
    <w:rsid w:val="00CA0563"/>
    <w:rsid w:val="00CA07E5"/>
    <w:rsid w:val="00CA094C"/>
    <w:rsid w:val="00CA09A3"/>
    <w:rsid w:val="00CA0C4D"/>
    <w:rsid w:val="00CA0F9F"/>
    <w:rsid w:val="00CA1381"/>
    <w:rsid w:val="00CA14D7"/>
    <w:rsid w:val="00CA159D"/>
    <w:rsid w:val="00CA19E9"/>
    <w:rsid w:val="00CA1A3F"/>
    <w:rsid w:val="00CA1D3C"/>
    <w:rsid w:val="00CA1DC2"/>
    <w:rsid w:val="00CA1FC1"/>
    <w:rsid w:val="00CA230F"/>
    <w:rsid w:val="00CA2326"/>
    <w:rsid w:val="00CA23E0"/>
    <w:rsid w:val="00CA2461"/>
    <w:rsid w:val="00CA24B2"/>
    <w:rsid w:val="00CA2522"/>
    <w:rsid w:val="00CA261E"/>
    <w:rsid w:val="00CA27D9"/>
    <w:rsid w:val="00CA28D2"/>
    <w:rsid w:val="00CA297D"/>
    <w:rsid w:val="00CA2AA6"/>
    <w:rsid w:val="00CA2CCE"/>
    <w:rsid w:val="00CA2F61"/>
    <w:rsid w:val="00CA320D"/>
    <w:rsid w:val="00CA3434"/>
    <w:rsid w:val="00CA3518"/>
    <w:rsid w:val="00CA3F8E"/>
    <w:rsid w:val="00CA401E"/>
    <w:rsid w:val="00CA4339"/>
    <w:rsid w:val="00CA43FD"/>
    <w:rsid w:val="00CA4448"/>
    <w:rsid w:val="00CA45AD"/>
    <w:rsid w:val="00CA463C"/>
    <w:rsid w:val="00CA4660"/>
    <w:rsid w:val="00CA489A"/>
    <w:rsid w:val="00CA494B"/>
    <w:rsid w:val="00CA494E"/>
    <w:rsid w:val="00CA4E01"/>
    <w:rsid w:val="00CA4E84"/>
    <w:rsid w:val="00CA4EB6"/>
    <w:rsid w:val="00CA4FF0"/>
    <w:rsid w:val="00CA503C"/>
    <w:rsid w:val="00CA5109"/>
    <w:rsid w:val="00CA56C8"/>
    <w:rsid w:val="00CA58AA"/>
    <w:rsid w:val="00CA59C1"/>
    <w:rsid w:val="00CA59E9"/>
    <w:rsid w:val="00CA5C4B"/>
    <w:rsid w:val="00CA6541"/>
    <w:rsid w:val="00CA6636"/>
    <w:rsid w:val="00CA669C"/>
    <w:rsid w:val="00CA66C9"/>
    <w:rsid w:val="00CA6840"/>
    <w:rsid w:val="00CA68F7"/>
    <w:rsid w:val="00CA69A2"/>
    <w:rsid w:val="00CA6B00"/>
    <w:rsid w:val="00CA6F26"/>
    <w:rsid w:val="00CA70F4"/>
    <w:rsid w:val="00CA72F3"/>
    <w:rsid w:val="00CA7489"/>
    <w:rsid w:val="00CA77E8"/>
    <w:rsid w:val="00CA7893"/>
    <w:rsid w:val="00CA7A11"/>
    <w:rsid w:val="00CA7B5A"/>
    <w:rsid w:val="00CA7C01"/>
    <w:rsid w:val="00CA7EF8"/>
    <w:rsid w:val="00CA7FD4"/>
    <w:rsid w:val="00CB0429"/>
    <w:rsid w:val="00CB059E"/>
    <w:rsid w:val="00CB05A7"/>
    <w:rsid w:val="00CB0753"/>
    <w:rsid w:val="00CB0867"/>
    <w:rsid w:val="00CB0959"/>
    <w:rsid w:val="00CB0979"/>
    <w:rsid w:val="00CB0D0A"/>
    <w:rsid w:val="00CB0FD4"/>
    <w:rsid w:val="00CB120C"/>
    <w:rsid w:val="00CB12DA"/>
    <w:rsid w:val="00CB12E5"/>
    <w:rsid w:val="00CB16C7"/>
    <w:rsid w:val="00CB16EC"/>
    <w:rsid w:val="00CB1A97"/>
    <w:rsid w:val="00CB1B7C"/>
    <w:rsid w:val="00CB1BCB"/>
    <w:rsid w:val="00CB1CCB"/>
    <w:rsid w:val="00CB1CE7"/>
    <w:rsid w:val="00CB1D9D"/>
    <w:rsid w:val="00CB1DA3"/>
    <w:rsid w:val="00CB218E"/>
    <w:rsid w:val="00CB2412"/>
    <w:rsid w:val="00CB26DC"/>
    <w:rsid w:val="00CB287A"/>
    <w:rsid w:val="00CB28B6"/>
    <w:rsid w:val="00CB2946"/>
    <w:rsid w:val="00CB2A0A"/>
    <w:rsid w:val="00CB2C89"/>
    <w:rsid w:val="00CB2EDE"/>
    <w:rsid w:val="00CB3097"/>
    <w:rsid w:val="00CB31B0"/>
    <w:rsid w:val="00CB3361"/>
    <w:rsid w:val="00CB337F"/>
    <w:rsid w:val="00CB3472"/>
    <w:rsid w:val="00CB360A"/>
    <w:rsid w:val="00CB3728"/>
    <w:rsid w:val="00CB38B0"/>
    <w:rsid w:val="00CB393A"/>
    <w:rsid w:val="00CB39D6"/>
    <w:rsid w:val="00CB3A3B"/>
    <w:rsid w:val="00CB3B04"/>
    <w:rsid w:val="00CB3CEA"/>
    <w:rsid w:val="00CB3E13"/>
    <w:rsid w:val="00CB3EA7"/>
    <w:rsid w:val="00CB41C3"/>
    <w:rsid w:val="00CB44E7"/>
    <w:rsid w:val="00CB4648"/>
    <w:rsid w:val="00CB46F6"/>
    <w:rsid w:val="00CB487B"/>
    <w:rsid w:val="00CB4C80"/>
    <w:rsid w:val="00CB4D80"/>
    <w:rsid w:val="00CB4E6C"/>
    <w:rsid w:val="00CB55F1"/>
    <w:rsid w:val="00CB5984"/>
    <w:rsid w:val="00CB5A08"/>
    <w:rsid w:val="00CB5B08"/>
    <w:rsid w:val="00CB5B20"/>
    <w:rsid w:val="00CB5D52"/>
    <w:rsid w:val="00CB5DE1"/>
    <w:rsid w:val="00CB647E"/>
    <w:rsid w:val="00CB64D1"/>
    <w:rsid w:val="00CB6543"/>
    <w:rsid w:val="00CB6E03"/>
    <w:rsid w:val="00CB70A6"/>
    <w:rsid w:val="00CB73F4"/>
    <w:rsid w:val="00CB7808"/>
    <w:rsid w:val="00CB7958"/>
    <w:rsid w:val="00CB7C83"/>
    <w:rsid w:val="00CB7D59"/>
    <w:rsid w:val="00CB7F02"/>
    <w:rsid w:val="00CC04AD"/>
    <w:rsid w:val="00CC0616"/>
    <w:rsid w:val="00CC0859"/>
    <w:rsid w:val="00CC0965"/>
    <w:rsid w:val="00CC0A9E"/>
    <w:rsid w:val="00CC0E0D"/>
    <w:rsid w:val="00CC136F"/>
    <w:rsid w:val="00CC141F"/>
    <w:rsid w:val="00CC15AE"/>
    <w:rsid w:val="00CC1607"/>
    <w:rsid w:val="00CC1713"/>
    <w:rsid w:val="00CC1892"/>
    <w:rsid w:val="00CC1941"/>
    <w:rsid w:val="00CC19E4"/>
    <w:rsid w:val="00CC1C4F"/>
    <w:rsid w:val="00CC2037"/>
    <w:rsid w:val="00CC2204"/>
    <w:rsid w:val="00CC232B"/>
    <w:rsid w:val="00CC2340"/>
    <w:rsid w:val="00CC2733"/>
    <w:rsid w:val="00CC2789"/>
    <w:rsid w:val="00CC28AA"/>
    <w:rsid w:val="00CC2984"/>
    <w:rsid w:val="00CC29AD"/>
    <w:rsid w:val="00CC29EC"/>
    <w:rsid w:val="00CC2B94"/>
    <w:rsid w:val="00CC2C51"/>
    <w:rsid w:val="00CC2E93"/>
    <w:rsid w:val="00CC3072"/>
    <w:rsid w:val="00CC307E"/>
    <w:rsid w:val="00CC34AC"/>
    <w:rsid w:val="00CC3875"/>
    <w:rsid w:val="00CC3E59"/>
    <w:rsid w:val="00CC43AF"/>
    <w:rsid w:val="00CC445B"/>
    <w:rsid w:val="00CC47A6"/>
    <w:rsid w:val="00CC489B"/>
    <w:rsid w:val="00CC4D90"/>
    <w:rsid w:val="00CC4FB1"/>
    <w:rsid w:val="00CC5117"/>
    <w:rsid w:val="00CC52AE"/>
    <w:rsid w:val="00CC556B"/>
    <w:rsid w:val="00CC56CE"/>
    <w:rsid w:val="00CC5894"/>
    <w:rsid w:val="00CC5946"/>
    <w:rsid w:val="00CC5A29"/>
    <w:rsid w:val="00CC5B48"/>
    <w:rsid w:val="00CC5B60"/>
    <w:rsid w:val="00CC5F15"/>
    <w:rsid w:val="00CC6055"/>
    <w:rsid w:val="00CC6202"/>
    <w:rsid w:val="00CC63F0"/>
    <w:rsid w:val="00CC644F"/>
    <w:rsid w:val="00CC6567"/>
    <w:rsid w:val="00CC6657"/>
    <w:rsid w:val="00CC6843"/>
    <w:rsid w:val="00CC6A27"/>
    <w:rsid w:val="00CC6B66"/>
    <w:rsid w:val="00CC6BEF"/>
    <w:rsid w:val="00CC6C55"/>
    <w:rsid w:val="00CC6CB6"/>
    <w:rsid w:val="00CC70E2"/>
    <w:rsid w:val="00CC710B"/>
    <w:rsid w:val="00CC7347"/>
    <w:rsid w:val="00CC73BB"/>
    <w:rsid w:val="00CC76A1"/>
    <w:rsid w:val="00CC7CF7"/>
    <w:rsid w:val="00CC7D42"/>
    <w:rsid w:val="00CC7EC4"/>
    <w:rsid w:val="00CC7F40"/>
    <w:rsid w:val="00CC7F44"/>
    <w:rsid w:val="00CC7F99"/>
    <w:rsid w:val="00CD0030"/>
    <w:rsid w:val="00CD0076"/>
    <w:rsid w:val="00CD0219"/>
    <w:rsid w:val="00CD0410"/>
    <w:rsid w:val="00CD06FF"/>
    <w:rsid w:val="00CD09DA"/>
    <w:rsid w:val="00CD1067"/>
    <w:rsid w:val="00CD10C8"/>
    <w:rsid w:val="00CD12B0"/>
    <w:rsid w:val="00CD1419"/>
    <w:rsid w:val="00CD15A6"/>
    <w:rsid w:val="00CD18F7"/>
    <w:rsid w:val="00CD1973"/>
    <w:rsid w:val="00CD1A7E"/>
    <w:rsid w:val="00CD1C04"/>
    <w:rsid w:val="00CD1C88"/>
    <w:rsid w:val="00CD1ECD"/>
    <w:rsid w:val="00CD2264"/>
    <w:rsid w:val="00CD2278"/>
    <w:rsid w:val="00CD2293"/>
    <w:rsid w:val="00CD2970"/>
    <w:rsid w:val="00CD2A76"/>
    <w:rsid w:val="00CD2B39"/>
    <w:rsid w:val="00CD2BCD"/>
    <w:rsid w:val="00CD2C69"/>
    <w:rsid w:val="00CD2D01"/>
    <w:rsid w:val="00CD2F63"/>
    <w:rsid w:val="00CD3199"/>
    <w:rsid w:val="00CD3227"/>
    <w:rsid w:val="00CD3245"/>
    <w:rsid w:val="00CD33AF"/>
    <w:rsid w:val="00CD377B"/>
    <w:rsid w:val="00CD3874"/>
    <w:rsid w:val="00CD3877"/>
    <w:rsid w:val="00CD3A4C"/>
    <w:rsid w:val="00CD3ED7"/>
    <w:rsid w:val="00CD3EFD"/>
    <w:rsid w:val="00CD41F4"/>
    <w:rsid w:val="00CD4252"/>
    <w:rsid w:val="00CD4387"/>
    <w:rsid w:val="00CD47FF"/>
    <w:rsid w:val="00CD486F"/>
    <w:rsid w:val="00CD49F8"/>
    <w:rsid w:val="00CD4A15"/>
    <w:rsid w:val="00CD4ADC"/>
    <w:rsid w:val="00CD4C2C"/>
    <w:rsid w:val="00CD4E3A"/>
    <w:rsid w:val="00CD4ED7"/>
    <w:rsid w:val="00CD4FAA"/>
    <w:rsid w:val="00CD51A6"/>
    <w:rsid w:val="00CD5292"/>
    <w:rsid w:val="00CD5481"/>
    <w:rsid w:val="00CD5E95"/>
    <w:rsid w:val="00CD624A"/>
    <w:rsid w:val="00CD635D"/>
    <w:rsid w:val="00CD63FA"/>
    <w:rsid w:val="00CD644E"/>
    <w:rsid w:val="00CD658B"/>
    <w:rsid w:val="00CD66E5"/>
    <w:rsid w:val="00CD699E"/>
    <w:rsid w:val="00CD69B3"/>
    <w:rsid w:val="00CD6BB3"/>
    <w:rsid w:val="00CD6BD1"/>
    <w:rsid w:val="00CD6D53"/>
    <w:rsid w:val="00CD6FF8"/>
    <w:rsid w:val="00CD7161"/>
    <w:rsid w:val="00CD7200"/>
    <w:rsid w:val="00CD72D3"/>
    <w:rsid w:val="00CD72FC"/>
    <w:rsid w:val="00CD7301"/>
    <w:rsid w:val="00CD7362"/>
    <w:rsid w:val="00CD73DE"/>
    <w:rsid w:val="00CD7801"/>
    <w:rsid w:val="00CD788E"/>
    <w:rsid w:val="00CD7AB7"/>
    <w:rsid w:val="00CD7DB4"/>
    <w:rsid w:val="00CE0060"/>
    <w:rsid w:val="00CE01C4"/>
    <w:rsid w:val="00CE05A3"/>
    <w:rsid w:val="00CE05F8"/>
    <w:rsid w:val="00CE08C5"/>
    <w:rsid w:val="00CE0B1D"/>
    <w:rsid w:val="00CE0B6A"/>
    <w:rsid w:val="00CE0C83"/>
    <w:rsid w:val="00CE10E9"/>
    <w:rsid w:val="00CE11AF"/>
    <w:rsid w:val="00CE18C5"/>
    <w:rsid w:val="00CE1F97"/>
    <w:rsid w:val="00CE20FA"/>
    <w:rsid w:val="00CE22E2"/>
    <w:rsid w:val="00CE24D8"/>
    <w:rsid w:val="00CE267B"/>
    <w:rsid w:val="00CE280D"/>
    <w:rsid w:val="00CE2852"/>
    <w:rsid w:val="00CE2910"/>
    <w:rsid w:val="00CE2926"/>
    <w:rsid w:val="00CE2C8C"/>
    <w:rsid w:val="00CE2CD8"/>
    <w:rsid w:val="00CE2F2E"/>
    <w:rsid w:val="00CE2F9E"/>
    <w:rsid w:val="00CE309B"/>
    <w:rsid w:val="00CE318E"/>
    <w:rsid w:val="00CE3525"/>
    <w:rsid w:val="00CE365D"/>
    <w:rsid w:val="00CE36CA"/>
    <w:rsid w:val="00CE38B3"/>
    <w:rsid w:val="00CE39E2"/>
    <w:rsid w:val="00CE3AD3"/>
    <w:rsid w:val="00CE3CA4"/>
    <w:rsid w:val="00CE3ED2"/>
    <w:rsid w:val="00CE4064"/>
    <w:rsid w:val="00CE47EC"/>
    <w:rsid w:val="00CE483A"/>
    <w:rsid w:val="00CE4D03"/>
    <w:rsid w:val="00CE4E61"/>
    <w:rsid w:val="00CE505B"/>
    <w:rsid w:val="00CE5115"/>
    <w:rsid w:val="00CE5393"/>
    <w:rsid w:val="00CE550F"/>
    <w:rsid w:val="00CE5BE6"/>
    <w:rsid w:val="00CE6221"/>
    <w:rsid w:val="00CE6248"/>
    <w:rsid w:val="00CE64D7"/>
    <w:rsid w:val="00CE651B"/>
    <w:rsid w:val="00CE674D"/>
    <w:rsid w:val="00CE69B5"/>
    <w:rsid w:val="00CE6A91"/>
    <w:rsid w:val="00CE6B2A"/>
    <w:rsid w:val="00CE6B3A"/>
    <w:rsid w:val="00CE6BDD"/>
    <w:rsid w:val="00CE6CA5"/>
    <w:rsid w:val="00CE6DCC"/>
    <w:rsid w:val="00CE7100"/>
    <w:rsid w:val="00CE7349"/>
    <w:rsid w:val="00CE77FB"/>
    <w:rsid w:val="00CE793D"/>
    <w:rsid w:val="00CE79BA"/>
    <w:rsid w:val="00CE7AB5"/>
    <w:rsid w:val="00CF00A2"/>
    <w:rsid w:val="00CF0267"/>
    <w:rsid w:val="00CF0740"/>
    <w:rsid w:val="00CF081E"/>
    <w:rsid w:val="00CF0E18"/>
    <w:rsid w:val="00CF0E9D"/>
    <w:rsid w:val="00CF0EEF"/>
    <w:rsid w:val="00CF10BC"/>
    <w:rsid w:val="00CF1179"/>
    <w:rsid w:val="00CF1352"/>
    <w:rsid w:val="00CF139F"/>
    <w:rsid w:val="00CF13F0"/>
    <w:rsid w:val="00CF1580"/>
    <w:rsid w:val="00CF1756"/>
    <w:rsid w:val="00CF188E"/>
    <w:rsid w:val="00CF1C25"/>
    <w:rsid w:val="00CF1E5B"/>
    <w:rsid w:val="00CF1FFD"/>
    <w:rsid w:val="00CF2048"/>
    <w:rsid w:val="00CF2296"/>
    <w:rsid w:val="00CF23E3"/>
    <w:rsid w:val="00CF2765"/>
    <w:rsid w:val="00CF2A5F"/>
    <w:rsid w:val="00CF2DB3"/>
    <w:rsid w:val="00CF36BE"/>
    <w:rsid w:val="00CF3B32"/>
    <w:rsid w:val="00CF3DB8"/>
    <w:rsid w:val="00CF3F0E"/>
    <w:rsid w:val="00CF40B6"/>
    <w:rsid w:val="00CF417A"/>
    <w:rsid w:val="00CF4411"/>
    <w:rsid w:val="00CF451A"/>
    <w:rsid w:val="00CF4606"/>
    <w:rsid w:val="00CF476B"/>
    <w:rsid w:val="00CF47C4"/>
    <w:rsid w:val="00CF4B40"/>
    <w:rsid w:val="00CF4B9B"/>
    <w:rsid w:val="00CF52FC"/>
    <w:rsid w:val="00CF5574"/>
    <w:rsid w:val="00CF57A4"/>
    <w:rsid w:val="00CF588E"/>
    <w:rsid w:val="00CF5B56"/>
    <w:rsid w:val="00CF5CE2"/>
    <w:rsid w:val="00CF5D9C"/>
    <w:rsid w:val="00CF6000"/>
    <w:rsid w:val="00CF6036"/>
    <w:rsid w:val="00CF621D"/>
    <w:rsid w:val="00CF62BA"/>
    <w:rsid w:val="00CF63AA"/>
    <w:rsid w:val="00CF6520"/>
    <w:rsid w:val="00CF6642"/>
    <w:rsid w:val="00CF6680"/>
    <w:rsid w:val="00CF6A50"/>
    <w:rsid w:val="00CF6BD1"/>
    <w:rsid w:val="00CF6E8E"/>
    <w:rsid w:val="00CF6F7C"/>
    <w:rsid w:val="00CF71F6"/>
    <w:rsid w:val="00CF7479"/>
    <w:rsid w:val="00CF749F"/>
    <w:rsid w:val="00CF7611"/>
    <w:rsid w:val="00CF767D"/>
    <w:rsid w:val="00CF76FF"/>
    <w:rsid w:val="00CF77C8"/>
    <w:rsid w:val="00CF7926"/>
    <w:rsid w:val="00CF7AC1"/>
    <w:rsid w:val="00CF7BF0"/>
    <w:rsid w:val="00D0005A"/>
    <w:rsid w:val="00D0039F"/>
    <w:rsid w:val="00D003F3"/>
    <w:rsid w:val="00D004EA"/>
    <w:rsid w:val="00D007FD"/>
    <w:rsid w:val="00D00819"/>
    <w:rsid w:val="00D0081D"/>
    <w:rsid w:val="00D009E3"/>
    <w:rsid w:val="00D00C80"/>
    <w:rsid w:val="00D00CBF"/>
    <w:rsid w:val="00D00D3D"/>
    <w:rsid w:val="00D00E53"/>
    <w:rsid w:val="00D00F9D"/>
    <w:rsid w:val="00D00FAA"/>
    <w:rsid w:val="00D0116C"/>
    <w:rsid w:val="00D0116D"/>
    <w:rsid w:val="00D01367"/>
    <w:rsid w:val="00D018FC"/>
    <w:rsid w:val="00D01E82"/>
    <w:rsid w:val="00D01F19"/>
    <w:rsid w:val="00D02059"/>
    <w:rsid w:val="00D024BB"/>
    <w:rsid w:val="00D02927"/>
    <w:rsid w:val="00D02931"/>
    <w:rsid w:val="00D02B36"/>
    <w:rsid w:val="00D02BBE"/>
    <w:rsid w:val="00D02C0E"/>
    <w:rsid w:val="00D03397"/>
    <w:rsid w:val="00D033B0"/>
    <w:rsid w:val="00D03630"/>
    <w:rsid w:val="00D0364F"/>
    <w:rsid w:val="00D03796"/>
    <w:rsid w:val="00D03960"/>
    <w:rsid w:val="00D03B76"/>
    <w:rsid w:val="00D043A1"/>
    <w:rsid w:val="00D044EB"/>
    <w:rsid w:val="00D047B6"/>
    <w:rsid w:val="00D0494C"/>
    <w:rsid w:val="00D0494E"/>
    <w:rsid w:val="00D04A39"/>
    <w:rsid w:val="00D0502D"/>
    <w:rsid w:val="00D05353"/>
    <w:rsid w:val="00D054B9"/>
    <w:rsid w:val="00D05A86"/>
    <w:rsid w:val="00D05B11"/>
    <w:rsid w:val="00D05CF7"/>
    <w:rsid w:val="00D06207"/>
    <w:rsid w:val="00D063B0"/>
    <w:rsid w:val="00D0645D"/>
    <w:rsid w:val="00D065F6"/>
    <w:rsid w:val="00D0666B"/>
    <w:rsid w:val="00D06834"/>
    <w:rsid w:val="00D06A14"/>
    <w:rsid w:val="00D06EB3"/>
    <w:rsid w:val="00D06F76"/>
    <w:rsid w:val="00D07035"/>
    <w:rsid w:val="00D073B7"/>
    <w:rsid w:val="00D0742E"/>
    <w:rsid w:val="00D0743B"/>
    <w:rsid w:val="00D076BB"/>
    <w:rsid w:val="00D077DB"/>
    <w:rsid w:val="00D078B7"/>
    <w:rsid w:val="00D07915"/>
    <w:rsid w:val="00D079A6"/>
    <w:rsid w:val="00D07A6C"/>
    <w:rsid w:val="00D07E2F"/>
    <w:rsid w:val="00D07E60"/>
    <w:rsid w:val="00D07FF3"/>
    <w:rsid w:val="00D100CF"/>
    <w:rsid w:val="00D102C4"/>
    <w:rsid w:val="00D103DE"/>
    <w:rsid w:val="00D105AA"/>
    <w:rsid w:val="00D105B7"/>
    <w:rsid w:val="00D10673"/>
    <w:rsid w:val="00D107F0"/>
    <w:rsid w:val="00D1091C"/>
    <w:rsid w:val="00D10AB8"/>
    <w:rsid w:val="00D10BBC"/>
    <w:rsid w:val="00D10C25"/>
    <w:rsid w:val="00D10C3B"/>
    <w:rsid w:val="00D10D9E"/>
    <w:rsid w:val="00D10F11"/>
    <w:rsid w:val="00D11042"/>
    <w:rsid w:val="00D11053"/>
    <w:rsid w:val="00D110F9"/>
    <w:rsid w:val="00D11381"/>
    <w:rsid w:val="00D11562"/>
    <w:rsid w:val="00D117A9"/>
    <w:rsid w:val="00D11894"/>
    <w:rsid w:val="00D118F2"/>
    <w:rsid w:val="00D11B6C"/>
    <w:rsid w:val="00D11CFE"/>
    <w:rsid w:val="00D11DA2"/>
    <w:rsid w:val="00D11F52"/>
    <w:rsid w:val="00D11F76"/>
    <w:rsid w:val="00D12054"/>
    <w:rsid w:val="00D1234B"/>
    <w:rsid w:val="00D12623"/>
    <w:rsid w:val="00D128AE"/>
    <w:rsid w:val="00D12B10"/>
    <w:rsid w:val="00D12C65"/>
    <w:rsid w:val="00D12DDF"/>
    <w:rsid w:val="00D12F40"/>
    <w:rsid w:val="00D12FF4"/>
    <w:rsid w:val="00D13111"/>
    <w:rsid w:val="00D13183"/>
    <w:rsid w:val="00D1318B"/>
    <w:rsid w:val="00D132B8"/>
    <w:rsid w:val="00D1356D"/>
    <w:rsid w:val="00D13644"/>
    <w:rsid w:val="00D1379B"/>
    <w:rsid w:val="00D137AB"/>
    <w:rsid w:val="00D137E9"/>
    <w:rsid w:val="00D13882"/>
    <w:rsid w:val="00D13E9D"/>
    <w:rsid w:val="00D140AC"/>
    <w:rsid w:val="00D14107"/>
    <w:rsid w:val="00D1418C"/>
    <w:rsid w:val="00D141EA"/>
    <w:rsid w:val="00D142A2"/>
    <w:rsid w:val="00D142A9"/>
    <w:rsid w:val="00D14442"/>
    <w:rsid w:val="00D14497"/>
    <w:rsid w:val="00D1456A"/>
    <w:rsid w:val="00D145F0"/>
    <w:rsid w:val="00D1483C"/>
    <w:rsid w:val="00D149A0"/>
    <w:rsid w:val="00D14BE4"/>
    <w:rsid w:val="00D14DC4"/>
    <w:rsid w:val="00D14DFF"/>
    <w:rsid w:val="00D15068"/>
    <w:rsid w:val="00D1510D"/>
    <w:rsid w:val="00D15158"/>
    <w:rsid w:val="00D15384"/>
    <w:rsid w:val="00D15776"/>
    <w:rsid w:val="00D15798"/>
    <w:rsid w:val="00D1591C"/>
    <w:rsid w:val="00D15A9D"/>
    <w:rsid w:val="00D15BBA"/>
    <w:rsid w:val="00D15C9F"/>
    <w:rsid w:val="00D15F86"/>
    <w:rsid w:val="00D1614F"/>
    <w:rsid w:val="00D161A2"/>
    <w:rsid w:val="00D162F7"/>
    <w:rsid w:val="00D16459"/>
    <w:rsid w:val="00D168AC"/>
    <w:rsid w:val="00D16CC8"/>
    <w:rsid w:val="00D16DF3"/>
    <w:rsid w:val="00D16FC6"/>
    <w:rsid w:val="00D16FEE"/>
    <w:rsid w:val="00D17090"/>
    <w:rsid w:val="00D17344"/>
    <w:rsid w:val="00D175BD"/>
    <w:rsid w:val="00D17863"/>
    <w:rsid w:val="00D17B69"/>
    <w:rsid w:val="00D17C67"/>
    <w:rsid w:val="00D17EDE"/>
    <w:rsid w:val="00D17F33"/>
    <w:rsid w:val="00D17F5E"/>
    <w:rsid w:val="00D20003"/>
    <w:rsid w:val="00D201AC"/>
    <w:rsid w:val="00D201AE"/>
    <w:rsid w:val="00D208F3"/>
    <w:rsid w:val="00D20934"/>
    <w:rsid w:val="00D20AA1"/>
    <w:rsid w:val="00D20BED"/>
    <w:rsid w:val="00D20BF0"/>
    <w:rsid w:val="00D20DEB"/>
    <w:rsid w:val="00D20E6E"/>
    <w:rsid w:val="00D20F36"/>
    <w:rsid w:val="00D2165A"/>
    <w:rsid w:val="00D216A2"/>
    <w:rsid w:val="00D216DC"/>
    <w:rsid w:val="00D2177F"/>
    <w:rsid w:val="00D218C9"/>
    <w:rsid w:val="00D21E8A"/>
    <w:rsid w:val="00D21EB9"/>
    <w:rsid w:val="00D21F01"/>
    <w:rsid w:val="00D2209A"/>
    <w:rsid w:val="00D231CD"/>
    <w:rsid w:val="00D2327D"/>
    <w:rsid w:val="00D233CC"/>
    <w:rsid w:val="00D23557"/>
    <w:rsid w:val="00D2360B"/>
    <w:rsid w:val="00D23627"/>
    <w:rsid w:val="00D238E1"/>
    <w:rsid w:val="00D23B4C"/>
    <w:rsid w:val="00D23EA8"/>
    <w:rsid w:val="00D23EFC"/>
    <w:rsid w:val="00D23FF4"/>
    <w:rsid w:val="00D240DD"/>
    <w:rsid w:val="00D241CE"/>
    <w:rsid w:val="00D2437B"/>
    <w:rsid w:val="00D244F8"/>
    <w:rsid w:val="00D24C19"/>
    <w:rsid w:val="00D24D89"/>
    <w:rsid w:val="00D25166"/>
    <w:rsid w:val="00D251E7"/>
    <w:rsid w:val="00D252E6"/>
    <w:rsid w:val="00D254CB"/>
    <w:rsid w:val="00D257E5"/>
    <w:rsid w:val="00D259DA"/>
    <w:rsid w:val="00D25B49"/>
    <w:rsid w:val="00D25C45"/>
    <w:rsid w:val="00D25D96"/>
    <w:rsid w:val="00D25F84"/>
    <w:rsid w:val="00D25FBC"/>
    <w:rsid w:val="00D260B5"/>
    <w:rsid w:val="00D265D9"/>
    <w:rsid w:val="00D2684B"/>
    <w:rsid w:val="00D26910"/>
    <w:rsid w:val="00D269C0"/>
    <w:rsid w:val="00D26D3E"/>
    <w:rsid w:val="00D270F9"/>
    <w:rsid w:val="00D271D9"/>
    <w:rsid w:val="00D273C6"/>
    <w:rsid w:val="00D2749F"/>
    <w:rsid w:val="00D2757A"/>
    <w:rsid w:val="00D27A29"/>
    <w:rsid w:val="00D27A45"/>
    <w:rsid w:val="00D27B36"/>
    <w:rsid w:val="00D27C06"/>
    <w:rsid w:val="00D27C33"/>
    <w:rsid w:val="00D27C43"/>
    <w:rsid w:val="00D27F73"/>
    <w:rsid w:val="00D30033"/>
    <w:rsid w:val="00D300A2"/>
    <w:rsid w:val="00D30198"/>
    <w:rsid w:val="00D30254"/>
    <w:rsid w:val="00D30360"/>
    <w:rsid w:val="00D303A5"/>
    <w:rsid w:val="00D30525"/>
    <w:rsid w:val="00D3060F"/>
    <w:rsid w:val="00D3087D"/>
    <w:rsid w:val="00D308ED"/>
    <w:rsid w:val="00D309A4"/>
    <w:rsid w:val="00D309EB"/>
    <w:rsid w:val="00D30F55"/>
    <w:rsid w:val="00D311DA"/>
    <w:rsid w:val="00D31234"/>
    <w:rsid w:val="00D313BE"/>
    <w:rsid w:val="00D3140A"/>
    <w:rsid w:val="00D314DD"/>
    <w:rsid w:val="00D31A6F"/>
    <w:rsid w:val="00D31DDB"/>
    <w:rsid w:val="00D31E8A"/>
    <w:rsid w:val="00D3206A"/>
    <w:rsid w:val="00D3206B"/>
    <w:rsid w:val="00D320C3"/>
    <w:rsid w:val="00D32185"/>
    <w:rsid w:val="00D3236B"/>
    <w:rsid w:val="00D32619"/>
    <w:rsid w:val="00D32639"/>
    <w:rsid w:val="00D3285C"/>
    <w:rsid w:val="00D32A3A"/>
    <w:rsid w:val="00D32A7F"/>
    <w:rsid w:val="00D32BD3"/>
    <w:rsid w:val="00D32CD6"/>
    <w:rsid w:val="00D32F8F"/>
    <w:rsid w:val="00D32FC7"/>
    <w:rsid w:val="00D332E4"/>
    <w:rsid w:val="00D3343D"/>
    <w:rsid w:val="00D3345A"/>
    <w:rsid w:val="00D334E7"/>
    <w:rsid w:val="00D336C0"/>
    <w:rsid w:val="00D3378C"/>
    <w:rsid w:val="00D33C73"/>
    <w:rsid w:val="00D33E7E"/>
    <w:rsid w:val="00D3422E"/>
    <w:rsid w:val="00D34591"/>
    <w:rsid w:val="00D3469E"/>
    <w:rsid w:val="00D346A0"/>
    <w:rsid w:val="00D3494A"/>
    <w:rsid w:val="00D3497A"/>
    <w:rsid w:val="00D34BDC"/>
    <w:rsid w:val="00D34CD3"/>
    <w:rsid w:val="00D34CEC"/>
    <w:rsid w:val="00D34E84"/>
    <w:rsid w:val="00D35202"/>
    <w:rsid w:val="00D3525C"/>
    <w:rsid w:val="00D35411"/>
    <w:rsid w:val="00D355C8"/>
    <w:rsid w:val="00D35AB7"/>
    <w:rsid w:val="00D35C7E"/>
    <w:rsid w:val="00D360F4"/>
    <w:rsid w:val="00D3643D"/>
    <w:rsid w:val="00D36554"/>
    <w:rsid w:val="00D36900"/>
    <w:rsid w:val="00D36B7F"/>
    <w:rsid w:val="00D36C74"/>
    <w:rsid w:val="00D36D86"/>
    <w:rsid w:val="00D36EDA"/>
    <w:rsid w:val="00D37313"/>
    <w:rsid w:val="00D3770D"/>
    <w:rsid w:val="00D377BB"/>
    <w:rsid w:val="00D3780D"/>
    <w:rsid w:val="00D37843"/>
    <w:rsid w:val="00D37AE1"/>
    <w:rsid w:val="00D37D6B"/>
    <w:rsid w:val="00D37F49"/>
    <w:rsid w:val="00D40546"/>
    <w:rsid w:val="00D4071F"/>
    <w:rsid w:val="00D40959"/>
    <w:rsid w:val="00D40B35"/>
    <w:rsid w:val="00D40F37"/>
    <w:rsid w:val="00D41095"/>
    <w:rsid w:val="00D413A6"/>
    <w:rsid w:val="00D413C7"/>
    <w:rsid w:val="00D414CC"/>
    <w:rsid w:val="00D417B0"/>
    <w:rsid w:val="00D417F4"/>
    <w:rsid w:val="00D4190B"/>
    <w:rsid w:val="00D41AEE"/>
    <w:rsid w:val="00D41C35"/>
    <w:rsid w:val="00D41C86"/>
    <w:rsid w:val="00D41CC0"/>
    <w:rsid w:val="00D421EB"/>
    <w:rsid w:val="00D42297"/>
    <w:rsid w:val="00D427A7"/>
    <w:rsid w:val="00D428AA"/>
    <w:rsid w:val="00D42AE4"/>
    <w:rsid w:val="00D42B69"/>
    <w:rsid w:val="00D42E41"/>
    <w:rsid w:val="00D430E4"/>
    <w:rsid w:val="00D4348C"/>
    <w:rsid w:val="00D436A4"/>
    <w:rsid w:val="00D436AA"/>
    <w:rsid w:val="00D43C53"/>
    <w:rsid w:val="00D43D90"/>
    <w:rsid w:val="00D43DBE"/>
    <w:rsid w:val="00D441B4"/>
    <w:rsid w:val="00D442D5"/>
    <w:rsid w:val="00D4498D"/>
    <w:rsid w:val="00D44C4D"/>
    <w:rsid w:val="00D44CC9"/>
    <w:rsid w:val="00D44D13"/>
    <w:rsid w:val="00D44E77"/>
    <w:rsid w:val="00D44FB8"/>
    <w:rsid w:val="00D4516D"/>
    <w:rsid w:val="00D4524C"/>
    <w:rsid w:val="00D453CF"/>
    <w:rsid w:val="00D45559"/>
    <w:rsid w:val="00D45711"/>
    <w:rsid w:val="00D45C9E"/>
    <w:rsid w:val="00D45E66"/>
    <w:rsid w:val="00D45F60"/>
    <w:rsid w:val="00D45FB2"/>
    <w:rsid w:val="00D469C6"/>
    <w:rsid w:val="00D46D59"/>
    <w:rsid w:val="00D46DEB"/>
    <w:rsid w:val="00D46E9D"/>
    <w:rsid w:val="00D47215"/>
    <w:rsid w:val="00D47254"/>
    <w:rsid w:val="00D4756B"/>
    <w:rsid w:val="00D47577"/>
    <w:rsid w:val="00D47694"/>
    <w:rsid w:val="00D478A3"/>
    <w:rsid w:val="00D47973"/>
    <w:rsid w:val="00D47A31"/>
    <w:rsid w:val="00D47E57"/>
    <w:rsid w:val="00D50208"/>
    <w:rsid w:val="00D503A4"/>
    <w:rsid w:val="00D50417"/>
    <w:rsid w:val="00D504F8"/>
    <w:rsid w:val="00D506BF"/>
    <w:rsid w:val="00D50920"/>
    <w:rsid w:val="00D50A34"/>
    <w:rsid w:val="00D50B07"/>
    <w:rsid w:val="00D50BC3"/>
    <w:rsid w:val="00D50C62"/>
    <w:rsid w:val="00D50E52"/>
    <w:rsid w:val="00D50FC5"/>
    <w:rsid w:val="00D510A1"/>
    <w:rsid w:val="00D521DC"/>
    <w:rsid w:val="00D52277"/>
    <w:rsid w:val="00D5231F"/>
    <w:rsid w:val="00D523B9"/>
    <w:rsid w:val="00D525A9"/>
    <w:rsid w:val="00D5262B"/>
    <w:rsid w:val="00D5265D"/>
    <w:rsid w:val="00D52C5B"/>
    <w:rsid w:val="00D52D22"/>
    <w:rsid w:val="00D52DB3"/>
    <w:rsid w:val="00D52E4D"/>
    <w:rsid w:val="00D533C2"/>
    <w:rsid w:val="00D53437"/>
    <w:rsid w:val="00D53512"/>
    <w:rsid w:val="00D536EC"/>
    <w:rsid w:val="00D53962"/>
    <w:rsid w:val="00D539FB"/>
    <w:rsid w:val="00D53BAF"/>
    <w:rsid w:val="00D53C65"/>
    <w:rsid w:val="00D53D84"/>
    <w:rsid w:val="00D53DA9"/>
    <w:rsid w:val="00D53EFA"/>
    <w:rsid w:val="00D54002"/>
    <w:rsid w:val="00D5438B"/>
    <w:rsid w:val="00D543BB"/>
    <w:rsid w:val="00D5461B"/>
    <w:rsid w:val="00D5476C"/>
    <w:rsid w:val="00D54853"/>
    <w:rsid w:val="00D548E5"/>
    <w:rsid w:val="00D54B50"/>
    <w:rsid w:val="00D54BB0"/>
    <w:rsid w:val="00D54D7C"/>
    <w:rsid w:val="00D54D80"/>
    <w:rsid w:val="00D54E8A"/>
    <w:rsid w:val="00D54FCE"/>
    <w:rsid w:val="00D5528F"/>
    <w:rsid w:val="00D552C5"/>
    <w:rsid w:val="00D55476"/>
    <w:rsid w:val="00D555B4"/>
    <w:rsid w:val="00D5585A"/>
    <w:rsid w:val="00D55B4A"/>
    <w:rsid w:val="00D55E1A"/>
    <w:rsid w:val="00D56105"/>
    <w:rsid w:val="00D5620F"/>
    <w:rsid w:val="00D5629F"/>
    <w:rsid w:val="00D563A6"/>
    <w:rsid w:val="00D56553"/>
    <w:rsid w:val="00D5655D"/>
    <w:rsid w:val="00D565D0"/>
    <w:rsid w:val="00D56625"/>
    <w:rsid w:val="00D567F9"/>
    <w:rsid w:val="00D56A3D"/>
    <w:rsid w:val="00D56B13"/>
    <w:rsid w:val="00D56B39"/>
    <w:rsid w:val="00D56EA9"/>
    <w:rsid w:val="00D56F8C"/>
    <w:rsid w:val="00D57178"/>
    <w:rsid w:val="00D571D5"/>
    <w:rsid w:val="00D572F8"/>
    <w:rsid w:val="00D5734D"/>
    <w:rsid w:val="00D57443"/>
    <w:rsid w:val="00D5760A"/>
    <w:rsid w:val="00D5767C"/>
    <w:rsid w:val="00D576D8"/>
    <w:rsid w:val="00D57C23"/>
    <w:rsid w:val="00D57DBC"/>
    <w:rsid w:val="00D57E13"/>
    <w:rsid w:val="00D57F9C"/>
    <w:rsid w:val="00D6026A"/>
    <w:rsid w:val="00D604E0"/>
    <w:rsid w:val="00D607FC"/>
    <w:rsid w:val="00D60E51"/>
    <w:rsid w:val="00D60F5B"/>
    <w:rsid w:val="00D60FAC"/>
    <w:rsid w:val="00D61133"/>
    <w:rsid w:val="00D613F2"/>
    <w:rsid w:val="00D61623"/>
    <w:rsid w:val="00D61870"/>
    <w:rsid w:val="00D618F4"/>
    <w:rsid w:val="00D61C7A"/>
    <w:rsid w:val="00D61EFB"/>
    <w:rsid w:val="00D61FB9"/>
    <w:rsid w:val="00D62352"/>
    <w:rsid w:val="00D6256E"/>
    <w:rsid w:val="00D6260E"/>
    <w:rsid w:val="00D62649"/>
    <w:rsid w:val="00D62B75"/>
    <w:rsid w:val="00D62BC0"/>
    <w:rsid w:val="00D62BD9"/>
    <w:rsid w:val="00D62D12"/>
    <w:rsid w:val="00D62F00"/>
    <w:rsid w:val="00D633E9"/>
    <w:rsid w:val="00D634B4"/>
    <w:rsid w:val="00D637D4"/>
    <w:rsid w:val="00D6392C"/>
    <w:rsid w:val="00D63AEE"/>
    <w:rsid w:val="00D63B58"/>
    <w:rsid w:val="00D63B80"/>
    <w:rsid w:val="00D63D80"/>
    <w:rsid w:val="00D64056"/>
    <w:rsid w:val="00D64144"/>
    <w:rsid w:val="00D642B5"/>
    <w:rsid w:val="00D644AE"/>
    <w:rsid w:val="00D6458E"/>
    <w:rsid w:val="00D6481A"/>
    <w:rsid w:val="00D64AFC"/>
    <w:rsid w:val="00D64BB3"/>
    <w:rsid w:val="00D651CC"/>
    <w:rsid w:val="00D65244"/>
    <w:rsid w:val="00D65333"/>
    <w:rsid w:val="00D65366"/>
    <w:rsid w:val="00D65CF2"/>
    <w:rsid w:val="00D65D0A"/>
    <w:rsid w:val="00D65E1D"/>
    <w:rsid w:val="00D6603A"/>
    <w:rsid w:val="00D663F5"/>
    <w:rsid w:val="00D66F48"/>
    <w:rsid w:val="00D67251"/>
    <w:rsid w:val="00D676A9"/>
    <w:rsid w:val="00D677B6"/>
    <w:rsid w:val="00D679C1"/>
    <w:rsid w:val="00D67AA2"/>
    <w:rsid w:val="00D67B88"/>
    <w:rsid w:val="00D67D9C"/>
    <w:rsid w:val="00D70591"/>
    <w:rsid w:val="00D70A6E"/>
    <w:rsid w:val="00D70C12"/>
    <w:rsid w:val="00D70C94"/>
    <w:rsid w:val="00D70CD6"/>
    <w:rsid w:val="00D7103E"/>
    <w:rsid w:val="00D710C0"/>
    <w:rsid w:val="00D7118E"/>
    <w:rsid w:val="00D713B4"/>
    <w:rsid w:val="00D715B7"/>
    <w:rsid w:val="00D715FC"/>
    <w:rsid w:val="00D718BE"/>
    <w:rsid w:val="00D71CC3"/>
    <w:rsid w:val="00D71F77"/>
    <w:rsid w:val="00D720D9"/>
    <w:rsid w:val="00D725C8"/>
    <w:rsid w:val="00D726B2"/>
    <w:rsid w:val="00D72BFC"/>
    <w:rsid w:val="00D72DCC"/>
    <w:rsid w:val="00D72E92"/>
    <w:rsid w:val="00D73758"/>
    <w:rsid w:val="00D737BB"/>
    <w:rsid w:val="00D738F7"/>
    <w:rsid w:val="00D73BED"/>
    <w:rsid w:val="00D73EB5"/>
    <w:rsid w:val="00D743EE"/>
    <w:rsid w:val="00D74424"/>
    <w:rsid w:val="00D749BB"/>
    <w:rsid w:val="00D751E4"/>
    <w:rsid w:val="00D751F1"/>
    <w:rsid w:val="00D752EA"/>
    <w:rsid w:val="00D75508"/>
    <w:rsid w:val="00D7569B"/>
    <w:rsid w:val="00D75719"/>
    <w:rsid w:val="00D75739"/>
    <w:rsid w:val="00D75854"/>
    <w:rsid w:val="00D75924"/>
    <w:rsid w:val="00D7594D"/>
    <w:rsid w:val="00D75DCB"/>
    <w:rsid w:val="00D75E55"/>
    <w:rsid w:val="00D75E9E"/>
    <w:rsid w:val="00D75F3B"/>
    <w:rsid w:val="00D75FA1"/>
    <w:rsid w:val="00D769BE"/>
    <w:rsid w:val="00D76AF5"/>
    <w:rsid w:val="00D76C30"/>
    <w:rsid w:val="00D76C5B"/>
    <w:rsid w:val="00D76C97"/>
    <w:rsid w:val="00D76CD4"/>
    <w:rsid w:val="00D76E17"/>
    <w:rsid w:val="00D76FEC"/>
    <w:rsid w:val="00D77135"/>
    <w:rsid w:val="00D77192"/>
    <w:rsid w:val="00D77526"/>
    <w:rsid w:val="00D778D3"/>
    <w:rsid w:val="00D77942"/>
    <w:rsid w:val="00D77BAB"/>
    <w:rsid w:val="00D77E43"/>
    <w:rsid w:val="00D80337"/>
    <w:rsid w:val="00D80404"/>
    <w:rsid w:val="00D80CB6"/>
    <w:rsid w:val="00D80D29"/>
    <w:rsid w:val="00D80FD8"/>
    <w:rsid w:val="00D812C2"/>
    <w:rsid w:val="00D81315"/>
    <w:rsid w:val="00D816FA"/>
    <w:rsid w:val="00D81958"/>
    <w:rsid w:val="00D819F8"/>
    <w:rsid w:val="00D81A15"/>
    <w:rsid w:val="00D81E81"/>
    <w:rsid w:val="00D81EEB"/>
    <w:rsid w:val="00D823AD"/>
    <w:rsid w:val="00D8256A"/>
    <w:rsid w:val="00D8261B"/>
    <w:rsid w:val="00D827BC"/>
    <w:rsid w:val="00D82A39"/>
    <w:rsid w:val="00D82AB4"/>
    <w:rsid w:val="00D82BA6"/>
    <w:rsid w:val="00D82DFB"/>
    <w:rsid w:val="00D830D3"/>
    <w:rsid w:val="00D83101"/>
    <w:rsid w:val="00D831AB"/>
    <w:rsid w:val="00D83216"/>
    <w:rsid w:val="00D836CE"/>
    <w:rsid w:val="00D837CB"/>
    <w:rsid w:val="00D837FC"/>
    <w:rsid w:val="00D83EE8"/>
    <w:rsid w:val="00D840D0"/>
    <w:rsid w:val="00D843D7"/>
    <w:rsid w:val="00D8445D"/>
    <w:rsid w:val="00D84501"/>
    <w:rsid w:val="00D847CD"/>
    <w:rsid w:val="00D84915"/>
    <w:rsid w:val="00D849C7"/>
    <w:rsid w:val="00D84DAF"/>
    <w:rsid w:val="00D84E56"/>
    <w:rsid w:val="00D84EC3"/>
    <w:rsid w:val="00D852AB"/>
    <w:rsid w:val="00D85358"/>
    <w:rsid w:val="00D85738"/>
    <w:rsid w:val="00D85EA6"/>
    <w:rsid w:val="00D862DD"/>
    <w:rsid w:val="00D86575"/>
    <w:rsid w:val="00D8658D"/>
    <w:rsid w:val="00D867CD"/>
    <w:rsid w:val="00D86860"/>
    <w:rsid w:val="00D86920"/>
    <w:rsid w:val="00D86A80"/>
    <w:rsid w:val="00D86B59"/>
    <w:rsid w:val="00D86CBD"/>
    <w:rsid w:val="00D86F66"/>
    <w:rsid w:val="00D86F89"/>
    <w:rsid w:val="00D8718F"/>
    <w:rsid w:val="00D876B9"/>
    <w:rsid w:val="00D901FF"/>
    <w:rsid w:val="00D905CB"/>
    <w:rsid w:val="00D9065A"/>
    <w:rsid w:val="00D90A43"/>
    <w:rsid w:val="00D90BA6"/>
    <w:rsid w:val="00D90D51"/>
    <w:rsid w:val="00D90E0D"/>
    <w:rsid w:val="00D90EBE"/>
    <w:rsid w:val="00D91178"/>
    <w:rsid w:val="00D9124A"/>
    <w:rsid w:val="00D91291"/>
    <w:rsid w:val="00D913A1"/>
    <w:rsid w:val="00D9149B"/>
    <w:rsid w:val="00D915A5"/>
    <w:rsid w:val="00D915E9"/>
    <w:rsid w:val="00D91862"/>
    <w:rsid w:val="00D91A2E"/>
    <w:rsid w:val="00D91C45"/>
    <w:rsid w:val="00D91CF1"/>
    <w:rsid w:val="00D91D36"/>
    <w:rsid w:val="00D91DBB"/>
    <w:rsid w:val="00D9201E"/>
    <w:rsid w:val="00D925B8"/>
    <w:rsid w:val="00D92709"/>
    <w:rsid w:val="00D92E2B"/>
    <w:rsid w:val="00D92EC2"/>
    <w:rsid w:val="00D92F79"/>
    <w:rsid w:val="00D93228"/>
    <w:rsid w:val="00D932A8"/>
    <w:rsid w:val="00D9340F"/>
    <w:rsid w:val="00D9387E"/>
    <w:rsid w:val="00D93A4C"/>
    <w:rsid w:val="00D93AD5"/>
    <w:rsid w:val="00D93B4B"/>
    <w:rsid w:val="00D93F1E"/>
    <w:rsid w:val="00D94A7C"/>
    <w:rsid w:val="00D94BCD"/>
    <w:rsid w:val="00D94BEA"/>
    <w:rsid w:val="00D94D1C"/>
    <w:rsid w:val="00D94D36"/>
    <w:rsid w:val="00D953C6"/>
    <w:rsid w:val="00D95498"/>
    <w:rsid w:val="00D957AE"/>
    <w:rsid w:val="00D95896"/>
    <w:rsid w:val="00D958FE"/>
    <w:rsid w:val="00D95927"/>
    <w:rsid w:val="00D95A12"/>
    <w:rsid w:val="00D95C6D"/>
    <w:rsid w:val="00D95DDE"/>
    <w:rsid w:val="00D9611B"/>
    <w:rsid w:val="00D962F9"/>
    <w:rsid w:val="00D96329"/>
    <w:rsid w:val="00D96438"/>
    <w:rsid w:val="00D96912"/>
    <w:rsid w:val="00D9696F"/>
    <w:rsid w:val="00D96E8D"/>
    <w:rsid w:val="00D97048"/>
    <w:rsid w:val="00D97267"/>
    <w:rsid w:val="00D97416"/>
    <w:rsid w:val="00D9746B"/>
    <w:rsid w:val="00D979B7"/>
    <w:rsid w:val="00D979DB"/>
    <w:rsid w:val="00D97A12"/>
    <w:rsid w:val="00D97A2D"/>
    <w:rsid w:val="00D97A83"/>
    <w:rsid w:val="00D97ECB"/>
    <w:rsid w:val="00D97F10"/>
    <w:rsid w:val="00D97F2D"/>
    <w:rsid w:val="00D97F94"/>
    <w:rsid w:val="00DA074E"/>
    <w:rsid w:val="00DA07BA"/>
    <w:rsid w:val="00DA08E8"/>
    <w:rsid w:val="00DA0A86"/>
    <w:rsid w:val="00DA0DE5"/>
    <w:rsid w:val="00DA1051"/>
    <w:rsid w:val="00DA10FE"/>
    <w:rsid w:val="00DA1837"/>
    <w:rsid w:val="00DA1B38"/>
    <w:rsid w:val="00DA1DE0"/>
    <w:rsid w:val="00DA1E23"/>
    <w:rsid w:val="00DA1ECA"/>
    <w:rsid w:val="00DA1F00"/>
    <w:rsid w:val="00DA1F08"/>
    <w:rsid w:val="00DA1F75"/>
    <w:rsid w:val="00DA2139"/>
    <w:rsid w:val="00DA23B3"/>
    <w:rsid w:val="00DA2655"/>
    <w:rsid w:val="00DA26BC"/>
    <w:rsid w:val="00DA2AC4"/>
    <w:rsid w:val="00DA2E72"/>
    <w:rsid w:val="00DA30F3"/>
    <w:rsid w:val="00DA339B"/>
    <w:rsid w:val="00DA33BE"/>
    <w:rsid w:val="00DA348F"/>
    <w:rsid w:val="00DA3773"/>
    <w:rsid w:val="00DA3A6C"/>
    <w:rsid w:val="00DA3C88"/>
    <w:rsid w:val="00DA3D79"/>
    <w:rsid w:val="00DA3DC3"/>
    <w:rsid w:val="00DA3E03"/>
    <w:rsid w:val="00DA3E63"/>
    <w:rsid w:val="00DA405E"/>
    <w:rsid w:val="00DA4102"/>
    <w:rsid w:val="00DA4150"/>
    <w:rsid w:val="00DA42D7"/>
    <w:rsid w:val="00DA452E"/>
    <w:rsid w:val="00DA46BC"/>
    <w:rsid w:val="00DA48F5"/>
    <w:rsid w:val="00DA48F7"/>
    <w:rsid w:val="00DA4B7A"/>
    <w:rsid w:val="00DA4C6A"/>
    <w:rsid w:val="00DA4E94"/>
    <w:rsid w:val="00DA5254"/>
    <w:rsid w:val="00DA5309"/>
    <w:rsid w:val="00DA5422"/>
    <w:rsid w:val="00DA5540"/>
    <w:rsid w:val="00DA561B"/>
    <w:rsid w:val="00DA56BC"/>
    <w:rsid w:val="00DA5D0B"/>
    <w:rsid w:val="00DA5D65"/>
    <w:rsid w:val="00DA5D83"/>
    <w:rsid w:val="00DA5E12"/>
    <w:rsid w:val="00DA6012"/>
    <w:rsid w:val="00DA6152"/>
    <w:rsid w:val="00DA61ED"/>
    <w:rsid w:val="00DA6274"/>
    <w:rsid w:val="00DA641A"/>
    <w:rsid w:val="00DA6773"/>
    <w:rsid w:val="00DA6A4B"/>
    <w:rsid w:val="00DA6AF8"/>
    <w:rsid w:val="00DA6C4A"/>
    <w:rsid w:val="00DA6D01"/>
    <w:rsid w:val="00DA6DB5"/>
    <w:rsid w:val="00DA6EB1"/>
    <w:rsid w:val="00DA74C3"/>
    <w:rsid w:val="00DA7750"/>
    <w:rsid w:val="00DA77C7"/>
    <w:rsid w:val="00DA78BA"/>
    <w:rsid w:val="00DA7AFA"/>
    <w:rsid w:val="00DA7BFF"/>
    <w:rsid w:val="00DA7EE3"/>
    <w:rsid w:val="00DB00CA"/>
    <w:rsid w:val="00DB04E1"/>
    <w:rsid w:val="00DB05FB"/>
    <w:rsid w:val="00DB06C5"/>
    <w:rsid w:val="00DB0909"/>
    <w:rsid w:val="00DB0AF7"/>
    <w:rsid w:val="00DB0CFE"/>
    <w:rsid w:val="00DB104F"/>
    <w:rsid w:val="00DB1318"/>
    <w:rsid w:val="00DB1676"/>
    <w:rsid w:val="00DB19C0"/>
    <w:rsid w:val="00DB1A05"/>
    <w:rsid w:val="00DB1A12"/>
    <w:rsid w:val="00DB1A93"/>
    <w:rsid w:val="00DB1C6A"/>
    <w:rsid w:val="00DB1C9C"/>
    <w:rsid w:val="00DB1D5B"/>
    <w:rsid w:val="00DB1FE9"/>
    <w:rsid w:val="00DB21B6"/>
    <w:rsid w:val="00DB221D"/>
    <w:rsid w:val="00DB2747"/>
    <w:rsid w:val="00DB2867"/>
    <w:rsid w:val="00DB2939"/>
    <w:rsid w:val="00DB2983"/>
    <w:rsid w:val="00DB2C7E"/>
    <w:rsid w:val="00DB2FDE"/>
    <w:rsid w:val="00DB327D"/>
    <w:rsid w:val="00DB33B1"/>
    <w:rsid w:val="00DB364D"/>
    <w:rsid w:val="00DB381E"/>
    <w:rsid w:val="00DB3F3D"/>
    <w:rsid w:val="00DB4040"/>
    <w:rsid w:val="00DB4079"/>
    <w:rsid w:val="00DB42E1"/>
    <w:rsid w:val="00DB4307"/>
    <w:rsid w:val="00DB448E"/>
    <w:rsid w:val="00DB46C4"/>
    <w:rsid w:val="00DB4733"/>
    <w:rsid w:val="00DB47B2"/>
    <w:rsid w:val="00DB4A58"/>
    <w:rsid w:val="00DB4CD1"/>
    <w:rsid w:val="00DB5332"/>
    <w:rsid w:val="00DB542C"/>
    <w:rsid w:val="00DB5702"/>
    <w:rsid w:val="00DB588E"/>
    <w:rsid w:val="00DB5B1D"/>
    <w:rsid w:val="00DB5B80"/>
    <w:rsid w:val="00DB5C25"/>
    <w:rsid w:val="00DB6094"/>
    <w:rsid w:val="00DB6212"/>
    <w:rsid w:val="00DB6278"/>
    <w:rsid w:val="00DB644A"/>
    <w:rsid w:val="00DB651F"/>
    <w:rsid w:val="00DB680C"/>
    <w:rsid w:val="00DB695E"/>
    <w:rsid w:val="00DB69FA"/>
    <w:rsid w:val="00DB6B69"/>
    <w:rsid w:val="00DB6E19"/>
    <w:rsid w:val="00DB6FD0"/>
    <w:rsid w:val="00DB70B6"/>
    <w:rsid w:val="00DB745A"/>
    <w:rsid w:val="00DB78CB"/>
    <w:rsid w:val="00DB7B09"/>
    <w:rsid w:val="00DB7BAF"/>
    <w:rsid w:val="00DB7BE6"/>
    <w:rsid w:val="00DB7CAA"/>
    <w:rsid w:val="00DB7DEC"/>
    <w:rsid w:val="00DB7F50"/>
    <w:rsid w:val="00DC0209"/>
    <w:rsid w:val="00DC0363"/>
    <w:rsid w:val="00DC049E"/>
    <w:rsid w:val="00DC06B6"/>
    <w:rsid w:val="00DC07FB"/>
    <w:rsid w:val="00DC0ABC"/>
    <w:rsid w:val="00DC0EB2"/>
    <w:rsid w:val="00DC10C9"/>
    <w:rsid w:val="00DC112B"/>
    <w:rsid w:val="00DC1257"/>
    <w:rsid w:val="00DC1340"/>
    <w:rsid w:val="00DC1722"/>
    <w:rsid w:val="00DC1791"/>
    <w:rsid w:val="00DC17DD"/>
    <w:rsid w:val="00DC21D1"/>
    <w:rsid w:val="00DC21DF"/>
    <w:rsid w:val="00DC22C9"/>
    <w:rsid w:val="00DC259B"/>
    <w:rsid w:val="00DC2773"/>
    <w:rsid w:val="00DC2881"/>
    <w:rsid w:val="00DC29DC"/>
    <w:rsid w:val="00DC322A"/>
    <w:rsid w:val="00DC3254"/>
    <w:rsid w:val="00DC3AA9"/>
    <w:rsid w:val="00DC3AE7"/>
    <w:rsid w:val="00DC3AF9"/>
    <w:rsid w:val="00DC3B04"/>
    <w:rsid w:val="00DC3D23"/>
    <w:rsid w:val="00DC3DC0"/>
    <w:rsid w:val="00DC3E43"/>
    <w:rsid w:val="00DC3EE5"/>
    <w:rsid w:val="00DC3FF2"/>
    <w:rsid w:val="00DC40CC"/>
    <w:rsid w:val="00DC4919"/>
    <w:rsid w:val="00DC495B"/>
    <w:rsid w:val="00DC4AAB"/>
    <w:rsid w:val="00DC4EA4"/>
    <w:rsid w:val="00DC4F7F"/>
    <w:rsid w:val="00DC504D"/>
    <w:rsid w:val="00DC5257"/>
    <w:rsid w:val="00DC575E"/>
    <w:rsid w:val="00DC5B2B"/>
    <w:rsid w:val="00DC5BAC"/>
    <w:rsid w:val="00DC5E2F"/>
    <w:rsid w:val="00DC6345"/>
    <w:rsid w:val="00DC639A"/>
    <w:rsid w:val="00DC6647"/>
    <w:rsid w:val="00DC66FF"/>
    <w:rsid w:val="00DC6935"/>
    <w:rsid w:val="00DC693D"/>
    <w:rsid w:val="00DC6A1F"/>
    <w:rsid w:val="00DC6CAD"/>
    <w:rsid w:val="00DC71A4"/>
    <w:rsid w:val="00DC7375"/>
    <w:rsid w:val="00DC7611"/>
    <w:rsid w:val="00DC788D"/>
    <w:rsid w:val="00DC79BA"/>
    <w:rsid w:val="00DC7AC2"/>
    <w:rsid w:val="00DC7C02"/>
    <w:rsid w:val="00DC7C18"/>
    <w:rsid w:val="00DC7FEF"/>
    <w:rsid w:val="00DD038C"/>
    <w:rsid w:val="00DD04E6"/>
    <w:rsid w:val="00DD055F"/>
    <w:rsid w:val="00DD0929"/>
    <w:rsid w:val="00DD0E78"/>
    <w:rsid w:val="00DD0F82"/>
    <w:rsid w:val="00DD1030"/>
    <w:rsid w:val="00DD11F9"/>
    <w:rsid w:val="00DD122B"/>
    <w:rsid w:val="00DD1411"/>
    <w:rsid w:val="00DD1819"/>
    <w:rsid w:val="00DD18CB"/>
    <w:rsid w:val="00DD19B0"/>
    <w:rsid w:val="00DD19B2"/>
    <w:rsid w:val="00DD2007"/>
    <w:rsid w:val="00DD2144"/>
    <w:rsid w:val="00DD237A"/>
    <w:rsid w:val="00DD2475"/>
    <w:rsid w:val="00DD2514"/>
    <w:rsid w:val="00DD261C"/>
    <w:rsid w:val="00DD2678"/>
    <w:rsid w:val="00DD298A"/>
    <w:rsid w:val="00DD318A"/>
    <w:rsid w:val="00DD318D"/>
    <w:rsid w:val="00DD321B"/>
    <w:rsid w:val="00DD3341"/>
    <w:rsid w:val="00DD33E1"/>
    <w:rsid w:val="00DD3442"/>
    <w:rsid w:val="00DD3889"/>
    <w:rsid w:val="00DD39DF"/>
    <w:rsid w:val="00DD3A88"/>
    <w:rsid w:val="00DD3C78"/>
    <w:rsid w:val="00DD42C4"/>
    <w:rsid w:val="00DD4389"/>
    <w:rsid w:val="00DD46A3"/>
    <w:rsid w:val="00DD488C"/>
    <w:rsid w:val="00DD4BA4"/>
    <w:rsid w:val="00DD4D0D"/>
    <w:rsid w:val="00DD4E27"/>
    <w:rsid w:val="00DD4F3F"/>
    <w:rsid w:val="00DD4F4D"/>
    <w:rsid w:val="00DD5232"/>
    <w:rsid w:val="00DD5342"/>
    <w:rsid w:val="00DD542C"/>
    <w:rsid w:val="00DD5680"/>
    <w:rsid w:val="00DD57FC"/>
    <w:rsid w:val="00DD5D78"/>
    <w:rsid w:val="00DD62B0"/>
    <w:rsid w:val="00DD6376"/>
    <w:rsid w:val="00DD64C3"/>
    <w:rsid w:val="00DD65FA"/>
    <w:rsid w:val="00DD6916"/>
    <w:rsid w:val="00DD6940"/>
    <w:rsid w:val="00DD694A"/>
    <w:rsid w:val="00DD6A0F"/>
    <w:rsid w:val="00DD6C00"/>
    <w:rsid w:val="00DD6D5A"/>
    <w:rsid w:val="00DD70D7"/>
    <w:rsid w:val="00DD7229"/>
    <w:rsid w:val="00DD736F"/>
    <w:rsid w:val="00DD77E1"/>
    <w:rsid w:val="00DD77FE"/>
    <w:rsid w:val="00DD79F6"/>
    <w:rsid w:val="00DD7B77"/>
    <w:rsid w:val="00DD7FB0"/>
    <w:rsid w:val="00DE004F"/>
    <w:rsid w:val="00DE0439"/>
    <w:rsid w:val="00DE0530"/>
    <w:rsid w:val="00DE06B8"/>
    <w:rsid w:val="00DE0840"/>
    <w:rsid w:val="00DE0B6B"/>
    <w:rsid w:val="00DE0C5D"/>
    <w:rsid w:val="00DE0DCD"/>
    <w:rsid w:val="00DE0F51"/>
    <w:rsid w:val="00DE102C"/>
    <w:rsid w:val="00DE10F2"/>
    <w:rsid w:val="00DE1237"/>
    <w:rsid w:val="00DE12CE"/>
    <w:rsid w:val="00DE13C1"/>
    <w:rsid w:val="00DE146F"/>
    <w:rsid w:val="00DE1668"/>
    <w:rsid w:val="00DE171D"/>
    <w:rsid w:val="00DE178F"/>
    <w:rsid w:val="00DE17E5"/>
    <w:rsid w:val="00DE18DD"/>
    <w:rsid w:val="00DE19B4"/>
    <w:rsid w:val="00DE1C80"/>
    <w:rsid w:val="00DE1D27"/>
    <w:rsid w:val="00DE2169"/>
    <w:rsid w:val="00DE29D9"/>
    <w:rsid w:val="00DE2A64"/>
    <w:rsid w:val="00DE2C27"/>
    <w:rsid w:val="00DE306B"/>
    <w:rsid w:val="00DE34DB"/>
    <w:rsid w:val="00DE34EE"/>
    <w:rsid w:val="00DE377B"/>
    <w:rsid w:val="00DE37D1"/>
    <w:rsid w:val="00DE3D4F"/>
    <w:rsid w:val="00DE3E80"/>
    <w:rsid w:val="00DE3F3D"/>
    <w:rsid w:val="00DE3FA5"/>
    <w:rsid w:val="00DE40D9"/>
    <w:rsid w:val="00DE4575"/>
    <w:rsid w:val="00DE488B"/>
    <w:rsid w:val="00DE4A2B"/>
    <w:rsid w:val="00DE4A91"/>
    <w:rsid w:val="00DE4ADB"/>
    <w:rsid w:val="00DE4D54"/>
    <w:rsid w:val="00DE4E74"/>
    <w:rsid w:val="00DE4F53"/>
    <w:rsid w:val="00DE4FD9"/>
    <w:rsid w:val="00DE52A9"/>
    <w:rsid w:val="00DE5304"/>
    <w:rsid w:val="00DE531F"/>
    <w:rsid w:val="00DE5351"/>
    <w:rsid w:val="00DE54C3"/>
    <w:rsid w:val="00DE5583"/>
    <w:rsid w:val="00DE5907"/>
    <w:rsid w:val="00DE59FC"/>
    <w:rsid w:val="00DE5A42"/>
    <w:rsid w:val="00DE5AF3"/>
    <w:rsid w:val="00DE5CB5"/>
    <w:rsid w:val="00DE5E5D"/>
    <w:rsid w:val="00DE5EE3"/>
    <w:rsid w:val="00DE5F16"/>
    <w:rsid w:val="00DE6199"/>
    <w:rsid w:val="00DE649B"/>
    <w:rsid w:val="00DE6552"/>
    <w:rsid w:val="00DE65C7"/>
    <w:rsid w:val="00DE65FC"/>
    <w:rsid w:val="00DE6635"/>
    <w:rsid w:val="00DE673B"/>
    <w:rsid w:val="00DE68A9"/>
    <w:rsid w:val="00DE6A58"/>
    <w:rsid w:val="00DE6B8B"/>
    <w:rsid w:val="00DE6EC9"/>
    <w:rsid w:val="00DE6FAC"/>
    <w:rsid w:val="00DE6FFE"/>
    <w:rsid w:val="00DE7102"/>
    <w:rsid w:val="00DE78E1"/>
    <w:rsid w:val="00DE7987"/>
    <w:rsid w:val="00DE7A59"/>
    <w:rsid w:val="00DE7B12"/>
    <w:rsid w:val="00DE7B4A"/>
    <w:rsid w:val="00DE7BBB"/>
    <w:rsid w:val="00DE7C8F"/>
    <w:rsid w:val="00DE7D17"/>
    <w:rsid w:val="00DE7DC1"/>
    <w:rsid w:val="00DF0085"/>
    <w:rsid w:val="00DF025C"/>
    <w:rsid w:val="00DF0381"/>
    <w:rsid w:val="00DF05F5"/>
    <w:rsid w:val="00DF06C7"/>
    <w:rsid w:val="00DF07AF"/>
    <w:rsid w:val="00DF0913"/>
    <w:rsid w:val="00DF09DD"/>
    <w:rsid w:val="00DF0D1D"/>
    <w:rsid w:val="00DF0E91"/>
    <w:rsid w:val="00DF0F38"/>
    <w:rsid w:val="00DF0F3F"/>
    <w:rsid w:val="00DF1265"/>
    <w:rsid w:val="00DF12B1"/>
    <w:rsid w:val="00DF132B"/>
    <w:rsid w:val="00DF1A24"/>
    <w:rsid w:val="00DF1A3C"/>
    <w:rsid w:val="00DF1E6E"/>
    <w:rsid w:val="00DF1ED7"/>
    <w:rsid w:val="00DF2051"/>
    <w:rsid w:val="00DF2457"/>
    <w:rsid w:val="00DF26B6"/>
    <w:rsid w:val="00DF2B88"/>
    <w:rsid w:val="00DF2B94"/>
    <w:rsid w:val="00DF2C08"/>
    <w:rsid w:val="00DF2C45"/>
    <w:rsid w:val="00DF2CDD"/>
    <w:rsid w:val="00DF2E12"/>
    <w:rsid w:val="00DF3006"/>
    <w:rsid w:val="00DF3215"/>
    <w:rsid w:val="00DF3256"/>
    <w:rsid w:val="00DF329D"/>
    <w:rsid w:val="00DF3774"/>
    <w:rsid w:val="00DF3994"/>
    <w:rsid w:val="00DF39E0"/>
    <w:rsid w:val="00DF3D2A"/>
    <w:rsid w:val="00DF3FAF"/>
    <w:rsid w:val="00DF411D"/>
    <w:rsid w:val="00DF43AD"/>
    <w:rsid w:val="00DF449F"/>
    <w:rsid w:val="00DF4B94"/>
    <w:rsid w:val="00DF503A"/>
    <w:rsid w:val="00DF50A9"/>
    <w:rsid w:val="00DF514A"/>
    <w:rsid w:val="00DF53AF"/>
    <w:rsid w:val="00DF5493"/>
    <w:rsid w:val="00DF5645"/>
    <w:rsid w:val="00DF564F"/>
    <w:rsid w:val="00DF57F1"/>
    <w:rsid w:val="00DF59B3"/>
    <w:rsid w:val="00DF5CD3"/>
    <w:rsid w:val="00DF60F7"/>
    <w:rsid w:val="00DF64C8"/>
    <w:rsid w:val="00DF6500"/>
    <w:rsid w:val="00DF6690"/>
    <w:rsid w:val="00DF6804"/>
    <w:rsid w:val="00DF6BBD"/>
    <w:rsid w:val="00DF6EA1"/>
    <w:rsid w:val="00DF708E"/>
    <w:rsid w:val="00DF738D"/>
    <w:rsid w:val="00DF74AB"/>
    <w:rsid w:val="00DF74F6"/>
    <w:rsid w:val="00DF790F"/>
    <w:rsid w:val="00DF7A8F"/>
    <w:rsid w:val="00DF7B14"/>
    <w:rsid w:val="00DF7E34"/>
    <w:rsid w:val="00DF7E94"/>
    <w:rsid w:val="00DF7F8B"/>
    <w:rsid w:val="00E00139"/>
    <w:rsid w:val="00E0063B"/>
    <w:rsid w:val="00E006A2"/>
    <w:rsid w:val="00E007B3"/>
    <w:rsid w:val="00E009A1"/>
    <w:rsid w:val="00E00AB3"/>
    <w:rsid w:val="00E00CB3"/>
    <w:rsid w:val="00E00CEB"/>
    <w:rsid w:val="00E00DA8"/>
    <w:rsid w:val="00E00E3F"/>
    <w:rsid w:val="00E01154"/>
    <w:rsid w:val="00E01269"/>
    <w:rsid w:val="00E0126A"/>
    <w:rsid w:val="00E012A2"/>
    <w:rsid w:val="00E012D2"/>
    <w:rsid w:val="00E01420"/>
    <w:rsid w:val="00E0143C"/>
    <w:rsid w:val="00E015A6"/>
    <w:rsid w:val="00E015CC"/>
    <w:rsid w:val="00E0162B"/>
    <w:rsid w:val="00E01747"/>
    <w:rsid w:val="00E01CE2"/>
    <w:rsid w:val="00E01D00"/>
    <w:rsid w:val="00E01E11"/>
    <w:rsid w:val="00E01EA2"/>
    <w:rsid w:val="00E023C9"/>
    <w:rsid w:val="00E02623"/>
    <w:rsid w:val="00E02B19"/>
    <w:rsid w:val="00E02BAD"/>
    <w:rsid w:val="00E02E99"/>
    <w:rsid w:val="00E02EA4"/>
    <w:rsid w:val="00E02F0A"/>
    <w:rsid w:val="00E02F95"/>
    <w:rsid w:val="00E02FAE"/>
    <w:rsid w:val="00E02FCB"/>
    <w:rsid w:val="00E031A5"/>
    <w:rsid w:val="00E031C1"/>
    <w:rsid w:val="00E0331B"/>
    <w:rsid w:val="00E0358D"/>
    <w:rsid w:val="00E03A1F"/>
    <w:rsid w:val="00E03DB2"/>
    <w:rsid w:val="00E03F32"/>
    <w:rsid w:val="00E03F64"/>
    <w:rsid w:val="00E04033"/>
    <w:rsid w:val="00E04055"/>
    <w:rsid w:val="00E040DF"/>
    <w:rsid w:val="00E04125"/>
    <w:rsid w:val="00E041D4"/>
    <w:rsid w:val="00E04323"/>
    <w:rsid w:val="00E04347"/>
    <w:rsid w:val="00E04386"/>
    <w:rsid w:val="00E04409"/>
    <w:rsid w:val="00E04588"/>
    <w:rsid w:val="00E046DA"/>
    <w:rsid w:val="00E04794"/>
    <w:rsid w:val="00E048CE"/>
    <w:rsid w:val="00E04A43"/>
    <w:rsid w:val="00E04BD0"/>
    <w:rsid w:val="00E04EAC"/>
    <w:rsid w:val="00E05184"/>
    <w:rsid w:val="00E054B6"/>
    <w:rsid w:val="00E05A12"/>
    <w:rsid w:val="00E05C1A"/>
    <w:rsid w:val="00E05C1B"/>
    <w:rsid w:val="00E05D96"/>
    <w:rsid w:val="00E060E2"/>
    <w:rsid w:val="00E0620B"/>
    <w:rsid w:val="00E062FC"/>
    <w:rsid w:val="00E06506"/>
    <w:rsid w:val="00E065D2"/>
    <w:rsid w:val="00E06901"/>
    <w:rsid w:val="00E06A78"/>
    <w:rsid w:val="00E06C7D"/>
    <w:rsid w:val="00E06EBF"/>
    <w:rsid w:val="00E06F05"/>
    <w:rsid w:val="00E070A2"/>
    <w:rsid w:val="00E07154"/>
    <w:rsid w:val="00E072C4"/>
    <w:rsid w:val="00E072E5"/>
    <w:rsid w:val="00E0782E"/>
    <w:rsid w:val="00E07879"/>
    <w:rsid w:val="00E0787A"/>
    <w:rsid w:val="00E0799F"/>
    <w:rsid w:val="00E07C55"/>
    <w:rsid w:val="00E07D66"/>
    <w:rsid w:val="00E100FE"/>
    <w:rsid w:val="00E10219"/>
    <w:rsid w:val="00E1022D"/>
    <w:rsid w:val="00E10316"/>
    <w:rsid w:val="00E10431"/>
    <w:rsid w:val="00E104A2"/>
    <w:rsid w:val="00E10760"/>
    <w:rsid w:val="00E108A8"/>
    <w:rsid w:val="00E10AB2"/>
    <w:rsid w:val="00E1139B"/>
    <w:rsid w:val="00E113C5"/>
    <w:rsid w:val="00E113D6"/>
    <w:rsid w:val="00E11425"/>
    <w:rsid w:val="00E11632"/>
    <w:rsid w:val="00E116BE"/>
    <w:rsid w:val="00E11AA5"/>
    <w:rsid w:val="00E11ABB"/>
    <w:rsid w:val="00E11D27"/>
    <w:rsid w:val="00E12347"/>
    <w:rsid w:val="00E12427"/>
    <w:rsid w:val="00E1276E"/>
    <w:rsid w:val="00E12ECD"/>
    <w:rsid w:val="00E13053"/>
    <w:rsid w:val="00E134E9"/>
    <w:rsid w:val="00E136F8"/>
    <w:rsid w:val="00E13706"/>
    <w:rsid w:val="00E13D83"/>
    <w:rsid w:val="00E13E6E"/>
    <w:rsid w:val="00E14029"/>
    <w:rsid w:val="00E1413A"/>
    <w:rsid w:val="00E14247"/>
    <w:rsid w:val="00E14346"/>
    <w:rsid w:val="00E1435A"/>
    <w:rsid w:val="00E14556"/>
    <w:rsid w:val="00E145F2"/>
    <w:rsid w:val="00E14767"/>
    <w:rsid w:val="00E147A7"/>
    <w:rsid w:val="00E147AF"/>
    <w:rsid w:val="00E14A68"/>
    <w:rsid w:val="00E14B8E"/>
    <w:rsid w:val="00E15075"/>
    <w:rsid w:val="00E154B6"/>
    <w:rsid w:val="00E154F9"/>
    <w:rsid w:val="00E164AE"/>
    <w:rsid w:val="00E16726"/>
    <w:rsid w:val="00E16967"/>
    <w:rsid w:val="00E16CDA"/>
    <w:rsid w:val="00E16EBD"/>
    <w:rsid w:val="00E17246"/>
    <w:rsid w:val="00E174E9"/>
    <w:rsid w:val="00E1779C"/>
    <w:rsid w:val="00E17A4D"/>
    <w:rsid w:val="00E17A70"/>
    <w:rsid w:val="00E20514"/>
    <w:rsid w:val="00E2054A"/>
    <w:rsid w:val="00E205D2"/>
    <w:rsid w:val="00E207A4"/>
    <w:rsid w:val="00E2087B"/>
    <w:rsid w:val="00E20941"/>
    <w:rsid w:val="00E20A5C"/>
    <w:rsid w:val="00E20CEC"/>
    <w:rsid w:val="00E20CF8"/>
    <w:rsid w:val="00E20E22"/>
    <w:rsid w:val="00E20F67"/>
    <w:rsid w:val="00E20F87"/>
    <w:rsid w:val="00E20FFE"/>
    <w:rsid w:val="00E2142D"/>
    <w:rsid w:val="00E215C0"/>
    <w:rsid w:val="00E21965"/>
    <w:rsid w:val="00E21B85"/>
    <w:rsid w:val="00E2200F"/>
    <w:rsid w:val="00E22193"/>
    <w:rsid w:val="00E22272"/>
    <w:rsid w:val="00E22559"/>
    <w:rsid w:val="00E22821"/>
    <w:rsid w:val="00E229C4"/>
    <w:rsid w:val="00E22CB8"/>
    <w:rsid w:val="00E22D68"/>
    <w:rsid w:val="00E22D79"/>
    <w:rsid w:val="00E22D97"/>
    <w:rsid w:val="00E22E88"/>
    <w:rsid w:val="00E22FA2"/>
    <w:rsid w:val="00E23120"/>
    <w:rsid w:val="00E23256"/>
    <w:rsid w:val="00E235A9"/>
    <w:rsid w:val="00E2362F"/>
    <w:rsid w:val="00E23651"/>
    <w:rsid w:val="00E2370C"/>
    <w:rsid w:val="00E23763"/>
    <w:rsid w:val="00E23FA5"/>
    <w:rsid w:val="00E2415F"/>
    <w:rsid w:val="00E24235"/>
    <w:rsid w:val="00E24473"/>
    <w:rsid w:val="00E2462B"/>
    <w:rsid w:val="00E247DE"/>
    <w:rsid w:val="00E24988"/>
    <w:rsid w:val="00E24D96"/>
    <w:rsid w:val="00E24E11"/>
    <w:rsid w:val="00E24EBA"/>
    <w:rsid w:val="00E24FEC"/>
    <w:rsid w:val="00E2501C"/>
    <w:rsid w:val="00E25083"/>
    <w:rsid w:val="00E2514F"/>
    <w:rsid w:val="00E2522A"/>
    <w:rsid w:val="00E2557F"/>
    <w:rsid w:val="00E25724"/>
    <w:rsid w:val="00E25A76"/>
    <w:rsid w:val="00E25AC6"/>
    <w:rsid w:val="00E25E74"/>
    <w:rsid w:val="00E25EC9"/>
    <w:rsid w:val="00E25F36"/>
    <w:rsid w:val="00E263A3"/>
    <w:rsid w:val="00E264E0"/>
    <w:rsid w:val="00E2656A"/>
    <w:rsid w:val="00E269A0"/>
    <w:rsid w:val="00E269A3"/>
    <w:rsid w:val="00E26AEB"/>
    <w:rsid w:val="00E26CD3"/>
    <w:rsid w:val="00E27359"/>
    <w:rsid w:val="00E275E2"/>
    <w:rsid w:val="00E275EA"/>
    <w:rsid w:val="00E277FA"/>
    <w:rsid w:val="00E27BC0"/>
    <w:rsid w:val="00E27D17"/>
    <w:rsid w:val="00E302D5"/>
    <w:rsid w:val="00E304FE"/>
    <w:rsid w:val="00E30858"/>
    <w:rsid w:val="00E30FAC"/>
    <w:rsid w:val="00E3136B"/>
    <w:rsid w:val="00E314C9"/>
    <w:rsid w:val="00E3165F"/>
    <w:rsid w:val="00E3187D"/>
    <w:rsid w:val="00E31908"/>
    <w:rsid w:val="00E319D2"/>
    <w:rsid w:val="00E3204A"/>
    <w:rsid w:val="00E320C1"/>
    <w:rsid w:val="00E3213E"/>
    <w:rsid w:val="00E3250E"/>
    <w:rsid w:val="00E32566"/>
    <w:rsid w:val="00E32705"/>
    <w:rsid w:val="00E32766"/>
    <w:rsid w:val="00E32779"/>
    <w:rsid w:val="00E32A89"/>
    <w:rsid w:val="00E32B36"/>
    <w:rsid w:val="00E32BB8"/>
    <w:rsid w:val="00E32CC0"/>
    <w:rsid w:val="00E32CDB"/>
    <w:rsid w:val="00E32D8A"/>
    <w:rsid w:val="00E32DEC"/>
    <w:rsid w:val="00E3302A"/>
    <w:rsid w:val="00E330E8"/>
    <w:rsid w:val="00E33397"/>
    <w:rsid w:val="00E333DC"/>
    <w:rsid w:val="00E33625"/>
    <w:rsid w:val="00E33645"/>
    <w:rsid w:val="00E33768"/>
    <w:rsid w:val="00E33B10"/>
    <w:rsid w:val="00E33CFC"/>
    <w:rsid w:val="00E33E60"/>
    <w:rsid w:val="00E34132"/>
    <w:rsid w:val="00E343D3"/>
    <w:rsid w:val="00E3478A"/>
    <w:rsid w:val="00E34794"/>
    <w:rsid w:val="00E348CE"/>
    <w:rsid w:val="00E34BDA"/>
    <w:rsid w:val="00E34E6E"/>
    <w:rsid w:val="00E34F66"/>
    <w:rsid w:val="00E35017"/>
    <w:rsid w:val="00E351B3"/>
    <w:rsid w:val="00E3521B"/>
    <w:rsid w:val="00E35274"/>
    <w:rsid w:val="00E35387"/>
    <w:rsid w:val="00E35482"/>
    <w:rsid w:val="00E35499"/>
    <w:rsid w:val="00E355BD"/>
    <w:rsid w:val="00E35615"/>
    <w:rsid w:val="00E35A56"/>
    <w:rsid w:val="00E35C9B"/>
    <w:rsid w:val="00E35EDC"/>
    <w:rsid w:val="00E36433"/>
    <w:rsid w:val="00E36A71"/>
    <w:rsid w:val="00E36AFE"/>
    <w:rsid w:val="00E36DB1"/>
    <w:rsid w:val="00E36DC0"/>
    <w:rsid w:val="00E3799E"/>
    <w:rsid w:val="00E379DC"/>
    <w:rsid w:val="00E37E7D"/>
    <w:rsid w:val="00E401DE"/>
    <w:rsid w:val="00E402B4"/>
    <w:rsid w:val="00E40325"/>
    <w:rsid w:val="00E404AF"/>
    <w:rsid w:val="00E405B7"/>
    <w:rsid w:val="00E407AD"/>
    <w:rsid w:val="00E4097A"/>
    <w:rsid w:val="00E40987"/>
    <w:rsid w:val="00E40F63"/>
    <w:rsid w:val="00E41281"/>
    <w:rsid w:val="00E412D0"/>
    <w:rsid w:val="00E4140E"/>
    <w:rsid w:val="00E414E5"/>
    <w:rsid w:val="00E41500"/>
    <w:rsid w:val="00E415B2"/>
    <w:rsid w:val="00E4164A"/>
    <w:rsid w:val="00E4189E"/>
    <w:rsid w:val="00E418D3"/>
    <w:rsid w:val="00E419AF"/>
    <w:rsid w:val="00E41ADE"/>
    <w:rsid w:val="00E41D82"/>
    <w:rsid w:val="00E420E3"/>
    <w:rsid w:val="00E42984"/>
    <w:rsid w:val="00E42DC1"/>
    <w:rsid w:val="00E42E2C"/>
    <w:rsid w:val="00E43475"/>
    <w:rsid w:val="00E436C8"/>
    <w:rsid w:val="00E437DF"/>
    <w:rsid w:val="00E43B75"/>
    <w:rsid w:val="00E43B7E"/>
    <w:rsid w:val="00E43CF7"/>
    <w:rsid w:val="00E43D02"/>
    <w:rsid w:val="00E43E7D"/>
    <w:rsid w:val="00E43FC3"/>
    <w:rsid w:val="00E4429D"/>
    <w:rsid w:val="00E4439D"/>
    <w:rsid w:val="00E44793"/>
    <w:rsid w:val="00E44850"/>
    <w:rsid w:val="00E4499F"/>
    <w:rsid w:val="00E44D96"/>
    <w:rsid w:val="00E4500D"/>
    <w:rsid w:val="00E45045"/>
    <w:rsid w:val="00E452AE"/>
    <w:rsid w:val="00E453F3"/>
    <w:rsid w:val="00E45450"/>
    <w:rsid w:val="00E455B8"/>
    <w:rsid w:val="00E45686"/>
    <w:rsid w:val="00E45879"/>
    <w:rsid w:val="00E458E8"/>
    <w:rsid w:val="00E459AB"/>
    <w:rsid w:val="00E45AA1"/>
    <w:rsid w:val="00E45B44"/>
    <w:rsid w:val="00E45BC4"/>
    <w:rsid w:val="00E45C62"/>
    <w:rsid w:val="00E45DB7"/>
    <w:rsid w:val="00E45EBF"/>
    <w:rsid w:val="00E46051"/>
    <w:rsid w:val="00E46311"/>
    <w:rsid w:val="00E4668D"/>
    <w:rsid w:val="00E467F4"/>
    <w:rsid w:val="00E4685D"/>
    <w:rsid w:val="00E46BF1"/>
    <w:rsid w:val="00E4727B"/>
    <w:rsid w:val="00E472B5"/>
    <w:rsid w:val="00E476CB"/>
    <w:rsid w:val="00E47828"/>
    <w:rsid w:val="00E479EB"/>
    <w:rsid w:val="00E47A23"/>
    <w:rsid w:val="00E47A9D"/>
    <w:rsid w:val="00E50C4A"/>
    <w:rsid w:val="00E50DD5"/>
    <w:rsid w:val="00E5109E"/>
    <w:rsid w:val="00E51262"/>
    <w:rsid w:val="00E51344"/>
    <w:rsid w:val="00E51375"/>
    <w:rsid w:val="00E51576"/>
    <w:rsid w:val="00E5166E"/>
    <w:rsid w:val="00E516B1"/>
    <w:rsid w:val="00E51876"/>
    <w:rsid w:val="00E51929"/>
    <w:rsid w:val="00E51B07"/>
    <w:rsid w:val="00E51BF7"/>
    <w:rsid w:val="00E52185"/>
    <w:rsid w:val="00E523CD"/>
    <w:rsid w:val="00E52785"/>
    <w:rsid w:val="00E5286E"/>
    <w:rsid w:val="00E5298A"/>
    <w:rsid w:val="00E52FF9"/>
    <w:rsid w:val="00E53037"/>
    <w:rsid w:val="00E53459"/>
    <w:rsid w:val="00E534C9"/>
    <w:rsid w:val="00E53B22"/>
    <w:rsid w:val="00E53C02"/>
    <w:rsid w:val="00E53D7B"/>
    <w:rsid w:val="00E53E3B"/>
    <w:rsid w:val="00E542E6"/>
    <w:rsid w:val="00E545AE"/>
    <w:rsid w:val="00E547C7"/>
    <w:rsid w:val="00E548E7"/>
    <w:rsid w:val="00E54956"/>
    <w:rsid w:val="00E54B15"/>
    <w:rsid w:val="00E54B1F"/>
    <w:rsid w:val="00E54BD6"/>
    <w:rsid w:val="00E54C35"/>
    <w:rsid w:val="00E54CFC"/>
    <w:rsid w:val="00E54DD5"/>
    <w:rsid w:val="00E54F25"/>
    <w:rsid w:val="00E54F35"/>
    <w:rsid w:val="00E55417"/>
    <w:rsid w:val="00E5558D"/>
    <w:rsid w:val="00E557EF"/>
    <w:rsid w:val="00E55A03"/>
    <w:rsid w:val="00E55A9E"/>
    <w:rsid w:val="00E55ACA"/>
    <w:rsid w:val="00E55D72"/>
    <w:rsid w:val="00E560AB"/>
    <w:rsid w:val="00E561A3"/>
    <w:rsid w:val="00E56322"/>
    <w:rsid w:val="00E56494"/>
    <w:rsid w:val="00E5650E"/>
    <w:rsid w:val="00E567FC"/>
    <w:rsid w:val="00E56861"/>
    <w:rsid w:val="00E56EE8"/>
    <w:rsid w:val="00E57248"/>
    <w:rsid w:val="00E57576"/>
    <w:rsid w:val="00E577CB"/>
    <w:rsid w:val="00E57811"/>
    <w:rsid w:val="00E57F57"/>
    <w:rsid w:val="00E57FBA"/>
    <w:rsid w:val="00E57FC7"/>
    <w:rsid w:val="00E57FD0"/>
    <w:rsid w:val="00E57FF2"/>
    <w:rsid w:val="00E60186"/>
    <w:rsid w:val="00E601F3"/>
    <w:rsid w:val="00E6022F"/>
    <w:rsid w:val="00E603D9"/>
    <w:rsid w:val="00E605BA"/>
    <w:rsid w:val="00E60982"/>
    <w:rsid w:val="00E60AB6"/>
    <w:rsid w:val="00E6155E"/>
    <w:rsid w:val="00E61890"/>
    <w:rsid w:val="00E619D5"/>
    <w:rsid w:val="00E61ACE"/>
    <w:rsid w:val="00E61DEF"/>
    <w:rsid w:val="00E61FBC"/>
    <w:rsid w:val="00E6200D"/>
    <w:rsid w:val="00E62022"/>
    <w:rsid w:val="00E62443"/>
    <w:rsid w:val="00E6247A"/>
    <w:rsid w:val="00E624E6"/>
    <w:rsid w:val="00E628B0"/>
    <w:rsid w:val="00E628BB"/>
    <w:rsid w:val="00E62995"/>
    <w:rsid w:val="00E62B98"/>
    <w:rsid w:val="00E62C62"/>
    <w:rsid w:val="00E62FAE"/>
    <w:rsid w:val="00E632F6"/>
    <w:rsid w:val="00E6338F"/>
    <w:rsid w:val="00E63D23"/>
    <w:rsid w:val="00E640DD"/>
    <w:rsid w:val="00E640FB"/>
    <w:rsid w:val="00E642B1"/>
    <w:rsid w:val="00E64728"/>
    <w:rsid w:val="00E64882"/>
    <w:rsid w:val="00E64A28"/>
    <w:rsid w:val="00E64C26"/>
    <w:rsid w:val="00E64E40"/>
    <w:rsid w:val="00E65214"/>
    <w:rsid w:val="00E6523B"/>
    <w:rsid w:val="00E6530B"/>
    <w:rsid w:val="00E653F6"/>
    <w:rsid w:val="00E65445"/>
    <w:rsid w:val="00E654C1"/>
    <w:rsid w:val="00E657A1"/>
    <w:rsid w:val="00E6589D"/>
    <w:rsid w:val="00E65B14"/>
    <w:rsid w:val="00E65B20"/>
    <w:rsid w:val="00E65BEF"/>
    <w:rsid w:val="00E65CAA"/>
    <w:rsid w:val="00E65D23"/>
    <w:rsid w:val="00E65D97"/>
    <w:rsid w:val="00E65DAD"/>
    <w:rsid w:val="00E65F3C"/>
    <w:rsid w:val="00E6619E"/>
    <w:rsid w:val="00E66314"/>
    <w:rsid w:val="00E6672B"/>
    <w:rsid w:val="00E6673E"/>
    <w:rsid w:val="00E66830"/>
    <w:rsid w:val="00E66AA3"/>
    <w:rsid w:val="00E66C58"/>
    <w:rsid w:val="00E66C7C"/>
    <w:rsid w:val="00E66E8E"/>
    <w:rsid w:val="00E6776F"/>
    <w:rsid w:val="00E67D68"/>
    <w:rsid w:val="00E67F46"/>
    <w:rsid w:val="00E67F81"/>
    <w:rsid w:val="00E67F85"/>
    <w:rsid w:val="00E67FF4"/>
    <w:rsid w:val="00E7048E"/>
    <w:rsid w:val="00E7061A"/>
    <w:rsid w:val="00E70794"/>
    <w:rsid w:val="00E70845"/>
    <w:rsid w:val="00E70A21"/>
    <w:rsid w:val="00E70CA3"/>
    <w:rsid w:val="00E70F23"/>
    <w:rsid w:val="00E7100F"/>
    <w:rsid w:val="00E710CA"/>
    <w:rsid w:val="00E710E1"/>
    <w:rsid w:val="00E711E9"/>
    <w:rsid w:val="00E714F0"/>
    <w:rsid w:val="00E71520"/>
    <w:rsid w:val="00E717D5"/>
    <w:rsid w:val="00E719E8"/>
    <w:rsid w:val="00E71A0B"/>
    <w:rsid w:val="00E71CD6"/>
    <w:rsid w:val="00E720C5"/>
    <w:rsid w:val="00E72375"/>
    <w:rsid w:val="00E723F1"/>
    <w:rsid w:val="00E72486"/>
    <w:rsid w:val="00E724C9"/>
    <w:rsid w:val="00E72566"/>
    <w:rsid w:val="00E7289A"/>
    <w:rsid w:val="00E72957"/>
    <w:rsid w:val="00E72A5A"/>
    <w:rsid w:val="00E72AC7"/>
    <w:rsid w:val="00E72E93"/>
    <w:rsid w:val="00E72FC6"/>
    <w:rsid w:val="00E731B2"/>
    <w:rsid w:val="00E7325A"/>
    <w:rsid w:val="00E73354"/>
    <w:rsid w:val="00E73380"/>
    <w:rsid w:val="00E7338C"/>
    <w:rsid w:val="00E73610"/>
    <w:rsid w:val="00E73995"/>
    <w:rsid w:val="00E74010"/>
    <w:rsid w:val="00E7413E"/>
    <w:rsid w:val="00E74280"/>
    <w:rsid w:val="00E7497B"/>
    <w:rsid w:val="00E74E91"/>
    <w:rsid w:val="00E756A8"/>
    <w:rsid w:val="00E756FD"/>
    <w:rsid w:val="00E7574D"/>
    <w:rsid w:val="00E757BE"/>
    <w:rsid w:val="00E759BA"/>
    <w:rsid w:val="00E75C1C"/>
    <w:rsid w:val="00E75CDE"/>
    <w:rsid w:val="00E75E2D"/>
    <w:rsid w:val="00E75E5C"/>
    <w:rsid w:val="00E75ED6"/>
    <w:rsid w:val="00E75F65"/>
    <w:rsid w:val="00E75FE4"/>
    <w:rsid w:val="00E75FEA"/>
    <w:rsid w:val="00E763FA"/>
    <w:rsid w:val="00E764F4"/>
    <w:rsid w:val="00E76ACE"/>
    <w:rsid w:val="00E76D82"/>
    <w:rsid w:val="00E76DAF"/>
    <w:rsid w:val="00E770B1"/>
    <w:rsid w:val="00E770CD"/>
    <w:rsid w:val="00E773A1"/>
    <w:rsid w:val="00E77834"/>
    <w:rsid w:val="00E778AD"/>
    <w:rsid w:val="00E7791D"/>
    <w:rsid w:val="00E77E2E"/>
    <w:rsid w:val="00E77F3C"/>
    <w:rsid w:val="00E8007B"/>
    <w:rsid w:val="00E8016D"/>
    <w:rsid w:val="00E80289"/>
    <w:rsid w:val="00E8075F"/>
    <w:rsid w:val="00E80D48"/>
    <w:rsid w:val="00E80F90"/>
    <w:rsid w:val="00E811F1"/>
    <w:rsid w:val="00E814C1"/>
    <w:rsid w:val="00E8163C"/>
    <w:rsid w:val="00E8187F"/>
    <w:rsid w:val="00E819FF"/>
    <w:rsid w:val="00E81BD4"/>
    <w:rsid w:val="00E81D39"/>
    <w:rsid w:val="00E81EA6"/>
    <w:rsid w:val="00E820CB"/>
    <w:rsid w:val="00E82211"/>
    <w:rsid w:val="00E8245E"/>
    <w:rsid w:val="00E82521"/>
    <w:rsid w:val="00E8284E"/>
    <w:rsid w:val="00E82B7C"/>
    <w:rsid w:val="00E82CBC"/>
    <w:rsid w:val="00E82DDD"/>
    <w:rsid w:val="00E82E2E"/>
    <w:rsid w:val="00E82EFA"/>
    <w:rsid w:val="00E82F34"/>
    <w:rsid w:val="00E82F8A"/>
    <w:rsid w:val="00E82F9E"/>
    <w:rsid w:val="00E8316C"/>
    <w:rsid w:val="00E832F6"/>
    <w:rsid w:val="00E83346"/>
    <w:rsid w:val="00E834C0"/>
    <w:rsid w:val="00E838E7"/>
    <w:rsid w:val="00E83E1C"/>
    <w:rsid w:val="00E8485E"/>
    <w:rsid w:val="00E848F2"/>
    <w:rsid w:val="00E84C7E"/>
    <w:rsid w:val="00E84E6B"/>
    <w:rsid w:val="00E85117"/>
    <w:rsid w:val="00E853DC"/>
    <w:rsid w:val="00E85813"/>
    <w:rsid w:val="00E85905"/>
    <w:rsid w:val="00E85938"/>
    <w:rsid w:val="00E85A2E"/>
    <w:rsid w:val="00E85B4C"/>
    <w:rsid w:val="00E85B82"/>
    <w:rsid w:val="00E85FC6"/>
    <w:rsid w:val="00E86137"/>
    <w:rsid w:val="00E8614A"/>
    <w:rsid w:val="00E86585"/>
    <w:rsid w:val="00E8675D"/>
    <w:rsid w:val="00E86AAA"/>
    <w:rsid w:val="00E86DC8"/>
    <w:rsid w:val="00E86E73"/>
    <w:rsid w:val="00E86FAA"/>
    <w:rsid w:val="00E87472"/>
    <w:rsid w:val="00E87484"/>
    <w:rsid w:val="00E874AE"/>
    <w:rsid w:val="00E875FE"/>
    <w:rsid w:val="00E876A2"/>
    <w:rsid w:val="00E87759"/>
    <w:rsid w:val="00E87896"/>
    <w:rsid w:val="00E87963"/>
    <w:rsid w:val="00E87A2D"/>
    <w:rsid w:val="00E87A80"/>
    <w:rsid w:val="00E87C34"/>
    <w:rsid w:val="00E905B7"/>
    <w:rsid w:val="00E90781"/>
    <w:rsid w:val="00E907C9"/>
    <w:rsid w:val="00E90B88"/>
    <w:rsid w:val="00E90BDD"/>
    <w:rsid w:val="00E90C68"/>
    <w:rsid w:val="00E90D17"/>
    <w:rsid w:val="00E90E50"/>
    <w:rsid w:val="00E910EE"/>
    <w:rsid w:val="00E910FA"/>
    <w:rsid w:val="00E913D6"/>
    <w:rsid w:val="00E91579"/>
    <w:rsid w:val="00E91817"/>
    <w:rsid w:val="00E918DD"/>
    <w:rsid w:val="00E91BA4"/>
    <w:rsid w:val="00E91F52"/>
    <w:rsid w:val="00E91F9B"/>
    <w:rsid w:val="00E9202D"/>
    <w:rsid w:val="00E92155"/>
    <w:rsid w:val="00E922DA"/>
    <w:rsid w:val="00E9242D"/>
    <w:rsid w:val="00E925C1"/>
    <w:rsid w:val="00E9268B"/>
    <w:rsid w:val="00E9270F"/>
    <w:rsid w:val="00E9292F"/>
    <w:rsid w:val="00E92BFF"/>
    <w:rsid w:val="00E92C12"/>
    <w:rsid w:val="00E92D63"/>
    <w:rsid w:val="00E92E42"/>
    <w:rsid w:val="00E93175"/>
    <w:rsid w:val="00E93327"/>
    <w:rsid w:val="00E934D8"/>
    <w:rsid w:val="00E93586"/>
    <w:rsid w:val="00E93709"/>
    <w:rsid w:val="00E938D8"/>
    <w:rsid w:val="00E93BA1"/>
    <w:rsid w:val="00E94062"/>
    <w:rsid w:val="00E943D4"/>
    <w:rsid w:val="00E9440D"/>
    <w:rsid w:val="00E944F8"/>
    <w:rsid w:val="00E94502"/>
    <w:rsid w:val="00E948FC"/>
    <w:rsid w:val="00E94976"/>
    <w:rsid w:val="00E94C2C"/>
    <w:rsid w:val="00E94EA2"/>
    <w:rsid w:val="00E94F17"/>
    <w:rsid w:val="00E95051"/>
    <w:rsid w:val="00E9510C"/>
    <w:rsid w:val="00E95540"/>
    <w:rsid w:val="00E95558"/>
    <w:rsid w:val="00E95762"/>
    <w:rsid w:val="00E95933"/>
    <w:rsid w:val="00E95976"/>
    <w:rsid w:val="00E95A43"/>
    <w:rsid w:val="00E95AEB"/>
    <w:rsid w:val="00E95BED"/>
    <w:rsid w:val="00E95C91"/>
    <w:rsid w:val="00E95D99"/>
    <w:rsid w:val="00E95EAD"/>
    <w:rsid w:val="00E95FEA"/>
    <w:rsid w:val="00E96315"/>
    <w:rsid w:val="00E963B9"/>
    <w:rsid w:val="00E96447"/>
    <w:rsid w:val="00E965A2"/>
    <w:rsid w:val="00E965B8"/>
    <w:rsid w:val="00E9686A"/>
    <w:rsid w:val="00E96B17"/>
    <w:rsid w:val="00E96BE4"/>
    <w:rsid w:val="00E96CE5"/>
    <w:rsid w:val="00E96DCB"/>
    <w:rsid w:val="00E96E8A"/>
    <w:rsid w:val="00E96F0B"/>
    <w:rsid w:val="00E96FC4"/>
    <w:rsid w:val="00E973F8"/>
    <w:rsid w:val="00E975AF"/>
    <w:rsid w:val="00E97859"/>
    <w:rsid w:val="00E97E2B"/>
    <w:rsid w:val="00EA0365"/>
    <w:rsid w:val="00EA0501"/>
    <w:rsid w:val="00EA0509"/>
    <w:rsid w:val="00EA0545"/>
    <w:rsid w:val="00EA07B4"/>
    <w:rsid w:val="00EA0C02"/>
    <w:rsid w:val="00EA0D00"/>
    <w:rsid w:val="00EA0D1E"/>
    <w:rsid w:val="00EA0D2A"/>
    <w:rsid w:val="00EA0DA8"/>
    <w:rsid w:val="00EA0FD0"/>
    <w:rsid w:val="00EA1237"/>
    <w:rsid w:val="00EA1660"/>
    <w:rsid w:val="00EA17BD"/>
    <w:rsid w:val="00EA17E9"/>
    <w:rsid w:val="00EA1E7E"/>
    <w:rsid w:val="00EA1FE7"/>
    <w:rsid w:val="00EA2088"/>
    <w:rsid w:val="00EA20B7"/>
    <w:rsid w:val="00EA20F3"/>
    <w:rsid w:val="00EA265E"/>
    <w:rsid w:val="00EA2933"/>
    <w:rsid w:val="00EA29C1"/>
    <w:rsid w:val="00EA2AA8"/>
    <w:rsid w:val="00EA2F18"/>
    <w:rsid w:val="00EA2F79"/>
    <w:rsid w:val="00EA336A"/>
    <w:rsid w:val="00EA39AB"/>
    <w:rsid w:val="00EA3BF5"/>
    <w:rsid w:val="00EA3C64"/>
    <w:rsid w:val="00EA3D11"/>
    <w:rsid w:val="00EA3E5E"/>
    <w:rsid w:val="00EA3E93"/>
    <w:rsid w:val="00EA43F6"/>
    <w:rsid w:val="00EA447A"/>
    <w:rsid w:val="00EA4624"/>
    <w:rsid w:val="00EA4641"/>
    <w:rsid w:val="00EA4758"/>
    <w:rsid w:val="00EA47AA"/>
    <w:rsid w:val="00EA483F"/>
    <w:rsid w:val="00EA499D"/>
    <w:rsid w:val="00EA4B83"/>
    <w:rsid w:val="00EA4DE4"/>
    <w:rsid w:val="00EA4EC8"/>
    <w:rsid w:val="00EA502E"/>
    <w:rsid w:val="00EA5064"/>
    <w:rsid w:val="00EA5191"/>
    <w:rsid w:val="00EA5355"/>
    <w:rsid w:val="00EA5BCA"/>
    <w:rsid w:val="00EA5C23"/>
    <w:rsid w:val="00EA5F79"/>
    <w:rsid w:val="00EA5F8D"/>
    <w:rsid w:val="00EA6111"/>
    <w:rsid w:val="00EA646D"/>
    <w:rsid w:val="00EA677B"/>
    <w:rsid w:val="00EA69A5"/>
    <w:rsid w:val="00EA6DA3"/>
    <w:rsid w:val="00EA6DD1"/>
    <w:rsid w:val="00EA7058"/>
    <w:rsid w:val="00EA70F4"/>
    <w:rsid w:val="00EA72D9"/>
    <w:rsid w:val="00EA7314"/>
    <w:rsid w:val="00EA7CF5"/>
    <w:rsid w:val="00EA7DFC"/>
    <w:rsid w:val="00EA7ED6"/>
    <w:rsid w:val="00EA7F01"/>
    <w:rsid w:val="00EA7FFD"/>
    <w:rsid w:val="00EB0492"/>
    <w:rsid w:val="00EB0747"/>
    <w:rsid w:val="00EB0826"/>
    <w:rsid w:val="00EB0837"/>
    <w:rsid w:val="00EB0A63"/>
    <w:rsid w:val="00EB0AFA"/>
    <w:rsid w:val="00EB0B91"/>
    <w:rsid w:val="00EB0ECC"/>
    <w:rsid w:val="00EB1276"/>
    <w:rsid w:val="00EB1295"/>
    <w:rsid w:val="00EB1447"/>
    <w:rsid w:val="00EB1778"/>
    <w:rsid w:val="00EB17FD"/>
    <w:rsid w:val="00EB195B"/>
    <w:rsid w:val="00EB1A57"/>
    <w:rsid w:val="00EB1BD5"/>
    <w:rsid w:val="00EB1BDC"/>
    <w:rsid w:val="00EB1BE8"/>
    <w:rsid w:val="00EB1DFD"/>
    <w:rsid w:val="00EB1DFE"/>
    <w:rsid w:val="00EB1E7B"/>
    <w:rsid w:val="00EB21F5"/>
    <w:rsid w:val="00EB244B"/>
    <w:rsid w:val="00EB2720"/>
    <w:rsid w:val="00EB2921"/>
    <w:rsid w:val="00EB2ACC"/>
    <w:rsid w:val="00EB2B45"/>
    <w:rsid w:val="00EB2CB4"/>
    <w:rsid w:val="00EB3227"/>
    <w:rsid w:val="00EB358D"/>
    <w:rsid w:val="00EB36A5"/>
    <w:rsid w:val="00EB36AA"/>
    <w:rsid w:val="00EB37E0"/>
    <w:rsid w:val="00EB3832"/>
    <w:rsid w:val="00EB3D1B"/>
    <w:rsid w:val="00EB3E19"/>
    <w:rsid w:val="00EB425B"/>
    <w:rsid w:val="00EB449F"/>
    <w:rsid w:val="00EB45B4"/>
    <w:rsid w:val="00EB47A6"/>
    <w:rsid w:val="00EB47C4"/>
    <w:rsid w:val="00EB4918"/>
    <w:rsid w:val="00EB4D8D"/>
    <w:rsid w:val="00EB4DC2"/>
    <w:rsid w:val="00EB4E4D"/>
    <w:rsid w:val="00EB4EAC"/>
    <w:rsid w:val="00EB515E"/>
    <w:rsid w:val="00EB5206"/>
    <w:rsid w:val="00EB5255"/>
    <w:rsid w:val="00EB5372"/>
    <w:rsid w:val="00EB542E"/>
    <w:rsid w:val="00EB5910"/>
    <w:rsid w:val="00EB5B7A"/>
    <w:rsid w:val="00EB5BC3"/>
    <w:rsid w:val="00EB5BE9"/>
    <w:rsid w:val="00EB5C47"/>
    <w:rsid w:val="00EB634C"/>
    <w:rsid w:val="00EB6444"/>
    <w:rsid w:val="00EB664D"/>
    <w:rsid w:val="00EB679F"/>
    <w:rsid w:val="00EB6EE9"/>
    <w:rsid w:val="00EB704A"/>
    <w:rsid w:val="00EB70EE"/>
    <w:rsid w:val="00EB7197"/>
    <w:rsid w:val="00EB74E7"/>
    <w:rsid w:val="00EB7532"/>
    <w:rsid w:val="00EB7615"/>
    <w:rsid w:val="00EB78FA"/>
    <w:rsid w:val="00EB79F9"/>
    <w:rsid w:val="00EB7CC3"/>
    <w:rsid w:val="00EB7D5E"/>
    <w:rsid w:val="00EB7DB4"/>
    <w:rsid w:val="00EB7E0F"/>
    <w:rsid w:val="00EC00AE"/>
    <w:rsid w:val="00EC051F"/>
    <w:rsid w:val="00EC0890"/>
    <w:rsid w:val="00EC09D9"/>
    <w:rsid w:val="00EC0BDD"/>
    <w:rsid w:val="00EC0DB4"/>
    <w:rsid w:val="00EC114A"/>
    <w:rsid w:val="00EC150E"/>
    <w:rsid w:val="00EC161D"/>
    <w:rsid w:val="00EC16D5"/>
    <w:rsid w:val="00EC17E7"/>
    <w:rsid w:val="00EC1A53"/>
    <w:rsid w:val="00EC1B07"/>
    <w:rsid w:val="00EC1DA1"/>
    <w:rsid w:val="00EC21D7"/>
    <w:rsid w:val="00EC242D"/>
    <w:rsid w:val="00EC25BA"/>
    <w:rsid w:val="00EC26EC"/>
    <w:rsid w:val="00EC2739"/>
    <w:rsid w:val="00EC2862"/>
    <w:rsid w:val="00EC29FD"/>
    <w:rsid w:val="00EC2A40"/>
    <w:rsid w:val="00EC2FCD"/>
    <w:rsid w:val="00EC3160"/>
    <w:rsid w:val="00EC33A7"/>
    <w:rsid w:val="00EC384B"/>
    <w:rsid w:val="00EC38E0"/>
    <w:rsid w:val="00EC3FC4"/>
    <w:rsid w:val="00EC4214"/>
    <w:rsid w:val="00EC4651"/>
    <w:rsid w:val="00EC4B99"/>
    <w:rsid w:val="00EC4C91"/>
    <w:rsid w:val="00EC4CC9"/>
    <w:rsid w:val="00EC4D92"/>
    <w:rsid w:val="00EC4E71"/>
    <w:rsid w:val="00EC4EA3"/>
    <w:rsid w:val="00EC4F4E"/>
    <w:rsid w:val="00EC516A"/>
    <w:rsid w:val="00EC5670"/>
    <w:rsid w:val="00EC5A46"/>
    <w:rsid w:val="00EC5BA2"/>
    <w:rsid w:val="00EC5BDA"/>
    <w:rsid w:val="00EC5BEE"/>
    <w:rsid w:val="00EC5F1A"/>
    <w:rsid w:val="00EC5F9A"/>
    <w:rsid w:val="00EC60BB"/>
    <w:rsid w:val="00EC60ED"/>
    <w:rsid w:val="00EC6119"/>
    <w:rsid w:val="00EC628F"/>
    <w:rsid w:val="00EC6366"/>
    <w:rsid w:val="00EC6847"/>
    <w:rsid w:val="00EC6CF0"/>
    <w:rsid w:val="00EC6DB6"/>
    <w:rsid w:val="00EC6E78"/>
    <w:rsid w:val="00EC6E8E"/>
    <w:rsid w:val="00EC723D"/>
    <w:rsid w:val="00EC7310"/>
    <w:rsid w:val="00EC75BA"/>
    <w:rsid w:val="00EC7710"/>
    <w:rsid w:val="00EC7773"/>
    <w:rsid w:val="00EC77A1"/>
    <w:rsid w:val="00EC78BE"/>
    <w:rsid w:val="00EC79EB"/>
    <w:rsid w:val="00EC7BB4"/>
    <w:rsid w:val="00ED012B"/>
    <w:rsid w:val="00ED0606"/>
    <w:rsid w:val="00ED0639"/>
    <w:rsid w:val="00ED089B"/>
    <w:rsid w:val="00ED09C9"/>
    <w:rsid w:val="00ED0A39"/>
    <w:rsid w:val="00ED0BF3"/>
    <w:rsid w:val="00ED0BF5"/>
    <w:rsid w:val="00ED0DD9"/>
    <w:rsid w:val="00ED126B"/>
    <w:rsid w:val="00ED1382"/>
    <w:rsid w:val="00ED1603"/>
    <w:rsid w:val="00ED16E9"/>
    <w:rsid w:val="00ED19F3"/>
    <w:rsid w:val="00ED1BBB"/>
    <w:rsid w:val="00ED1E23"/>
    <w:rsid w:val="00ED1E3F"/>
    <w:rsid w:val="00ED1F0C"/>
    <w:rsid w:val="00ED2201"/>
    <w:rsid w:val="00ED22E7"/>
    <w:rsid w:val="00ED2515"/>
    <w:rsid w:val="00ED280C"/>
    <w:rsid w:val="00ED2939"/>
    <w:rsid w:val="00ED2AD1"/>
    <w:rsid w:val="00ED2D93"/>
    <w:rsid w:val="00ED2E13"/>
    <w:rsid w:val="00ED315D"/>
    <w:rsid w:val="00ED3188"/>
    <w:rsid w:val="00ED32B9"/>
    <w:rsid w:val="00ED32CB"/>
    <w:rsid w:val="00ED32FD"/>
    <w:rsid w:val="00ED34D1"/>
    <w:rsid w:val="00ED34F1"/>
    <w:rsid w:val="00ED35E6"/>
    <w:rsid w:val="00ED39A9"/>
    <w:rsid w:val="00ED3C53"/>
    <w:rsid w:val="00ED3CF6"/>
    <w:rsid w:val="00ED4129"/>
    <w:rsid w:val="00ED4191"/>
    <w:rsid w:val="00ED44FA"/>
    <w:rsid w:val="00ED45AF"/>
    <w:rsid w:val="00ED4749"/>
    <w:rsid w:val="00ED4951"/>
    <w:rsid w:val="00ED4A27"/>
    <w:rsid w:val="00ED4C8C"/>
    <w:rsid w:val="00ED4E53"/>
    <w:rsid w:val="00ED4F0C"/>
    <w:rsid w:val="00ED50BF"/>
    <w:rsid w:val="00ED50F0"/>
    <w:rsid w:val="00ED5175"/>
    <w:rsid w:val="00ED51CA"/>
    <w:rsid w:val="00ED52FE"/>
    <w:rsid w:val="00ED56C6"/>
    <w:rsid w:val="00ED5A96"/>
    <w:rsid w:val="00ED5B9E"/>
    <w:rsid w:val="00ED5BA1"/>
    <w:rsid w:val="00ED5CB9"/>
    <w:rsid w:val="00ED5EA4"/>
    <w:rsid w:val="00ED6060"/>
    <w:rsid w:val="00ED612F"/>
    <w:rsid w:val="00ED629F"/>
    <w:rsid w:val="00ED62A1"/>
    <w:rsid w:val="00ED6436"/>
    <w:rsid w:val="00ED647B"/>
    <w:rsid w:val="00ED6739"/>
    <w:rsid w:val="00ED6AB0"/>
    <w:rsid w:val="00ED6ACE"/>
    <w:rsid w:val="00ED705D"/>
    <w:rsid w:val="00ED70C4"/>
    <w:rsid w:val="00ED7380"/>
    <w:rsid w:val="00ED7B2B"/>
    <w:rsid w:val="00ED7BF9"/>
    <w:rsid w:val="00ED7DFD"/>
    <w:rsid w:val="00ED7E6A"/>
    <w:rsid w:val="00ED7F72"/>
    <w:rsid w:val="00EE017D"/>
    <w:rsid w:val="00EE02BC"/>
    <w:rsid w:val="00EE0484"/>
    <w:rsid w:val="00EE0627"/>
    <w:rsid w:val="00EE0839"/>
    <w:rsid w:val="00EE099C"/>
    <w:rsid w:val="00EE144E"/>
    <w:rsid w:val="00EE1721"/>
    <w:rsid w:val="00EE195C"/>
    <w:rsid w:val="00EE1B65"/>
    <w:rsid w:val="00EE1E47"/>
    <w:rsid w:val="00EE203C"/>
    <w:rsid w:val="00EE20D0"/>
    <w:rsid w:val="00EE22CE"/>
    <w:rsid w:val="00EE23A7"/>
    <w:rsid w:val="00EE255F"/>
    <w:rsid w:val="00EE2619"/>
    <w:rsid w:val="00EE28C7"/>
    <w:rsid w:val="00EE28CD"/>
    <w:rsid w:val="00EE2C39"/>
    <w:rsid w:val="00EE2DCB"/>
    <w:rsid w:val="00EE2EA2"/>
    <w:rsid w:val="00EE306D"/>
    <w:rsid w:val="00EE34D9"/>
    <w:rsid w:val="00EE3559"/>
    <w:rsid w:val="00EE35B4"/>
    <w:rsid w:val="00EE37B2"/>
    <w:rsid w:val="00EE3F15"/>
    <w:rsid w:val="00EE45F6"/>
    <w:rsid w:val="00EE47E4"/>
    <w:rsid w:val="00EE4C1E"/>
    <w:rsid w:val="00EE4D7C"/>
    <w:rsid w:val="00EE4FFE"/>
    <w:rsid w:val="00EE56D6"/>
    <w:rsid w:val="00EE5D4B"/>
    <w:rsid w:val="00EE5F39"/>
    <w:rsid w:val="00EE60B4"/>
    <w:rsid w:val="00EE63A6"/>
    <w:rsid w:val="00EE63AF"/>
    <w:rsid w:val="00EE69B7"/>
    <w:rsid w:val="00EE6AAE"/>
    <w:rsid w:val="00EE6BBB"/>
    <w:rsid w:val="00EE6BBC"/>
    <w:rsid w:val="00EE6C9D"/>
    <w:rsid w:val="00EE6D18"/>
    <w:rsid w:val="00EE6D72"/>
    <w:rsid w:val="00EE6EF2"/>
    <w:rsid w:val="00EE742D"/>
    <w:rsid w:val="00EE7C0E"/>
    <w:rsid w:val="00EE7CBE"/>
    <w:rsid w:val="00EE7D07"/>
    <w:rsid w:val="00EE7DAC"/>
    <w:rsid w:val="00EE7DD2"/>
    <w:rsid w:val="00EE7F47"/>
    <w:rsid w:val="00EF0047"/>
    <w:rsid w:val="00EF039B"/>
    <w:rsid w:val="00EF047F"/>
    <w:rsid w:val="00EF06EB"/>
    <w:rsid w:val="00EF08AF"/>
    <w:rsid w:val="00EF0E06"/>
    <w:rsid w:val="00EF0EDE"/>
    <w:rsid w:val="00EF12D9"/>
    <w:rsid w:val="00EF166B"/>
    <w:rsid w:val="00EF1AEF"/>
    <w:rsid w:val="00EF1E53"/>
    <w:rsid w:val="00EF2073"/>
    <w:rsid w:val="00EF2146"/>
    <w:rsid w:val="00EF2307"/>
    <w:rsid w:val="00EF230C"/>
    <w:rsid w:val="00EF2358"/>
    <w:rsid w:val="00EF2783"/>
    <w:rsid w:val="00EF27B5"/>
    <w:rsid w:val="00EF2A35"/>
    <w:rsid w:val="00EF2ABD"/>
    <w:rsid w:val="00EF2C14"/>
    <w:rsid w:val="00EF2FE6"/>
    <w:rsid w:val="00EF3187"/>
    <w:rsid w:val="00EF3248"/>
    <w:rsid w:val="00EF37EA"/>
    <w:rsid w:val="00EF3AB3"/>
    <w:rsid w:val="00EF3C2C"/>
    <w:rsid w:val="00EF3DBB"/>
    <w:rsid w:val="00EF3DC8"/>
    <w:rsid w:val="00EF44A9"/>
    <w:rsid w:val="00EF4755"/>
    <w:rsid w:val="00EF48C5"/>
    <w:rsid w:val="00EF4A2D"/>
    <w:rsid w:val="00EF4C1B"/>
    <w:rsid w:val="00EF4C6D"/>
    <w:rsid w:val="00EF4CB6"/>
    <w:rsid w:val="00EF4D50"/>
    <w:rsid w:val="00EF5424"/>
    <w:rsid w:val="00EF57EB"/>
    <w:rsid w:val="00EF5E08"/>
    <w:rsid w:val="00EF5FE8"/>
    <w:rsid w:val="00EF6281"/>
    <w:rsid w:val="00EF629B"/>
    <w:rsid w:val="00EF62CD"/>
    <w:rsid w:val="00EF65C3"/>
    <w:rsid w:val="00EF6661"/>
    <w:rsid w:val="00EF66EB"/>
    <w:rsid w:val="00EF6773"/>
    <w:rsid w:val="00EF6859"/>
    <w:rsid w:val="00EF6A74"/>
    <w:rsid w:val="00EF6B92"/>
    <w:rsid w:val="00EF6E03"/>
    <w:rsid w:val="00EF706E"/>
    <w:rsid w:val="00EF7135"/>
    <w:rsid w:val="00EF7144"/>
    <w:rsid w:val="00EF71DE"/>
    <w:rsid w:val="00EF7252"/>
    <w:rsid w:val="00EF73FD"/>
    <w:rsid w:val="00EF787D"/>
    <w:rsid w:val="00EF7890"/>
    <w:rsid w:val="00EF78D4"/>
    <w:rsid w:val="00EF7C0F"/>
    <w:rsid w:val="00F001D2"/>
    <w:rsid w:val="00F0046A"/>
    <w:rsid w:val="00F005B1"/>
    <w:rsid w:val="00F007B1"/>
    <w:rsid w:val="00F007C4"/>
    <w:rsid w:val="00F00809"/>
    <w:rsid w:val="00F00DCC"/>
    <w:rsid w:val="00F00FB9"/>
    <w:rsid w:val="00F00FDB"/>
    <w:rsid w:val="00F011CF"/>
    <w:rsid w:val="00F0126C"/>
    <w:rsid w:val="00F015FC"/>
    <w:rsid w:val="00F016A6"/>
    <w:rsid w:val="00F0181C"/>
    <w:rsid w:val="00F01E52"/>
    <w:rsid w:val="00F021C9"/>
    <w:rsid w:val="00F0232F"/>
    <w:rsid w:val="00F0237C"/>
    <w:rsid w:val="00F026EB"/>
    <w:rsid w:val="00F0274A"/>
    <w:rsid w:val="00F027DB"/>
    <w:rsid w:val="00F02919"/>
    <w:rsid w:val="00F029E5"/>
    <w:rsid w:val="00F02B11"/>
    <w:rsid w:val="00F02B6F"/>
    <w:rsid w:val="00F02EE7"/>
    <w:rsid w:val="00F02FDC"/>
    <w:rsid w:val="00F03461"/>
    <w:rsid w:val="00F03693"/>
    <w:rsid w:val="00F03C11"/>
    <w:rsid w:val="00F0426B"/>
    <w:rsid w:val="00F04870"/>
    <w:rsid w:val="00F04B50"/>
    <w:rsid w:val="00F04C1E"/>
    <w:rsid w:val="00F04EAC"/>
    <w:rsid w:val="00F04F6E"/>
    <w:rsid w:val="00F04FB8"/>
    <w:rsid w:val="00F05202"/>
    <w:rsid w:val="00F053EB"/>
    <w:rsid w:val="00F055D6"/>
    <w:rsid w:val="00F0572C"/>
    <w:rsid w:val="00F0576A"/>
    <w:rsid w:val="00F05A44"/>
    <w:rsid w:val="00F05AA2"/>
    <w:rsid w:val="00F065CE"/>
    <w:rsid w:val="00F0661D"/>
    <w:rsid w:val="00F067CB"/>
    <w:rsid w:val="00F06C2F"/>
    <w:rsid w:val="00F06E6D"/>
    <w:rsid w:val="00F06F35"/>
    <w:rsid w:val="00F07345"/>
    <w:rsid w:val="00F07378"/>
    <w:rsid w:val="00F073AD"/>
    <w:rsid w:val="00F073F1"/>
    <w:rsid w:val="00F075B7"/>
    <w:rsid w:val="00F07AF7"/>
    <w:rsid w:val="00F07C5A"/>
    <w:rsid w:val="00F07D96"/>
    <w:rsid w:val="00F07FA2"/>
    <w:rsid w:val="00F1014E"/>
    <w:rsid w:val="00F102B6"/>
    <w:rsid w:val="00F10640"/>
    <w:rsid w:val="00F106D8"/>
    <w:rsid w:val="00F1092B"/>
    <w:rsid w:val="00F10BA9"/>
    <w:rsid w:val="00F10BD7"/>
    <w:rsid w:val="00F10FDA"/>
    <w:rsid w:val="00F10FF1"/>
    <w:rsid w:val="00F113E2"/>
    <w:rsid w:val="00F1149A"/>
    <w:rsid w:val="00F114F5"/>
    <w:rsid w:val="00F11689"/>
    <w:rsid w:val="00F11830"/>
    <w:rsid w:val="00F119A4"/>
    <w:rsid w:val="00F11C78"/>
    <w:rsid w:val="00F12021"/>
    <w:rsid w:val="00F12155"/>
    <w:rsid w:val="00F1216E"/>
    <w:rsid w:val="00F122A2"/>
    <w:rsid w:val="00F122E2"/>
    <w:rsid w:val="00F12ED6"/>
    <w:rsid w:val="00F13353"/>
    <w:rsid w:val="00F13461"/>
    <w:rsid w:val="00F134DD"/>
    <w:rsid w:val="00F135B7"/>
    <w:rsid w:val="00F1365A"/>
    <w:rsid w:val="00F13680"/>
    <w:rsid w:val="00F13823"/>
    <w:rsid w:val="00F13D56"/>
    <w:rsid w:val="00F13DCC"/>
    <w:rsid w:val="00F13FD3"/>
    <w:rsid w:val="00F143FC"/>
    <w:rsid w:val="00F146B7"/>
    <w:rsid w:val="00F148E3"/>
    <w:rsid w:val="00F14A7A"/>
    <w:rsid w:val="00F14BF0"/>
    <w:rsid w:val="00F14CAA"/>
    <w:rsid w:val="00F14E28"/>
    <w:rsid w:val="00F1511B"/>
    <w:rsid w:val="00F151B9"/>
    <w:rsid w:val="00F157EE"/>
    <w:rsid w:val="00F15BE4"/>
    <w:rsid w:val="00F15DA6"/>
    <w:rsid w:val="00F15EEC"/>
    <w:rsid w:val="00F15F6C"/>
    <w:rsid w:val="00F160B0"/>
    <w:rsid w:val="00F164E0"/>
    <w:rsid w:val="00F1676B"/>
    <w:rsid w:val="00F16C8F"/>
    <w:rsid w:val="00F16E18"/>
    <w:rsid w:val="00F17542"/>
    <w:rsid w:val="00F17580"/>
    <w:rsid w:val="00F17671"/>
    <w:rsid w:val="00F17837"/>
    <w:rsid w:val="00F17885"/>
    <w:rsid w:val="00F178D1"/>
    <w:rsid w:val="00F17987"/>
    <w:rsid w:val="00F179F0"/>
    <w:rsid w:val="00F17A22"/>
    <w:rsid w:val="00F17BF1"/>
    <w:rsid w:val="00F17E01"/>
    <w:rsid w:val="00F17F1A"/>
    <w:rsid w:val="00F200F8"/>
    <w:rsid w:val="00F2020B"/>
    <w:rsid w:val="00F2032D"/>
    <w:rsid w:val="00F20528"/>
    <w:rsid w:val="00F205DB"/>
    <w:rsid w:val="00F2068B"/>
    <w:rsid w:val="00F20AC3"/>
    <w:rsid w:val="00F20DA3"/>
    <w:rsid w:val="00F20DB8"/>
    <w:rsid w:val="00F210AA"/>
    <w:rsid w:val="00F211B3"/>
    <w:rsid w:val="00F21221"/>
    <w:rsid w:val="00F21384"/>
    <w:rsid w:val="00F21868"/>
    <w:rsid w:val="00F219C9"/>
    <w:rsid w:val="00F21A7C"/>
    <w:rsid w:val="00F21B1A"/>
    <w:rsid w:val="00F21C2D"/>
    <w:rsid w:val="00F21CAF"/>
    <w:rsid w:val="00F21DDE"/>
    <w:rsid w:val="00F2206B"/>
    <w:rsid w:val="00F22476"/>
    <w:rsid w:val="00F22544"/>
    <w:rsid w:val="00F22638"/>
    <w:rsid w:val="00F22755"/>
    <w:rsid w:val="00F2295E"/>
    <w:rsid w:val="00F22985"/>
    <w:rsid w:val="00F22D4F"/>
    <w:rsid w:val="00F23053"/>
    <w:rsid w:val="00F23836"/>
    <w:rsid w:val="00F238E6"/>
    <w:rsid w:val="00F239CA"/>
    <w:rsid w:val="00F23B5D"/>
    <w:rsid w:val="00F23C6F"/>
    <w:rsid w:val="00F23E03"/>
    <w:rsid w:val="00F23ED6"/>
    <w:rsid w:val="00F24015"/>
    <w:rsid w:val="00F24157"/>
    <w:rsid w:val="00F243C8"/>
    <w:rsid w:val="00F2446C"/>
    <w:rsid w:val="00F2447D"/>
    <w:rsid w:val="00F24542"/>
    <w:rsid w:val="00F24554"/>
    <w:rsid w:val="00F2455E"/>
    <w:rsid w:val="00F24653"/>
    <w:rsid w:val="00F24A0F"/>
    <w:rsid w:val="00F24B54"/>
    <w:rsid w:val="00F24CB8"/>
    <w:rsid w:val="00F256E2"/>
    <w:rsid w:val="00F259A1"/>
    <w:rsid w:val="00F25E1C"/>
    <w:rsid w:val="00F261E0"/>
    <w:rsid w:val="00F26437"/>
    <w:rsid w:val="00F2699C"/>
    <w:rsid w:val="00F269BD"/>
    <w:rsid w:val="00F269F5"/>
    <w:rsid w:val="00F26A6C"/>
    <w:rsid w:val="00F26B18"/>
    <w:rsid w:val="00F26CBC"/>
    <w:rsid w:val="00F26D61"/>
    <w:rsid w:val="00F26DD5"/>
    <w:rsid w:val="00F26ED8"/>
    <w:rsid w:val="00F26FDD"/>
    <w:rsid w:val="00F27199"/>
    <w:rsid w:val="00F27285"/>
    <w:rsid w:val="00F27406"/>
    <w:rsid w:val="00F2747A"/>
    <w:rsid w:val="00F27609"/>
    <w:rsid w:val="00F2767A"/>
    <w:rsid w:val="00F276F9"/>
    <w:rsid w:val="00F27A8F"/>
    <w:rsid w:val="00F27D3C"/>
    <w:rsid w:val="00F27FF1"/>
    <w:rsid w:val="00F301A2"/>
    <w:rsid w:val="00F302CD"/>
    <w:rsid w:val="00F30372"/>
    <w:rsid w:val="00F304A9"/>
    <w:rsid w:val="00F30567"/>
    <w:rsid w:val="00F30D16"/>
    <w:rsid w:val="00F30D21"/>
    <w:rsid w:val="00F30ED5"/>
    <w:rsid w:val="00F30F49"/>
    <w:rsid w:val="00F311F8"/>
    <w:rsid w:val="00F313A8"/>
    <w:rsid w:val="00F31531"/>
    <w:rsid w:val="00F31706"/>
    <w:rsid w:val="00F31A4F"/>
    <w:rsid w:val="00F31AF6"/>
    <w:rsid w:val="00F31B41"/>
    <w:rsid w:val="00F31E27"/>
    <w:rsid w:val="00F32367"/>
    <w:rsid w:val="00F3243F"/>
    <w:rsid w:val="00F32578"/>
    <w:rsid w:val="00F325F2"/>
    <w:rsid w:val="00F326F6"/>
    <w:rsid w:val="00F32705"/>
    <w:rsid w:val="00F32827"/>
    <w:rsid w:val="00F328C7"/>
    <w:rsid w:val="00F3295F"/>
    <w:rsid w:val="00F32F51"/>
    <w:rsid w:val="00F32F84"/>
    <w:rsid w:val="00F33077"/>
    <w:rsid w:val="00F33250"/>
    <w:rsid w:val="00F33485"/>
    <w:rsid w:val="00F3383E"/>
    <w:rsid w:val="00F33992"/>
    <w:rsid w:val="00F33B42"/>
    <w:rsid w:val="00F33DDF"/>
    <w:rsid w:val="00F33FFD"/>
    <w:rsid w:val="00F341E7"/>
    <w:rsid w:val="00F34305"/>
    <w:rsid w:val="00F34356"/>
    <w:rsid w:val="00F34540"/>
    <w:rsid w:val="00F34587"/>
    <w:rsid w:val="00F34769"/>
    <w:rsid w:val="00F3494C"/>
    <w:rsid w:val="00F34980"/>
    <w:rsid w:val="00F34B3D"/>
    <w:rsid w:val="00F34CE4"/>
    <w:rsid w:val="00F34D47"/>
    <w:rsid w:val="00F34D4E"/>
    <w:rsid w:val="00F34D8F"/>
    <w:rsid w:val="00F352AC"/>
    <w:rsid w:val="00F3536E"/>
    <w:rsid w:val="00F3549C"/>
    <w:rsid w:val="00F3549F"/>
    <w:rsid w:val="00F35564"/>
    <w:rsid w:val="00F355FE"/>
    <w:rsid w:val="00F3560B"/>
    <w:rsid w:val="00F35628"/>
    <w:rsid w:val="00F35684"/>
    <w:rsid w:val="00F35738"/>
    <w:rsid w:val="00F35BB0"/>
    <w:rsid w:val="00F3621F"/>
    <w:rsid w:val="00F36571"/>
    <w:rsid w:val="00F365F3"/>
    <w:rsid w:val="00F3687E"/>
    <w:rsid w:val="00F3697C"/>
    <w:rsid w:val="00F36E21"/>
    <w:rsid w:val="00F36F67"/>
    <w:rsid w:val="00F37129"/>
    <w:rsid w:val="00F375C1"/>
    <w:rsid w:val="00F37C59"/>
    <w:rsid w:val="00F37D52"/>
    <w:rsid w:val="00F400BB"/>
    <w:rsid w:val="00F4037E"/>
    <w:rsid w:val="00F403E0"/>
    <w:rsid w:val="00F403FA"/>
    <w:rsid w:val="00F40612"/>
    <w:rsid w:val="00F4069D"/>
    <w:rsid w:val="00F4073D"/>
    <w:rsid w:val="00F40883"/>
    <w:rsid w:val="00F4089C"/>
    <w:rsid w:val="00F4094F"/>
    <w:rsid w:val="00F40A1F"/>
    <w:rsid w:val="00F40A2C"/>
    <w:rsid w:val="00F40AFF"/>
    <w:rsid w:val="00F40C33"/>
    <w:rsid w:val="00F40C59"/>
    <w:rsid w:val="00F40C6C"/>
    <w:rsid w:val="00F40CAC"/>
    <w:rsid w:val="00F414B6"/>
    <w:rsid w:val="00F4153B"/>
    <w:rsid w:val="00F41591"/>
    <w:rsid w:val="00F41D59"/>
    <w:rsid w:val="00F41E8A"/>
    <w:rsid w:val="00F41FED"/>
    <w:rsid w:val="00F42444"/>
    <w:rsid w:val="00F425FE"/>
    <w:rsid w:val="00F4268E"/>
    <w:rsid w:val="00F42920"/>
    <w:rsid w:val="00F42A94"/>
    <w:rsid w:val="00F42C71"/>
    <w:rsid w:val="00F42E05"/>
    <w:rsid w:val="00F43111"/>
    <w:rsid w:val="00F432E0"/>
    <w:rsid w:val="00F436F6"/>
    <w:rsid w:val="00F43775"/>
    <w:rsid w:val="00F43AA9"/>
    <w:rsid w:val="00F43BE6"/>
    <w:rsid w:val="00F43D88"/>
    <w:rsid w:val="00F43FAC"/>
    <w:rsid w:val="00F44143"/>
    <w:rsid w:val="00F44679"/>
    <w:rsid w:val="00F44681"/>
    <w:rsid w:val="00F446C7"/>
    <w:rsid w:val="00F446CE"/>
    <w:rsid w:val="00F44829"/>
    <w:rsid w:val="00F44894"/>
    <w:rsid w:val="00F4493B"/>
    <w:rsid w:val="00F44945"/>
    <w:rsid w:val="00F44A58"/>
    <w:rsid w:val="00F44AAE"/>
    <w:rsid w:val="00F44ADA"/>
    <w:rsid w:val="00F44D6A"/>
    <w:rsid w:val="00F44EC5"/>
    <w:rsid w:val="00F4500D"/>
    <w:rsid w:val="00F45484"/>
    <w:rsid w:val="00F4558C"/>
    <w:rsid w:val="00F45D4E"/>
    <w:rsid w:val="00F45E52"/>
    <w:rsid w:val="00F45E69"/>
    <w:rsid w:val="00F46250"/>
    <w:rsid w:val="00F465A7"/>
    <w:rsid w:val="00F4663F"/>
    <w:rsid w:val="00F46A23"/>
    <w:rsid w:val="00F46C80"/>
    <w:rsid w:val="00F46FE1"/>
    <w:rsid w:val="00F47189"/>
    <w:rsid w:val="00F4780A"/>
    <w:rsid w:val="00F47AF7"/>
    <w:rsid w:val="00F47B30"/>
    <w:rsid w:val="00F47B62"/>
    <w:rsid w:val="00F47B80"/>
    <w:rsid w:val="00F47CEA"/>
    <w:rsid w:val="00F47DBD"/>
    <w:rsid w:val="00F50001"/>
    <w:rsid w:val="00F50147"/>
    <w:rsid w:val="00F501C9"/>
    <w:rsid w:val="00F5068A"/>
    <w:rsid w:val="00F5078D"/>
    <w:rsid w:val="00F50A08"/>
    <w:rsid w:val="00F50A87"/>
    <w:rsid w:val="00F50AF8"/>
    <w:rsid w:val="00F50B7C"/>
    <w:rsid w:val="00F50BCD"/>
    <w:rsid w:val="00F50C63"/>
    <w:rsid w:val="00F50C8F"/>
    <w:rsid w:val="00F50D0D"/>
    <w:rsid w:val="00F50F91"/>
    <w:rsid w:val="00F50F99"/>
    <w:rsid w:val="00F514F3"/>
    <w:rsid w:val="00F51A12"/>
    <w:rsid w:val="00F51B3C"/>
    <w:rsid w:val="00F51DE4"/>
    <w:rsid w:val="00F5200B"/>
    <w:rsid w:val="00F520C4"/>
    <w:rsid w:val="00F52188"/>
    <w:rsid w:val="00F52280"/>
    <w:rsid w:val="00F523D4"/>
    <w:rsid w:val="00F527CC"/>
    <w:rsid w:val="00F52961"/>
    <w:rsid w:val="00F5296C"/>
    <w:rsid w:val="00F529F2"/>
    <w:rsid w:val="00F52A26"/>
    <w:rsid w:val="00F52E29"/>
    <w:rsid w:val="00F52F01"/>
    <w:rsid w:val="00F53194"/>
    <w:rsid w:val="00F533B3"/>
    <w:rsid w:val="00F53420"/>
    <w:rsid w:val="00F536E0"/>
    <w:rsid w:val="00F539B3"/>
    <w:rsid w:val="00F53D9D"/>
    <w:rsid w:val="00F53E31"/>
    <w:rsid w:val="00F5464B"/>
    <w:rsid w:val="00F5485E"/>
    <w:rsid w:val="00F54977"/>
    <w:rsid w:val="00F54B80"/>
    <w:rsid w:val="00F54CD7"/>
    <w:rsid w:val="00F54D10"/>
    <w:rsid w:val="00F550E6"/>
    <w:rsid w:val="00F5518E"/>
    <w:rsid w:val="00F551E0"/>
    <w:rsid w:val="00F5547E"/>
    <w:rsid w:val="00F554FA"/>
    <w:rsid w:val="00F5558D"/>
    <w:rsid w:val="00F556D6"/>
    <w:rsid w:val="00F55774"/>
    <w:rsid w:val="00F558A8"/>
    <w:rsid w:val="00F558C5"/>
    <w:rsid w:val="00F55A44"/>
    <w:rsid w:val="00F55B89"/>
    <w:rsid w:val="00F55CB1"/>
    <w:rsid w:val="00F55CB7"/>
    <w:rsid w:val="00F55D3C"/>
    <w:rsid w:val="00F55E6A"/>
    <w:rsid w:val="00F55F95"/>
    <w:rsid w:val="00F55FFB"/>
    <w:rsid w:val="00F56586"/>
    <w:rsid w:val="00F56A00"/>
    <w:rsid w:val="00F56B1B"/>
    <w:rsid w:val="00F56B32"/>
    <w:rsid w:val="00F56B5B"/>
    <w:rsid w:val="00F56C1F"/>
    <w:rsid w:val="00F56CF1"/>
    <w:rsid w:val="00F57173"/>
    <w:rsid w:val="00F57529"/>
    <w:rsid w:val="00F5795B"/>
    <w:rsid w:val="00F57C8F"/>
    <w:rsid w:val="00F57DB5"/>
    <w:rsid w:val="00F57F9D"/>
    <w:rsid w:val="00F57FEA"/>
    <w:rsid w:val="00F60932"/>
    <w:rsid w:val="00F60C85"/>
    <w:rsid w:val="00F60F8B"/>
    <w:rsid w:val="00F6118F"/>
    <w:rsid w:val="00F61203"/>
    <w:rsid w:val="00F61432"/>
    <w:rsid w:val="00F6156D"/>
    <w:rsid w:val="00F616BC"/>
    <w:rsid w:val="00F61786"/>
    <w:rsid w:val="00F618AF"/>
    <w:rsid w:val="00F619D9"/>
    <w:rsid w:val="00F61A07"/>
    <w:rsid w:val="00F61D27"/>
    <w:rsid w:val="00F61F2B"/>
    <w:rsid w:val="00F62044"/>
    <w:rsid w:val="00F62109"/>
    <w:rsid w:val="00F62132"/>
    <w:rsid w:val="00F623C5"/>
    <w:rsid w:val="00F62700"/>
    <w:rsid w:val="00F62949"/>
    <w:rsid w:val="00F62F54"/>
    <w:rsid w:val="00F62FA6"/>
    <w:rsid w:val="00F634B6"/>
    <w:rsid w:val="00F6369F"/>
    <w:rsid w:val="00F63BCC"/>
    <w:rsid w:val="00F63BED"/>
    <w:rsid w:val="00F63C07"/>
    <w:rsid w:val="00F63FF7"/>
    <w:rsid w:val="00F640F4"/>
    <w:rsid w:val="00F6447E"/>
    <w:rsid w:val="00F64E9C"/>
    <w:rsid w:val="00F64F25"/>
    <w:rsid w:val="00F65265"/>
    <w:rsid w:val="00F65529"/>
    <w:rsid w:val="00F6597C"/>
    <w:rsid w:val="00F65B44"/>
    <w:rsid w:val="00F65E38"/>
    <w:rsid w:val="00F66129"/>
    <w:rsid w:val="00F6617F"/>
    <w:rsid w:val="00F6642F"/>
    <w:rsid w:val="00F668C6"/>
    <w:rsid w:val="00F66918"/>
    <w:rsid w:val="00F66948"/>
    <w:rsid w:val="00F66A3B"/>
    <w:rsid w:val="00F66B6F"/>
    <w:rsid w:val="00F66DFC"/>
    <w:rsid w:val="00F6707A"/>
    <w:rsid w:val="00F67BE1"/>
    <w:rsid w:val="00F67CCF"/>
    <w:rsid w:val="00F67D06"/>
    <w:rsid w:val="00F67E85"/>
    <w:rsid w:val="00F701AD"/>
    <w:rsid w:val="00F7064B"/>
    <w:rsid w:val="00F70802"/>
    <w:rsid w:val="00F70957"/>
    <w:rsid w:val="00F70B52"/>
    <w:rsid w:val="00F70B9A"/>
    <w:rsid w:val="00F70D34"/>
    <w:rsid w:val="00F70ECD"/>
    <w:rsid w:val="00F711FB"/>
    <w:rsid w:val="00F7120A"/>
    <w:rsid w:val="00F71230"/>
    <w:rsid w:val="00F71355"/>
    <w:rsid w:val="00F7136A"/>
    <w:rsid w:val="00F7170C"/>
    <w:rsid w:val="00F71A2A"/>
    <w:rsid w:val="00F71A74"/>
    <w:rsid w:val="00F71A79"/>
    <w:rsid w:val="00F71E03"/>
    <w:rsid w:val="00F720A2"/>
    <w:rsid w:val="00F72234"/>
    <w:rsid w:val="00F722BC"/>
    <w:rsid w:val="00F7254F"/>
    <w:rsid w:val="00F725EE"/>
    <w:rsid w:val="00F72712"/>
    <w:rsid w:val="00F72908"/>
    <w:rsid w:val="00F72E7E"/>
    <w:rsid w:val="00F72EA1"/>
    <w:rsid w:val="00F738A8"/>
    <w:rsid w:val="00F73AB2"/>
    <w:rsid w:val="00F73BC7"/>
    <w:rsid w:val="00F73C1D"/>
    <w:rsid w:val="00F73FF6"/>
    <w:rsid w:val="00F74345"/>
    <w:rsid w:val="00F7446D"/>
    <w:rsid w:val="00F74616"/>
    <w:rsid w:val="00F746E9"/>
    <w:rsid w:val="00F74725"/>
    <w:rsid w:val="00F748E1"/>
    <w:rsid w:val="00F74C66"/>
    <w:rsid w:val="00F74D2E"/>
    <w:rsid w:val="00F74F0F"/>
    <w:rsid w:val="00F752C7"/>
    <w:rsid w:val="00F753AE"/>
    <w:rsid w:val="00F7543B"/>
    <w:rsid w:val="00F756E7"/>
    <w:rsid w:val="00F757A9"/>
    <w:rsid w:val="00F75FB4"/>
    <w:rsid w:val="00F760AF"/>
    <w:rsid w:val="00F76575"/>
    <w:rsid w:val="00F768BC"/>
    <w:rsid w:val="00F76A5B"/>
    <w:rsid w:val="00F76B6D"/>
    <w:rsid w:val="00F76FC6"/>
    <w:rsid w:val="00F7701A"/>
    <w:rsid w:val="00F7727E"/>
    <w:rsid w:val="00F77811"/>
    <w:rsid w:val="00F77A66"/>
    <w:rsid w:val="00F77E82"/>
    <w:rsid w:val="00F77F51"/>
    <w:rsid w:val="00F77FC3"/>
    <w:rsid w:val="00F804B7"/>
    <w:rsid w:val="00F80A0A"/>
    <w:rsid w:val="00F80EFF"/>
    <w:rsid w:val="00F80F45"/>
    <w:rsid w:val="00F80FB5"/>
    <w:rsid w:val="00F81068"/>
    <w:rsid w:val="00F81326"/>
    <w:rsid w:val="00F81807"/>
    <w:rsid w:val="00F818D6"/>
    <w:rsid w:val="00F8199F"/>
    <w:rsid w:val="00F819ED"/>
    <w:rsid w:val="00F81A7C"/>
    <w:rsid w:val="00F81CE8"/>
    <w:rsid w:val="00F81DFB"/>
    <w:rsid w:val="00F81F06"/>
    <w:rsid w:val="00F8240E"/>
    <w:rsid w:val="00F8284E"/>
    <w:rsid w:val="00F82A42"/>
    <w:rsid w:val="00F82B19"/>
    <w:rsid w:val="00F82B76"/>
    <w:rsid w:val="00F82C37"/>
    <w:rsid w:val="00F82CD7"/>
    <w:rsid w:val="00F82F2D"/>
    <w:rsid w:val="00F832C5"/>
    <w:rsid w:val="00F833D2"/>
    <w:rsid w:val="00F8351D"/>
    <w:rsid w:val="00F835C7"/>
    <w:rsid w:val="00F8360E"/>
    <w:rsid w:val="00F8394D"/>
    <w:rsid w:val="00F83ED7"/>
    <w:rsid w:val="00F84026"/>
    <w:rsid w:val="00F84118"/>
    <w:rsid w:val="00F84265"/>
    <w:rsid w:val="00F84892"/>
    <w:rsid w:val="00F84A98"/>
    <w:rsid w:val="00F84C25"/>
    <w:rsid w:val="00F85111"/>
    <w:rsid w:val="00F853E8"/>
    <w:rsid w:val="00F854C3"/>
    <w:rsid w:val="00F8575F"/>
    <w:rsid w:val="00F8578D"/>
    <w:rsid w:val="00F8580C"/>
    <w:rsid w:val="00F85B56"/>
    <w:rsid w:val="00F85CE7"/>
    <w:rsid w:val="00F86340"/>
    <w:rsid w:val="00F86497"/>
    <w:rsid w:val="00F86621"/>
    <w:rsid w:val="00F86B5C"/>
    <w:rsid w:val="00F86C5B"/>
    <w:rsid w:val="00F86FDA"/>
    <w:rsid w:val="00F8720C"/>
    <w:rsid w:val="00F87432"/>
    <w:rsid w:val="00F87524"/>
    <w:rsid w:val="00F876D5"/>
    <w:rsid w:val="00F87775"/>
    <w:rsid w:val="00F87B49"/>
    <w:rsid w:val="00F87BA1"/>
    <w:rsid w:val="00F87E04"/>
    <w:rsid w:val="00F87E47"/>
    <w:rsid w:val="00F87E83"/>
    <w:rsid w:val="00F87F5F"/>
    <w:rsid w:val="00F9067C"/>
    <w:rsid w:val="00F907EB"/>
    <w:rsid w:val="00F9081D"/>
    <w:rsid w:val="00F90907"/>
    <w:rsid w:val="00F90A76"/>
    <w:rsid w:val="00F90BC9"/>
    <w:rsid w:val="00F90E15"/>
    <w:rsid w:val="00F90EFB"/>
    <w:rsid w:val="00F90F69"/>
    <w:rsid w:val="00F90F97"/>
    <w:rsid w:val="00F911B8"/>
    <w:rsid w:val="00F9127D"/>
    <w:rsid w:val="00F914D9"/>
    <w:rsid w:val="00F91E5C"/>
    <w:rsid w:val="00F91EB5"/>
    <w:rsid w:val="00F9206E"/>
    <w:rsid w:val="00F9212D"/>
    <w:rsid w:val="00F92228"/>
    <w:rsid w:val="00F9238F"/>
    <w:rsid w:val="00F923DC"/>
    <w:rsid w:val="00F924DC"/>
    <w:rsid w:val="00F92801"/>
    <w:rsid w:val="00F92D8E"/>
    <w:rsid w:val="00F92DB3"/>
    <w:rsid w:val="00F92EDC"/>
    <w:rsid w:val="00F92F39"/>
    <w:rsid w:val="00F92F6A"/>
    <w:rsid w:val="00F92F87"/>
    <w:rsid w:val="00F933AF"/>
    <w:rsid w:val="00F93466"/>
    <w:rsid w:val="00F934A6"/>
    <w:rsid w:val="00F9397A"/>
    <w:rsid w:val="00F93AF8"/>
    <w:rsid w:val="00F93BD6"/>
    <w:rsid w:val="00F93C9A"/>
    <w:rsid w:val="00F93D84"/>
    <w:rsid w:val="00F93EE0"/>
    <w:rsid w:val="00F93F34"/>
    <w:rsid w:val="00F94000"/>
    <w:rsid w:val="00F94384"/>
    <w:rsid w:val="00F94623"/>
    <w:rsid w:val="00F94ACD"/>
    <w:rsid w:val="00F95268"/>
    <w:rsid w:val="00F9548A"/>
    <w:rsid w:val="00F9584C"/>
    <w:rsid w:val="00F95891"/>
    <w:rsid w:val="00F95917"/>
    <w:rsid w:val="00F9597E"/>
    <w:rsid w:val="00F95AC3"/>
    <w:rsid w:val="00F95BE5"/>
    <w:rsid w:val="00F95CBF"/>
    <w:rsid w:val="00F96090"/>
    <w:rsid w:val="00F962D8"/>
    <w:rsid w:val="00F965B9"/>
    <w:rsid w:val="00F965DA"/>
    <w:rsid w:val="00F965FE"/>
    <w:rsid w:val="00F96780"/>
    <w:rsid w:val="00F96DAC"/>
    <w:rsid w:val="00F9703F"/>
    <w:rsid w:val="00F970AD"/>
    <w:rsid w:val="00F970C3"/>
    <w:rsid w:val="00F974A6"/>
    <w:rsid w:val="00F97661"/>
    <w:rsid w:val="00F978D2"/>
    <w:rsid w:val="00F97D60"/>
    <w:rsid w:val="00FA05C1"/>
    <w:rsid w:val="00FA06B4"/>
    <w:rsid w:val="00FA0778"/>
    <w:rsid w:val="00FA08A9"/>
    <w:rsid w:val="00FA0956"/>
    <w:rsid w:val="00FA0961"/>
    <w:rsid w:val="00FA09E3"/>
    <w:rsid w:val="00FA09ED"/>
    <w:rsid w:val="00FA0B71"/>
    <w:rsid w:val="00FA0B8F"/>
    <w:rsid w:val="00FA0E27"/>
    <w:rsid w:val="00FA0F10"/>
    <w:rsid w:val="00FA0F48"/>
    <w:rsid w:val="00FA100B"/>
    <w:rsid w:val="00FA10CB"/>
    <w:rsid w:val="00FA13F5"/>
    <w:rsid w:val="00FA1794"/>
    <w:rsid w:val="00FA1828"/>
    <w:rsid w:val="00FA1B14"/>
    <w:rsid w:val="00FA1EAE"/>
    <w:rsid w:val="00FA1FB7"/>
    <w:rsid w:val="00FA2205"/>
    <w:rsid w:val="00FA2275"/>
    <w:rsid w:val="00FA22D9"/>
    <w:rsid w:val="00FA2566"/>
    <w:rsid w:val="00FA275F"/>
    <w:rsid w:val="00FA29C0"/>
    <w:rsid w:val="00FA2A1B"/>
    <w:rsid w:val="00FA2A3A"/>
    <w:rsid w:val="00FA2B48"/>
    <w:rsid w:val="00FA2C4D"/>
    <w:rsid w:val="00FA2EDC"/>
    <w:rsid w:val="00FA2F29"/>
    <w:rsid w:val="00FA31E6"/>
    <w:rsid w:val="00FA343A"/>
    <w:rsid w:val="00FA34FC"/>
    <w:rsid w:val="00FA3A80"/>
    <w:rsid w:val="00FA3C86"/>
    <w:rsid w:val="00FA3F85"/>
    <w:rsid w:val="00FA406A"/>
    <w:rsid w:val="00FA40DD"/>
    <w:rsid w:val="00FA4163"/>
    <w:rsid w:val="00FA418F"/>
    <w:rsid w:val="00FA4517"/>
    <w:rsid w:val="00FA4615"/>
    <w:rsid w:val="00FA4AD8"/>
    <w:rsid w:val="00FA4C3D"/>
    <w:rsid w:val="00FA4C99"/>
    <w:rsid w:val="00FA4EFD"/>
    <w:rsid w:val="00FA501F"/>
    <w:rsid w:val="00FA5807"/>
    <w:rsid w:val="00FA5B39"/>
    <w:rsid w:val="00FA601A"/>
    <w:rsid w:val="00FA6249"/>
    <w:rsid w:val="00FA6273"/>
    <w:rsid w:val="00FA632B"/>
    <w:rsid w:val="00FA6778"/>
    <w:rsid w:val="00FA677C"/>
    <w:rsid w:val="00FA686A"/>
    <w:rsid w:val="00FA6AA3"/>
    <w:rsid w:val="00FA6B79"/>
    <w:rsid w:val="00FA6F5F"/>
    <w:rsid w:val="00FA7032"/>
    <w:rsid w:val="00FA721F"/>
    <w:rsid w:val="00FA72F8"/>
    <w:rsid w:val="00FA736B"/>
    <w:rsid w:val="00FA73B7"/>
    <w:rsid w:val="00FA76B6"/>
    <w:rsid w:val="00FA7B35"/>
    <w:rsid w:val="00FA7BCF"/>
    <w:rsid w:val="00FA7EC6"/>
    <w:rsid w:val="00FA7EF7"/>
    <w:rsid w:val="00FB006B"/>
    <w:rsid w:val="00FB013A"/>
    <w:rsid w:val="00FB036F"/>
    <w:rsid w:val="00FB049B"/>
    <w:rsid w:val="00FB052B"/>
    <w:rsid w:val="00FB062D"/>
    <w:rsid w:val="00FB0988"/>
    <w:rsid w:val="00FB0A25"/>
    <w:rsid w:val="00FB0BB2"/>
    <w:rsid w:val="00FB0F81"/>
    <w:rsid w:val="00FB0FB4"/>
    <w:rsid w:val="00FB0FBF"/>
    <w:rsid w:val="00FB1128"/>
    <w:rsid w:val="00FB131F"/>
    <w:rsid w:val="00FB13DC"/>
    <w:rsid w:val="00FB1691"/>
    <w:rsid w:val="00FB1B2E"/>
    <w:rsid w:val="00FB1C2E"/>
    <w:rsid w:val="00FB1DBF"/>
    <w:rsid w:val="00FB23AA"/>
    <w:rsid w:val="00FB25A7"/>
    <w:rsid w:val="00FB2666"/>
    <w:rsid w:val="00FB2739"/>
    <w:rsid w:val="00FB274C"/>
    <w:rsid w:val="00FB2781"/>
    <w:rsid w:val="00FB2865"/>
    <w:rsid w:val="00FB2A5F"/>
    <w:rsid w:val="00FB2C3C"/>
    <w:rsid w:val="00FB2D71"/>
    <w:rsid w:val="00FB3132"/>
    <w:rsid w:val="00FB3318"/>
    <w:rsid w:val="00FB33C9"/>
    <w:rsid w:val="00FB360B"/>
    <w:rsid w:val="00FB397A"/>
    <w:rsid w:val="00FB3A33"/>
    <w:rsid w:val="00FB3BC4"/>
    <w:rsid w:val="00FB3BD1"/>
    <w:rsid w:val="00FB3C33"/>
    <w:rsid w:val="00FB402E"/>
    <w:rsid w:val="00FB40CD"/>
    <w:rsid w:val="00FB4118"/>
    <w:rsid w:val="00FB43CA"/>
    <w:rsid w:val="00FB4E16"/>
    <w:rsid w:val="00FB503A"/>
    <w:rsid w:val="00FB5041"/>
    <w:rsid w:val="00FB5073"/>
    <w:rsid w:val="00FB515D"/>
    <w:rsid w:val="00FB516C"/>
    <w:rsid w:val="00FB516D"/>
    <w:rsid w:val="00FB518B"/>
    <w:rsid w:val="00FB537C"/>
    <w:rsid w:val="00FB58DE"/>
    <w:rsid w:val="00FB5EF8"/>
    <w:rsid w:val="00FB61F3"/>
    <w:rsid w:val="00FB626B"/>
    <w:rsid w:val="00FB63E8"/>
    <w:rsid w:val="00FB6507"/>
    <w:rsid w:val="00FB65C5"/>
    <w:rsid w:val="00FB68A5"/>
    <w:rsid w:val="00FB6A70"/>
    <w:rsid w:val="00FB6C1D"/>
    <w:rsid w:val="00FB6D83"/>
    <w:rsid w:val="00FB7078"/>
    <w:rsid w:val="00FB708A"/>
    <w:rsid w:val="00FB736E"/>
    <w:rsid w:val="00FB74C2"/>
    <w:rsid w:val="00FB7A1E"/>
    <w:rsid w:val="00FB7A6F"/>
    <w:rsid w:val="00FB7B08"/>
    <w:rsid w:val="00FC0291"/>
    <w:rsid w:val="00FC0365"/>
    <w:rsid w:val="00FC06EF"/>
    <w:rsid w:val="00FC0833"/>
    <w:rsid w:val="00FC0ACF"/>
    <w:rsid w:val="00FC0BDE"/>
    <w:rsid w:val="00FC0C62"/>
    <w:rsid w:val="00FC0CB9"/>
    <w:rsid w:val="00FC0D0A"/>
    <w:rsid w:val="00FC0D3B"/>
    <w:rsid w:val="00FC0EDC"/>
    <w:rsid w:val="00FC0F7C"/>
    <w:rsid w:val="00FC10EE"/>
    <w:rsid w:val="00FC1447"/>
    <w:rsid w:val="00FC1480"/>
    <w:rsid w:val="00FC1825"/>
    <w:rsid w:val="00FC1BF8"/>
    <w:rsid w:val="00FC1C42"/>
    <w:rsid w:val="00FC21F4"/>
    <w:rsid w:val="00FC22A0"/>
    <w:rsid w:val="00FC245D"/>
    <w:rsid w:val="00FC24CD"/>
    <w:rsid w:val="00FC2500"/>
    <w:rsid w:val="00FC26CE"/>
    <w:rsid w:val="00FC272B"/>
    <w:rsid w:val="00FC27CD"/>
    <w:rsid w:val="00FC27FE"/>
    <w:rsid w:val="00FC286E"/>
    <w:rsid w:val="00FC2DB4"/>
    <w:rsid w:val="00FC2EF9"/>
    <w:rsid w:val="00FC2F17"/>
    <w:rsid w:val="00FC2F5C"/>
    <w:rsid w:val="00FC30E2"/>
    <w:rsid w:val="00FC3272"/>
    <w:rsid w:val="00FC3473"/>
    <w:rsid w:val="00FC35C2"/>
    <w:rsid w:val="00FC3710"/>
    <w:rsid w:val="00FC38AB"/>
    <w:rsid w:val="00FC3AD0"/>
    <w:rsid w:val="00FC3CA4"/>
    <w:rsid w:val="00FC4051"/>
    <w:rsid w:val="00FC40A1"/>
    <w:rsid w:val="00FC41BB"/>
    <w:rsid w:val="00FC4322"/>
    <w:rsid w:val="00FC433E"/>
    <w:rsid w:val="00FC44A9"/>
    <w:rsid w:val="00FC476F"/>
    <w:rsid w:val="00FC494D"/>
    <w:rsid w:val="00FC499D"/>
    <w:rsid w:val="00FC4C70"/>
    <w:rsid w:val="00FC4EAF"/>
    <w:rsid w:val="00FC5340"/>
    <w:rsid w:val="00FC5497"/>
    <w:rsid w:val="00FC54B7"/>
    <w:rsid w:val="00FC54FA"/>
    <w:rsid w:val="00FC55C5"/>
    <w:rsid w:val="00FC570E"/>
    <w:rsid w:val="00FC583C"/>
    <w:rsid w:val="00FC5B49"/>
    <w:rsid w:val="00FC605C"/>
    <w:rsid w:val="00FC64A6"/>
    <w:rsid w:val="00FC64B7"/>
    <w:rsid w:val="00FC652F"/>
    <w:rsid w:val="00FC670F"/>
    <w:rsid w:val="00FC6D18"/>
    <w:rsid w:val="00FC6DFD"/>
    <w:rsid w:val="00FC6FA7"/>
    <w:rsid w:val="00FC75AD"/>
    <w:rsid w:val="00FC7635"/>
    <w:rsid w:val="00FC765A"/>
    <w:rsid w:val="00FC774D"/>
    <w:rsid w:val="00FC775E"/>
    <w:rsid w:val="00FC7883"/>
    <w:rsid w:val="00FC7A7E"/>
    <w:rsid w:val="00FC7CFE"/>
    <w:rsid w:val="00FC7D77"/>
    <w:rsid w:val="00FD0009"/>
    <w:rsid w:val="00FD0175"/>
    <w:rsid w:val="00FD019E"/>
    <w:rsid w:val="00FD0236"/>
    <w:rsid w:val="00FD0626"/>
    <w:rsid w:val="00FD07FD"/>
    <w:rsid w:val="00FD0B9A"/>
    <w:rsid w:val="00FD0C76"/>
    <w:rsid w:val="00FD0E4F"/>
    <w:rsid w:val="00FD0EB1"/>
    <w:rsid w:val="00FD0FC2"/>
    <w:rsid w:val="00FD1231"/>
    <w:rsid w:val="00FD1288"/>
    <w:rsid w:val="00FD1433"/>
    <w:rsid w:val="00FD154A"/>
    <w:rsid w:val="00FD18F4"/>
    <w:rsid w:val="00FD1907"/>
    <w:rsid w:val="00FD1A4A"/>
    <w:rsid w:val="00FD1B8E"/>
    <w:rsid w:val="00FD1C16"/>
    <w:rsid w:val="00FD1C2F"/>
    <w:rsid w:val="00FD2943"/>
    <w:rsid w:val="00FD2964"/>
    <w:rsid w:val="00FD2E3B"/>
    <w:rsid w:val="00FD3344"/>
    <w:rsid w:val="00FD337B"/>
    <w:rsid w:val="00FD3597"/>
    <w:rsid w:val="00FD3DFB"/>
    <w:rsid w:val="00FD4674"/>
    <w:rsid w:val="00FD48AF"/>
    <w:rsid w:val="00FD4DED"/>
    <w:rsid w:val="00FD5046"/>
    <w:rsid w:val="00FD5145"/>
    <w:rsid w:val="00FD54CC"/>
    <w:rsid w:val="00FD54DB"/>
    <w:rsid w:val="00FD5911"/>
    <w:rsid w:val="00FD5AF2"/>
    <w:rsid w:val="00FD5B2D"/>
    <w:rsid w:val="00FD5D27"/>
    <w:rsid w:val="00FD5F23"/>
    <w:rsid w:val="00FD6048"/>
    <w:rsid w:val="00FD619F"/>
    <w:rsid w:val="00FD61B5"/>
    <w:rsid w:val="00FD63EB"/>
    <w:rsid w:val="00FD64F8"/>
    <w:rsid w:val="00FD6608"/>
    <w:rsid w:val="00FD6723"/>
    <w:rsid w:val="00FD689D"/>
    <w:rsid w:val="00FD695C"/>
    <w:rsid w:val="00FD6FD2"/>
    <w:rsid w:val="00FD713E"/>
    <w:rsid w:val="00FD72F5"/>
    <w:rsid w:val="00FD75BA"/>
    <w:rsid w:val="00FD7BD9"/>
    <w:rsid w:val="00FE00A0"/>
    <w:rsid w:val="00FE01C7"/>
    <w:rsid w:val="00FE02DF"/>
    <w:rsid w:val="00FE0347"/>
    <w:rsid w:val="00FE053D"/>
    <w:rsid w:val="00FE075E"/>
    <w:rsid w:val="00FE0A48"/>
    <w:rsid w:val="00FE0B3F"/>
    <w:rsid w:val="00FE0C09"/>
    <w:rsid w:val="00FE0D2A"/>
    <w:rsid w:val="00FE0D72"/>
    <w:rsid w:val="00FE0DE1"/>
    <w:rsid w:val="00FE0F1B"/>
    <w:rsid w:val="00FE1160"/>
    <w:rsid w:val="00FE13F1"/>
    <w:rsid w:val="00FE152A"/>
    <w:rsid w:val="00FE15B5"/>
    <w:rsid w:val="00FE15C2"/>
    <w:rsid w:val="00FE1773"/>
    <w:rsid w:val="00FE17A2"/>
    <w:rsid w:val="00FE1A33"/>
    <w:rsid w:val="00FE1AFE"/>
    <w:rsid w:val="00FE1B0A"/>
    <w:rsid w:val="00FE1B2C"/>
    <w:rsid w:val="00FE1B93"/>
    <w:rsid w:val="00FE1BDF"/>
    <w:rsid w:val="00FE1D79"/>
    <w:rsid w:val="00FE1EDB"/>
    <w:rsid w:val="00FE209A"/>
    <w:rsid w:val="00FE24C6"/>
    <w:rsid w:val="00FE25CC"/>
    <w:rsid w:val="00FE2620"/>
    <w:rsid w:val="00FE2733"/>
    <w:rsid w:val="00FE2900"/>
    <w:rsid w:val="00FE2F44"/>
    <w:rsid w:val="00FE3266"/>
    <w:rsid w:val="00FE33A7"/>
    <w:rsid w:val="00FE33D7"/>
    <w:rsid w:val="00FE3533"/>
    <w:rsid w:val="00FE36F2"/>
    <w:rsid w:val="00FE36FD"/>
    <w:rsid w:val="00FE395C"/>
    <w:rsid w:val="00FE3B30"/>
    <w:rsid w:val="00FE3D24"/>
    <w:rsid w:val="00FE3D44"/>
    <w:rsid w:val="00FE3F5E"/>
    <w:rsid w:val="00FE4229"/>
    <w:rsid w:val="00FE48C4"/>
    <w:rsid w:val="00FE4965"/>
    <w:rsid w:val="00FE49CA"/>
    <w:rsid w:val="00FE4B2F"/>
    <w:rsid w:val="00FE4F51"/>
    <w:rsid w:val="00FE5257"/>
    <w:rsid w:val="00FE5529"/>
    <w:rsid w:val="00FE56F3"/>
    <w:rsid w:val="00FE58E1"/>
    <w:rsid w:val="00FE5A10"/>
    <w:rsid w:val="00FE5A82"/>
    <w:rsid w:val="00FE5B8D"/>
    <w:rsid w:val="00FE5C4B"/>
    <w:rsid w:val="00FE5E1E"/>
    <w:rsid w:val="00FE5FD0"/>
    <w:rsid w:val="00FE618A"/>
    <w:rsid w:val="00FE6452"/>
    <w:rsid w:val="00FE647B"/>
    <w:rsid w:val="00FE65CC"/>
    <w:rsid w:val="00FE66DC"/>
    <w:rsid w:val="00FE6850"/>
    <w:rsid w:val="00FE6C69"/>
    <w:rsid w:val="00FE6E2F"/>
    <w:rsid w:val="00FE6FF8"/>
    <w:rsid w:val="00FE74DF"/>
    <w:rsid w:val="00FE775F"/>
    <w:rsid w:val="00FE78C5"/>
    <w:rsid w:val="00FE795C"/>
    <w:rsid w:val="00FE7E1D"/>
    <w:rsid w:val="00FE7EFF"/>
    <w:rsid w:val="00FE7F6E"/>
    <w:rsid w:val="00FF012D"/>
    <w:rsid w:val="00FF0AF3"/>
    <w:rsid w:val="00FF0CA5"/>
    <w:rsid w:val="00FF105C"/>
    <w:rsid w:val="00FF12EB"/>
    <w:rsid w:val="00FF1316"/>
    <w:rsid w:val="00FF1463"/>
    <w:rsid w:val="00FF1565"/>
    <w:rsid w:val="00FF1662"/>
    <w:rsid w:val="00FF16A3"/>
    <w:rsid w:val="00FF1B63"/>
    <w:rsid w:val="00FF1D68"/>
    <w:rsid w:val="00FF1F54"/>
    <w:rsid w:val="00FF2122"/>
    <w:rsid w:val="00FF212C"/>
    <w:rsid w:val="00FF265C"/>
    <w:rsid w:val="00FF277B"/>
    <w:rsid w:val="00FF2940"/>
    <w:rsid w:val="00FF296C"/>
    <w:rsid w:val="00FF29BF"/>
    <w:rsid w:val="00FF2B24"/>
    <w:rsid w:val="00FF2C5D"/>
    <w:rsid w:val="00FF2F6E"/>
    <w:rsid w:val="00FF331D"/>
    <w:rsid w:val="00FF33CB"/>
    <w:rsid w:val="00FF3602"/>
    <w:rsid w:val="00FF360C"/>
    <w:rsid w:val="00FF374C"/>
    <w:rsid w:val="00FF3A6D"/>
    <w:rsid w:val="00FF3A8F"/>
    <w:rsid w:val="00FF3C9F"/>
    <w:rsid w:val="00FF3D54"/>
    <w:rsid w:val="00FF409B"/>
    <w:rsid w:val="00FF40A6"/>
    <w:rsid w:val="00FF4A91"/>
    <w:rsid w:val="00FF4CA7"/>
    <w:rsid w:val="00FF4D12"/>
    <w:rsid w:val="00FF526C"/>
    <w:rsid w:val="00FF531A"/>
    <w:rsid w:val="00FF53C0"/>
    <w:rsid w:val="00FF53F3"/>
    <w:rsid w:val="00FF545E"/>
    <w:rsid w:val="00FF5565"/>
    <w:rsid w:val="00FF594D"/>
    <w:rsid w:val="00FF5B5D"/>
    <w:rsid w:val="00FF5D7F"/>
    <w:rsid w:val="00FF5F98"/>
    <w:rsid w:val="00FF60BB"/>
    <w:rsid w:val="00FF633C"/>
    <w:rsid w:val="00FF6388"/>
    <w:rsid w:val="00FF6544"/>
    <w:rsid w:val="00FF6575"/>
    <w:rsid w:val="00FF65EB"/>
    <w:rsid w:val="00FF6727"/>
    <w:rsid w:val="00FF693F"/>
    <w:rsid w:val="00FF6ADF"/>
    <w:rsid w:val="00FF6BF4"/>
    <w:rsid w:val="00FF6D6B"/>
    <w:rsid w:val="00FF6E13"/>
    <w:rsid w:val="00FF6F1B"/>
    <w:rsid w:val="00FF7048"/>
    <w:rsid w:val="00FF7248"/>
    <w:rsid w:val="00FF7390"/>
    <w:rsid w:val="00FF74BD"/>
    <w:rsid w:val="00FF77AE"/>
    <w:rsid w:val="00FF7BB5"/>
    <w:rsid w:val="00FF7DD6"/>
    <w:rsid w:val="0101237C"/>
    <w:rsid w:val="01290F7E"/>
    <w:rsid w:val="015D1E09"/>
    <w:rsid w:val="019D759C"/>
    <w:rsid w:val="01D32DCE"/>
    <w:rsid w:val="0210755E"/>
    <w:rsid w:val="0266282C"/>
    <w:rsid w:val="02697903"/>
    <w:rsid w:val="02BC36E9"/>
    <w:rsid w:val="02F96569"/>
    <w:rsid w:val="038F42E8"/>
    <w:rsid w:val="03BE0A61"/>
    <w:rsid w:val="03CC21CB"/>
    <w:rsid w:val="03EA7B21"/>
    <w:rsid w:val="03F072C8"/>
    <w:rsid w:val="040B458F"/>
    <w:rsid w:val="041F510C"/>
    <w:rsid w:val="0431393C"/>
    <w:rsid w:val="047D4CD3"/>
    <w:rsid w:val="05107E95"/>
    <w:rsid w:val="05860158"/>
    <w:rsid w:val="058B3EA6"/>
    <w:rsid w:val="05F83EAE"/>
    <w:rsid w:val="06344057"/>
    <w:rsid w:val="06345E06"/>
    <w:rsid w:val="063E7D85"/>
    <w:rsid w:val="067578E9"/>
    <w:rsid w:val="067932E7"/>
    <w:rsid w:val="06A15565"/>
    <w:rsid w:val="06B54409"/>
    <w:rsid w:val="07097CB3"/>
    <w:rsid w:val="07293586"/>
    <w:rsid w:val="07295285"/>
    <w:rsid w:val="074640B2"/>
    <w:rsid w:val="07636392"/>
    <w:rsid w:val="07770C56"/>
    <w:rsid w:val="07927268"/>
    <w:rsid w:val="07A72F18"/>
    <w:rsid w:val="07AE7E64"/>
    <w:rsid w:val="084D1CF0"/>
    <w:rsid w:val="085F5DFB"/>
    <w:rsid w:val="08D13115"/>
    <w:rsid w:val="08FB5E51"/>
    <w:rsid w:val="092217DD"/>
    <w:rsid w:val="093A7294"/>
    <w:rsid w:val="093D2917"/>
    <w:rsid w:val="0A101A11"/>
    <w:rsid w:val="0A263993"/>
    <w:rsid w:val="0A2A7398"/>
    <w:rsid w:val="0A2D3AC2"/>
    <w:rsid w:val="0A782273"/>
    <w:rsid w:val="0AA755DF"/>
    <w:rsid w:val="0ABC632E"/>
    <w:rsid w:val="0B0706E8"/>
    <w:rsid w:val="0B120D44"/>
    <w:rsid w:val="0B5D7BAD"/>
    <w:rsid w:val="0B8B62F2"/>
    <w:rsid w:val="0BAD28E2"/>
    <w:rsid w:val="0BB542C0"/>
    <w:rsid w:val="0BD27BF6"/>
    <w:rsid w:val="0C135D87"/>
    <w:rsid w:val="0C3B3C7D"/>
    <w:rsid w:val="0C4B5C57"/>
    <w:rsid w:val="0CA041F5"/>
    <w:rsid w:val="0CAB2EAE"/>
    <w:rsid w:val="0CCC04B7"/>
    <w:rsid w:val="0CE84073"/>
    <w:rsid w:val="0D076022"/>
    <w:rsid w:val="0D2208E1"/>
    <w:rsid w:val="0D621C7D"/>
    <w:rsid w:val="0D821B4C"/>
    <w:rsid w:val="0DB14B56"/>
    <w:rsid w:val="0DC27F70"/>
    <w:rsid w:val="0E6A708A"/>
    <w:rsid w:val="0E73034D"/>
    <w:rsid w:val="0EA80197"/>
    <w:rsid w:val="0EE02C54"/>
    <w:rsid w:val="0EE1349A"/>
    <w:rsid w:val="0EED1247"/>
    <w:rsid w:val="0EFD148A"/>
    <w:rsid w:val="0F005E80"/>
    <w:rsid w:val="0F13775A"/>
    <w:rsid w:val="0F175673"/>
    <w:rsid w:val="0F5F45FE"/>
    <w:rsid w:val="0F8E26B0"/>
    <w:rsid w:val="0F9A112B"/>
    <w:rsid w:val="0FE816FD"/>
    <w:rsid w:val="0FF869FD"/>
    <w:rsid w:val="0FFE7EC2"/>
    <w:rsid w:val="1000248F"/>
    <w:rsid w:val="106D2F64"/>
    <w:rsid w:val="10984857"/>
    <w:rsid w:val="10B27739"/>
    <w:rsid w:val="10B44BF2"/>
    <w:rsid w:val="10B63710"/>
    <w:rsid w:val="10BA4BD5"/>
    <w:rsid w:val="10F10820"/>
    <w:rsid w:val="111C2F7A"/>
    <w:rsid w:val="112A22DF"/>
    <w:rsid w:val="112C77E9"/>
    <w:rsid w:val="11665CA1"/>
    <w:rsid w:val="11CB10FA"/>
    <w:rsid w:val="12033A37"/>
    <w:rsid w:val="120C00D0"/>
    <w:rsid w:val="127654E5"/>
    <w:rsid w:val="128244FD"/>
    <w:rsid w:val="129778D9"/>
    <w:rsid w:val="12CE5237"/>
    <w:rsid w:val="12D776EC"/>
    <w:rsid w:val="12DE0356"/>
    <w:rsid w:val="135C409A"/>
    <w:rsid w:val="13951726"/>
    <w:rsid w:val="1398274B"/>
    <w:rsid w:val="13D6674E"/>
    <w:rsid w:val="141E32F7"/>
    <w:rsid w:val="14396509"/>
    <w:rsid w:val="14534C45"/>
    <w:rsid w:val="14956F7C"/>
    <w:rsid w:val="14A625C4"/>
    <w:rsid w:val="14BB5F83"/>
    <w:rsid w:val="14DD2C3C"/>
    <w:rsid w:val="16087E1D"/>
    <w:rsid w:val="164007F5"/>
    <w:rsid w:val="164237FC"/>
    <w:rsid w:val="175B45D1"/>
    <w:rsid w:val="17701D14"/>
    <w:rsid w:val="17735226"/>
    <w:rsid w:val="17BD3AE8"/>
    <w:rsid w:val="17C361E3"/>
    <w:rsid w:val="18357529"/>
    <w:rsid w:val="186E7F10"/>
    <w:rsid w:val="189F624C"/>
    <w:rsid w:val="18BF1D34"/>
    <w:rsid w:val="18DC24FF"/>
    <w:rsid w:val="193701E4"/>
    <w:rsid w:val="19410E12"/>
    <w:rsid w:val="198527A8"/>
    <w:rsid w:val="19AD2CDC"/>
    <w:rsid w:val="1A1C66C0"/>
    <w:rsid w:val="1A42393B"/>
    <w:rsid w:val="1AAD45DE"/>
    <w:rsid w:val="1ACC1513"/>
    <w:rsid w:val="1AD67034"/>
    <w:rsid w:val="1B046F80"/>
    <w:rsid w:val="1B3267B5"/>
    <w:rsid w:val="1B3B21F0"/>
    <w:rsid w:val="1B40161D"/>
    <w:rsid w:val="1B441859"/>
    <w:rsid w:val="1B6411E3"/>
    <w:rsid w:val="1B6606B1"/>
    <w:rsid w:val="1BA37B94"/>
    <w:rsid w:val="1BB11414"/>
    <w:rsid w:val="1BB93B82"/>
    <w:rsid w:val="1BCD5E09"/>
    <w:rsid w:val="1BF43C51"/>
    <w:rsid w:val="1BFD77E5"/>
    <w:rsid w:val="1C0227D6"/>
    <w:rsid w:val="1C5E7925"/>
    <w:rsid w:val="1CFD070F"/>
    <w:rsid w:val="1D1E3640"/>
    <w:rsid w:val="1D3833BB"/>
    <w:rsid w:val="1D5F6196"/>
    <w:rsid w:val="1D6132A5"/>
    <w:rsid w:val="1D620E95"/>
    <w:rsid w:val="1D6E79F7"/>
    <w:rsid w:val="1D8E56D5"/>
    <w:rsid w:val="1DE50CF7"/>
    <w:rsid w:val="1DEF6D8A"/>
    <w:rsid w:val="1E2F4C2B"/>
    <w:rsid w:val="1E5B1A4E"/>
    <w:rsid w:val="1E7A43DA"/>
    <w:rsid w:val="1F0625DD"/>
    <w:rsid w:val="1F067E7E"/>
    <w:rsid w:val="1F0B7BF4"/>
    <w:rsid w:val="1F3770E9"/>
    <w:rsid w:val="1F491CF8"/>
    <w:rsid w:val="1F626B9C"/>
    <w:rsid w:val="1F9A0F77"/>
    <w:rsid w:val="1FA6791C"/>
    <w:rsid w:val="1FDB198E"/>
    <w:rsid w:val="1FE14B12"/>
    <w:rsid w:val="1FE7539E"/>
    <w:rsid w:val="20396758"/>
    <w:rsid w:val="20671BE0"/>
    <w:rsid w:val="20914A83"/>
    <w:rsid w:val="20963CB8"/>
    <w:rsid w:val="20A81A1B"/>
    <w:rsid w:val="20B07FB6"/>
    <w:rsid w:val="20B646FB"/>
    <w:rsid w:val="20B81B74"/>
    <w:rsid w:val="20C757F3"/>
    <w:rsid w:val="20CA6166"/>
    <w:rsid w:val="213B74B1"/>
    <w:rsid w:val="215A2310"/>
    <w:rsid w:val="21731164"/>
    <w:rsid w:val="21B725A6"/>
    <w:rsid w:val="21CE52E3"/>
    <w:rsid w:val="21DE318A"/>
    <w:rsid w:val="21ED57C0"/>
    <w:rsid w:val="21EF5B80"/>
    <w:rsid w:val="21FB3F4F"/>
    <w:rsid w:val="22576990"/>
    <w:rsid w:val="228003BD"/>
    <w:rsid w:val="229E3F63"/>
    <w:rsid w:val="22F47480"/>
    <w:rsid w:val="233D2346"/>
    <w:rsid w:val="235D2CDD"/>
    <w:rsid w:val="23780E71"/>
    <w:rsid w:val="239161EE"/>
    <w:rsid w:val="23B4085A"/>
    <w:rsid w:val="23CE4B75"/>
    <w:rsid w:val="23DE1C48"/>
    <w:rsid w:val="240210CD"/>
    <w:rsid w:val="243701D3"/>
    <w:rsid w:val="24BF09F7"/>
    <w:rsid w:val="24F00D05"/>
    <w:rsid w:val="250F32EF"/>
    <w:rsid w:val="251F763E"/>
    <w:rsid w:val="252D53FE"/>
    <w:rsid w:val="253C622A"/>
    <w:rsid w:val="25443385"/>
    <w:rsid w:val="25650DA8"/>
    <w:rsid w:val="25DA3F76"/>
    <w:rsid w:val="25DA49E2"/>
    <w:rsid w:val="25DB3A7F"/>
    <w:rsid w:val="25EC2D81"/>
    <w:rsid w:val="261C4494"/>
    <w:rsid w:val="268F582E"/>
    <w:rsid w:val="26E464C3"/>
    <w:rsid w:val="27231852"/>
    <w:rsid w:val="276205CD"/>
    <w:rsid w:val="277057A2"/>
    <w:rsid w:val="278A4F8F"/>
    <w:rsid w:val="279A1B15"/>
    <w:rsid w:val="27FA3819"/>
    <w:rsid w:val="28235FAE"/>
    <w:rsid w:val="282B45BB"/>
    <w:rsid w:val="286E4AF6"/>
    <w:rsid w:val="288C08AC"/>
    <w:rsid w:val="28AA1AB7"/>
    <w:rsid w:val="28BA7014"/>
    <w:rsid w:val="28CD22A4"/>
    <w:rsid w:val="28FB2A87"/>
    <w:rsid w:val="290E58CA"/>
    <w:rsid w:val="29206EB8"/>
    <w:rsid w:val="29595666"/>
    <w:rsid w:val="296D3483"/>
    <w:rsid w:val="29874881"/>
    <w:rsid w:val="29974A21"/>
    <w:rsid w:val="29A97182"/>
    <w:rsid w:val="29E325E0"/>
    <w:rsid w:val="2A452503"/>
    <w:rsid w:val="2AAB47A4"/>
    <w:rsid w:val="2AD704C6"/>
    <w:rsid w:val="2AE27B2C"/>
    <w:rsid w:val="2B0B15B0"/>
    <w:rsid w:val="2B173CE4"/>
    <w:rsid w:val="2B6C2485"/>
    <w:rsid w:val="2BA936A8"/>
    <w:rsid w:val="2BB807BB"/>
    <w:rsid w:val="2BCA6741"/>
    <w:rsid w:val="2BE7520E"/>
    <w:rsid w:val="2BEB4DA6"/>
    <w:rsid w:val="2C1934B7"/>
    <w:rsid w:val="2C315A5A"/>
    <w:rsid w:val="2C4B1C25"/>
    <w:rsid w:val="2CAB4A04"/>
    <w:rsid w:val="2D172E4B"/>
    <w:rsid w:val="2D300825"/>
    <w:rsid w:val="2D39553B"/>
    <w:rsid w:val="2D507AFC"/>
    <w:rsid w:val="2D786CBD"/>
    <w:rsid w:val="2D935573"/>
    <w:rsid w:val="2D9E56F5"/>
    <w:rsid w:val="2DBC7A62"/>
    <w:rsid w:val="2DDA23E8"/>
    <w:rsid w:val="2E29560D"/>
    <w:rsid w:val="2E2C723F"/>
    <w:rsid w:val="2E667F96"/>
    <w:rsid w:val="2E8226AB"/>
    <w:rsid w:val="2EDE383E"/>
    <w:rsid w:val="2F7D83BC"/>
    <w:rsid w:val="2F837332"/>
    <w:rsid w:val="2F9B28CE"/>
    <w:rsid w:val="2FC510F4"/>
    <w:rsid w:val="2FD065E6"/>
    <w:rsid w:val="2FD96870"/>
    <w:rsid w:val="2FE409D1"/>
    <w:rsid w:val="30580BC9"/>
    <w:rsid w:val="311E2ED7"/>
    <w:rsid w:val="3139700B"/>
    <w:rsid w:val="313E79B5"/>
    <w:rsid w:val="315619EE"/>
    <w:rsid w:val="315C449C"/>
    <w:rsid w:val="319B6BB5"/>
    <w:rsid w:val="31B82709"/>
    <w:rsid w:val="31C83722"/>
    <w:rsid w:val="31D05482"/>
    <w:rsid w:val="322D5B11"/>
    <w:rsid w:val="32400B34"/>
    <w:rsid w:val="329E6876"/>
    <w:rsid w:val="32A251AD"/>
    <w:rsid w:val="32C959A4"/>
    <w:rsid w:val="32EE4440"/>
    <w:rsid w:val="3313235B"/>
    <w:rsid w:val="332075A4"/>
    <w:rsid w:val="333015F2"/>
    <w:rsid w:val="334B6320"/>
    <w:rsid w:val="335F68EC"/>
    <w:rsid w:val="33D934D4"/>
    <w:rsid w:val="33FE2F6A"/>
    <w:rsid w:val="340E07E5"/>
    <w:rsid w:val="341C6DBE"/>
    <w:rsid w:val="34235BF7"/>
    <w:rsid w:val="3476168B"/>
    <w:rsid w:val="34824EE6"/>
    <w:rsid w:val="34A22859"/>
    <w:rsid w:val="34AB7123"/>
    <w:rsid w:val="34B30267"/>
    <w:rsid w:val="350E3B42"/>
    <w:rsid w:val="354632DC"/>
    <w:rsid w:val="358C5FA8"/>
    <w:rsid w:val="35961F07"/>
    <w:rsid w:val="35BA7826"/>
    <w:rsid w:val="35C15DF1"/>
    <w:rsid w:val="35E10577"/>
    <w:rsid w:val="36074A7F"/>
    <w:rsid w:val="363F76E9"/>
    <w:rsid w:val="365E4655"/>
    <w:rsid w:val="365E5B18"/>
    <w:rsid w:val="36715AE7"/>
    <w:rsid w:val="36813E7C"/>
    <w:rsid w:val="36923549"/>
    <w:rsid w:val="369260AD"/>
    <w:rsid w:val="36B75FBF"/>
    <w:rsid w:val="36BD0C45"/>
    <w:rsid w:val="36C767E4"/>
    <w:rsid w:val="36CC6D6C"/>
    <w:rsid w:val="36D73248"/>
    <w:rsid w:val="36E574C4"/>
    <w:rsid w:val="37225561"/>
    <w:rsid w:val="372268EA"/>
    <w:rsid w:val="37AD13F0"/>
    <w:rsid w:val="37B069D7"/>
    <w:rsid w:val="37D83F93"/>
    <w:rsid w:val="37E00298"/>
    <w:rsid w:val="380A60D7"/>
    <w:rsid w:val="38227AD3"/>
    <w:rsid w:val="38B302F9"/>
    <w:rsid w:val="38C157B9"/>
    <w:rsid w:val="38F10EAC"/>
    <w:rsid w:val="38F12CD3"/>
    <w:rsid w:val="38F165F8"/>
    <w:rsid w:val="38F94775"/>
    <w:rsid w:val="390A63CE"/>
    <w:rsid w:val="392971ED"/>
    <w:rsid w:val="39325651"/>
    <w:rsid w:val="39591DF3"/>
    <w:rsid w:val="396D42E6"/>
    <w:rsid w:val="398E773B"/>
    <w:rsid w:val="39987E7E"/>
    <w:rsid w:val="39F00E4C"/>
    <w:rsid w:val="39F84444"/>
    <w:rsid w:val="39F8725E"/>
    <w:rsid w:val="3A4D7408"/>
    <w:rsid w:val="3A52627F"/>
    <w:rsid w:val="3A872856"/>
    <w:rsid w:val="3A8A71D1"/>
    <w:rsid w:val="3B007A89"/>
    <w:rsid w:val="3B295071"/>
    <w:rsid w:val="3B3763D1"/>
    <w:rsid w:val="3B492D9F"/>
    <w:rsid w:val="3B4E0C94"/>
    <w:rsid w:val="3B854A7A"/>
    <w:rsid w:val="3BA26BB3"/>
    <w:rsid w:val="3BC46D08"/>
    <w:rsid w:val="3BC76554"/>
    <w:rsid w:val="3BD17F77"/>
    <w:rsid w:val="3BF84B53"/>
    <w:rsid w:val="3C2F6E1E"/>
    <w:rsid w:val="3C4F64BA"/>
    <w:rsid w:val="3C594B9C"/>
    <w:rsid w:val="3CD74859"/>
    <w:rsid w:val="3CDA245A"/>
    <w:rsid w:val="3CFB0E50"/>
    <w:rsid w:val="3D1E06B7"/>
    <w:rsid w:val="3D25087F"/>
    <w:rsid w:val="3D73602A"/>
    <w:rsid w:val="3D75208D"/>
    <w:rsid w:val="3DC164D0"/>
    <w:rsid w:val="3DCC00F6"/>
    <w:rsid w:val="3E16464D"/>
    <w:rsid w:val="3E6812C5"/>
    <w:rsid w:val="3ED42521"/>
    <w:rsid w:val="3EDA0523"/>
    <w:rsid w:val="3EED76A5"/>
    <w:rsid w:val="3F387708"/>
    <w:rsid w:val="3F420B9B"/>
    <w:rsid w:val="3F9A7A03"/>
    <w:rsid w:val="403C6ADA"/>
    <w:rsid w:val="407A6407"/>
    <w:rsid w:val="408C4D80"/>
    <w:rsid w:val="40A24A70"/>
    <w:rsid w:val="40EC0063"/>
    <w:rsid w:val="413D35A4"/>
    <w:rsid w:val="41670BFF"/>
    <w:rsid w:val="41B9630E"/>
    <w:rsid w:val="41EE3737"/>
    <w:rsid w:val="4200449D"/>
    <w:rsid w:val="423A3BCC"/>
    <w:rsid w:val="424E57D2"/>
    <w:rsid w:val="42781EAC"/>
    <w:rsid w:val="42B26C49"/>
    <w:rsid w:val="42C70A5A"/>
    <w:rsid w:val="42C72C0A"/>
    <w:rsid w:val="42EA174A"/>
    <w:rsid w:val="430453D3"/>
    <w:rsid w:val="4310659A"/>
    <w:rsid w:val="43370708"/>
    <w:rsid w:val="433A6FE6"/>
    <w:rsid w:val="43480868"/>
    <w:rsid w:val="4350713C"/>
    <w:rsid w:val="436653E0"/>
    <w:rsid w:val="436A762F"/>
    <w:rsid w:val="43AA5013"/>
    <w:rsid w:val="43C4431A"/>
    <w:rsid w:val="444B2FA7"/>
    <w:rsid w:val="448E4357"/>
    <w:rsid w:val="44A70C73"/>
    <w:rsid w:val="44B951CC"/>
    <w:rsid w:val="44CD14E0"/>
    <w:rsid w:val="44F20B0B"/>
    <w:rsid w:val="452847AC"/>
    <w:rsid w:val="452E5F4C"/>
    <w:rsid w:val="45612018"/>
    <w:rsid w:val="457A2B05"/>
    <w:rsid w:val="458946E9"/>
    <w:rsid w:val="45A02594"/>
    <w:rsid w:val="45A47C0E"/>
    <w:rsid w:val="45B42D58"/>
    <w:rsid w:val="45EB6DBA"/>
    <w:rsid w:val="45F238FA"/>
    <w:rsid w:val="45F428E0"/>
    <w:rsid w:val="464A0991"/>
    <w:rsid w:val="464E1249"/>
    <w:rsid w:val="46577FD6"/>
    <w:rsid w:val="469D2F78"/>
    <w:rsid w:val="46D955A7"/>
    <w:rsid w:val="46FB63F7"/>
    <w:rsid w:val="47133957"/>
    <w:rsid w:val="4755399D"/>
    <w:rsid w:val="47A07E0C"/>
    <w:rsid w:val="47A42779"/>
    <w:rsid w:val="47CF53B3"/>
    <w:rsid w:val="47E32A9D"/>
    <w:rsid w:val="48085452"/>
    <w:rsid w:val="480A69E3"/>
    <w:rsid w:val="4853074C"/>
    <w:rsid w:val="4870272E"/>
    <w:rsid w:val="4879740E"/>
    <w:rsid w:val="48D65063"/>
    <w:rsid w:val="491B0147"/>
    <w:rsid w:val="4924528A"/>
    <w:rsid w:val="495F2E7A"/>
    <w:rsid w:val="497D5B2E"/>
    <w:rsid w:val="49DC7715"/>
    <w:rsid w:val="4A023139"/>
    <w:rsid w:val="4A17196F"/>
    <w:rsid w:val="4A37282C"/>
    <w:rsid w:val="4A4D11AB"/>
    <w:rsid w:val="4A7B576F"/>
    <w:rsid w:val="4A7C49CE"/>
    <w:rsid w:val="4A993D08"/>
    <w:rsid w:val="4ADB5A3C"/>
    <w:rsid w:val="4AF561A9"/>
    <w:rsid w:val="4B3268AD"/>
    <w:rsid w:val="4B692C5A"/>
    <w:rsid w:val="4B6A130B"/>
    <w:rsid w:val="4B962969"/>
    <w:rsid w:val="4B9A1954"/>
    <w:rsid w:val="4BA5487A"/>
    <w:rsid w:val="4BA6467C"/>
    <w:rsid w:val="4BA9475D"/>
    <w:rsid w:val="4C334A6B"/>
    <w:rsid w:val="4C4A0649"/>
    <w:rsid w:val="4C7A5DAC"/>
    <w:rsid w:val="4C7E5ECA"/>
    <w:rsid w:val="4C86016F"/>
    <w:rsid w:val="4C876AA5"/>
    <w:rsid w:val="4CA31CCD"/>
    <w:rsid w:val="4D0E00FB"/>
    <w:rsid w:val="4D176606"/>
    <w:rsid w:val="4D525A83"/>
    <w:rsid w:val="4D551EB6"/>
    <w:rsid w:val="4D924EB8"/>
    <w:rsid w:val="4DBC2C12"/>
    <w:rsid w:val="4DC135E4"/>
    <w:rsid w:val="4DC4703C"/>
    <w:rsid w:val="4DD87C4A"/>
    <w:rsid w:val="4DDC1907"/>
    <w:rsid w:val="4DEC4FB0"/>
    <w:rsid w:val="4DF63804"/>
    <w:rsid w:val="4E075D8A"/>
    <w:rsid w:val="4E1839D6"/>
    <w:rsid w:val="4E1C29D4"/>
    <w:rsid w:val="4E7B3BF3"/>
    <w:rsid w:val="4EC00FAD"/>
    <w:rsid w:val="4ED41007"/>
    <w:rsid w:val="4F084917"/>
    <w:rsid w:val="4F7F146C"/>
    <w:rsid w:val="4F9843DC"/>
    <w:rsid w:val="4FC62A8C"/>
    <w:rsid w:val="4FE20F0D"/>
    <w:rsid w:val="4FE51552"/>
    <w:rsid w:val="4FF05EC6"/>
    <w:rsid w:val="50007ACD"/>
    <w:rsid w:val="50210776"/>
    <w:rsid w:val="5029417C"/>
    <w:rsid w:val="50443DD4"/>
    <w:rsid w:val="50504C4B"/>
    <w:rsid w:val="509379B9"/>
    <w:rsid w:val="509C6E7C"/>
    <w:rsid w:val="50A22688"/>
    <w:rsid w:val="50E0418D"/>
    <w:rsid w:val="510E36AA"/>
    <w:rsid w:val="5162104E"/>
    <w:rsid w:val="517F61AE"/>
    <w:rsid w:val="51A97ED0"/>
    <w:rsid w:val="51F6241C"/>
    <w:rsid w:val="52095AE6"/>
    <w:rsid w:val="52163E6F"/>
    <w:rsid w:val="52690C1F"/>
    <w:rsid w:val="52D34272"/>
    <w:rsid w:val="53A039CC"/>
    <w:rsid w:val="53A1505A"/>
    <w:rsid w:val="53FA7F3A"/>
    <w:rsid w:val="54063E08"/>
    <w:rsid w:val="5407108F"/>
    <w:rsid w:val="540A16AA"/>
    <w:rsid w:val="543437E8"/>
    <w:rsid w:val="545D78A2"/>
    <w:rsid w:val="54E84579"/>
    <w:rsid w:val="54F73313"/>
    <w:rsid w:val="54F80955"/>
    <w:rsid w:val="55396862"/>
    <w:rsid w:val="555170A7"/>
    <w:rsid w:val="5587536D"/>
    <w:rsid w:val="559B174B"/>
    <w:rsid w:val="55CE0CF4"/>
    <w:rsid w:val="55F52488"/>
    <w:rsid w:val="562076A2"/>
    <w:rsid w:val="56247040"/>
    <w:rsid w:val="56957299"/>
    <w:rsid w:val="56A67594"/>
    <w:rsid w:val="56B22A9C"/>
    <w:rsid w:val="56E60023"/>
    <w:rsid w:val="572E0929"/>
    <w:rsid w:val="57427BD3"/>
    <w:rsid w:val="575D1AD1"/>
    <w:rsid w:val="57814612"/>
    <w:rsid w:val="57B72A76"/>
    <w:rsid w:val="57C3426C"/>
    <w:rsid w:val="57CE1F93"/>
    <w:rsid w:val="588743D1"/>
    <w:rsid w:val="5887701A"/>
    <w:rsid w:val="58C47EF0"/>
    <w:rsid w:val="58CE0D6F"/>
    <w:rsid w:val="58D97E3F"/>
    <w:rsid w:val="592F7A5F"/>
    <w:rsid w:val="599B50F5"/>
    <w:rsid w:val="59A541C5"/>
    <w:rsid w:val="59C0439F"/>
    <w:rsid w:val="5A063F18"/>
    <w:rsid w:val="5A1F3552"/>
    <w:rsid w:val="5A2C0443"/>
    <w:rsid w:val="5A405507"/>
    <w:rsid w:val="5A5662EE"/>
    <w:rsid w:val="5A6C62B6"/>
    <w:rsid w:val="5A715E56"/>
    <w:rsid w:val="5A925980"/>
    <w:rsid w:val="5AB67D0C"/>
    <w:rsid w:val="5ABE2233"/>
    <w:rsid w:val="5ADE1E7A"/>
    <w:rsid w:val="5AE1122D"/>
    <w:rsid w:val="5BA47BB2"/>
    <w:rsid w:val="5BC433D0"/>
    <w:rsid w:val="5BDF5D95"/>
    <w:rsid w:val="5BE2533A"/>
    <w:rsid w:val="5BFE7528"/>
    <w:rsid w:val="5C106F01"/>
    <w:rsid w:val="5C1D0043"/>
    <w:rsid w:val="5C390BF5"/>
    <w:rsid w:val="5C4557EC"/>
    <w:rsid w:val="5C671C03"/>
    <w:rsid w:val="5D2C15D3"/>
    <w:rsid w:val="5D5C2DED"/>
    <w:rsid w:val="5E1F6CE3"/>
    <w:rsid w:val="5E2467F1"/>
    <w:rsid w:val="5E247B1C"/>
    <w:rsid w:val="5E5137CF"/>
    <w:rsid w:val="5E8C743B"/>
    <w:rsid w:val="5E9B4D4C"/>
    <w:rsid w:val="5EA507C4"/>
    <w:rsid w:val="5EC80E9B"/>
    <w:rsid w:val="5ECC6328"/>
    <w:rsid w:val="5F100333"/>
    <w:rsid w:val="5F1A2B43"/>
    <w:rsid w:val="5F452AD3"/>
    <w:rsid w:val="5FB837BB"/>
    <w:rsid w:val="5FC0745B"/>
    <w:rsid w:val="5FDB2EF8"/>
    <w:rsid w:val="60892598"/>
    <w:rsid w:val="60AD0A25"/>
    <w:rsid w:val="60BC7638"/>
    <w:rsid w:val="60CC405A"/>
    <w:rsid w:val="612200C7"/>
    <w:rsid w:val="61605EA3"/>
    <w:rsid w:val="616E701B"/>
    <w:rsid w:val="61B50D0E"/>
    <w:rsid w:val="61E215D8"/>
    <w:rsid w:val="621B3775"/>
    <w:rsid w:val="62257652"/>
    <w:rsid w:val="62364782"/>
    <w:rsid w:val="62475037"/>
    <w:rsid w:val="625D6F9E"/>
    <w:rsid w:val="626E7EB2"/>
    <w:rsid w:val="626F594D"/>
    <w:rsid w:val="62C67EA8"/>
    <w:rsid w:val="62D17EC8"/>
    <w:rsid w:val="6374150D"/>
    <w:rsid w:val="6394356A"/>
    <w:rsid w:val="63B136CD"/>
    <w:rsid w:val="63C61B2C"/>
    <w:rsid w:val="63C8362C"/>
    <w:rsid w:val="63D40BE9"/>
    <w:rsid w:val="63F172BF"/>
    <w:rsid w:val="64102431"/>
    <w:rsid w:val="64235D45"/>
    <w:rsid w:val="645A6DB5"/>
    <w:rsid w:val="646E5F29"/>
    <w:rsid w:val="64A5243A"/>
    <w:rsid w:val="64AB05AF"/>
    <w:rsid w:val="64B61035"/>
    <w:rsid w:val="64F531DE"/>
    <w:rsid w:val="65082C9C"/>
    <w:rsid w:val="6518584B"/>
    <w:rsid w:val="65373578"/>
    <w:rsid w:val="654752D4"/>
    <w:rsid w:val="657B402C"/>
    <w:rsid w:val="65850302"/>
    <w:rsid w:val="658D6238"/>
    <w:rsid w:val="65AB6525"/>
    <w:rsid w:val="65DA651B"/>
    <w:rsid w:val="664D7DAD"/>
    <w:rsid w:val="66A31A8D"/>
    <w:rsid w:val="671F124A"/>
    <w:rsid w:val="677A33C6"/>
    <w:rsid w:val="67BB148D"/>
    <w:rsid w:val="68027301"/>
    <w:rsid w:val="680C4F78"/>
    <w:rsid w:val="681F6961"/>
    <w:rsid w:val="68394457"/>
    <w:rsid w:val="68610A2F"/>
    <w:rsid w:val="68752A81"/>
    <w:rsid w:val="68805514"/>
    <w:rsid w:val="68A44B73"/>
    <w:rsid w:val="68FF1C11"/>
    <w:rsid w:val="69316E2F"/>
    <w:rsid w:val="693F6886"/>
    <w:rsid w:val="694E2071"/>
    <w:rsid w:val="69766163"/>
    <w:rsid w:val="697A3B33"/>
    <w:rsid w:val="699C68FF"/>
    <w:rsid w:val="69D44760"/>
    <w:rsid w:val="69DD3507"/>
    <w:rsid w:val="6A162576"/>
    <w:rsid w:val="6A4E1D0F"/>
    <w:rsid w:val="6A520EC7"/>
    <w:rsid w:val="6A9F34D0"/>
    <w:rsid w:val="6ABC7372"/>
    <w:rsid w:val="6ACF3432"/>
    <w:rsid w:val="6AD40467"/>
    <w:rsid w:val="6ADB2195"/>
    <w:rsid w:val="6AF87E20"/>
    <w:rsid w:val="6AFB6BAE"/>
    <w:rsid w:val="6AFF0850"/>
    <w:rsid w:val="6B26608D"/>
    <w:rsid w:val="6B322639"/>
    <w:rsid w:val="6BD70A09"/>
    <w:rsid w:val="6C015C68"/>
    <w:rsid w:val="6C0B3330"/>
    <w:rsid w:val="6C325359"/>
    <w:rsid w:val="6C636C38"/>
    <w:rsid w:val="6C7F08A6"/>
    <w:rsid w:val="6D535F8B"/>
    <w:rsid w:val="6DA751E6"/>
    <w:rsid w:val="6DB34098"/>
    <w:rsid w:val="6DB545B6"/>
    <w:rsid w:val="6DE02FB4"/>
    <w:rsid w:val="6E316D0B"/>
    <w:rsid w:val="6E514CED"/>
    <w:rsid w:val="6E66587A"/>
    <w:rsid w:val="6EA21439"/>
    <w:rsid w:val="6EB563D5"/>
    <w:rsid w:val="6EC6343E"/>
    <w:rsid w:val="6EC80DA6"/>
    <w:rsid w:val="6ED92677"/>
    <w:rsid w:val="6EDC195D"/>
    <w:rsid w:val="6F225983"/>
    <w:rsid w:val="6F614293"/>
    <w:rsid w:val="6FA01B9B"/>
    <w:rsid w:val="6FFC5590"/>
    <w:rsid w:val="701D640C"/>
    <w:rsid w:val="70205B1C"/>
    <w:rsid w:val="706D1DD0"/>
    <w:rsid w:val="708360A3"/>
    <w:rsid w:val="70856B87"/>
    <w:rsid w:val="708B6CE2"/>
    <w:rsid w:val="70D527EE"/>
    <w:rsid w:val="710C62D3"/>
    <w:rsid w:val="711C5615"/>
    <w:rsid w:val="71255D26"/>
    <w:rsid w:val="715B5300"/>
    <w:rsid w:val="71C50B09"/>
    <w:rsid w:val="71D27F8A"/>
    <w:rsid w:val="71E4391E"/>
    <w:rsid w:val="721557B4"/>
    <w:rsid w:val="721B42BA"/>
    <w:rsid w:val="72553024"/>
    <w:rsid w:val="726E27A2"/>
    <w:rsid w:val="72AD4AAF"/>
    <w:rsid w:val="72C072F9"/>
    <w:rsid w:val="72DE1C2F"/>
    <w:rsid w:val="72DF3E4C"/>
    <w:rsid w:val="730076A1"/>
    <w:rsid w:val="73122968"/>
    <w:rsid w:val="731F5D5E"/>
    <w:rsid w:val="73424E40"/>
    <w:rsid w:val="734D4345"/>
    <w:rsid w:val="73722DFF"/>
    <w:rsid w:val="737603F7"/>
    <w:rsid w:val="73890FDE"/>
    <w:rsid w:val="73A254D1"/>
    <w:rsid w:val="73A30F24"/>
    <w:rsid w:val="73C51AD5"/>
    <w:rsid w:val="74092D09"/>
    <w:rsid w:val="741E793C"/>
    <w:rsid w:val="744762DA"/>
    <w:rsid w:val="745E3944"/>
    <w:rsid w:val="74CE53FF"/>
    <w:rsid w:val="7521525B"/>
    <w:rsid w:val="75463328"/>
    <w:rsid w:val="755D54FC"/>
    <w:rsid w:val="75CC3053"/>
    <w:rsid w:val="762331ED"/>
    <w:rsid w:val="7635099D"/>
    <w:rsid w:val="764B6F6B"/>
    <w:rsid w:val="76943C19"/>
    <w:rsid w:val="769B34C2"/>
    <w:rsid w:val="76C255EA"/>
    <w:rsid w:val="76EC474C"/>
    <w:rsid w:val="77161535"/>
    <w:rsid w:val="77330CC2"/>
    <w:rsid w:val="77345D80"/>
    <w:rsid w:val="775156B4"/>
    <w:rsid w:val="77762421"/>
    <w:rsid w:val="779B309E"/>
    <w:rsid w:val="77B56B1F"/>
    <w:rsid w:val="78023649"/>
    <w:rsid w:val="780F09F4"/>
    <w:rsid w:val="782326C4"/>
    <w:rsid w:val="783C764B"/>
    <w:rsid w:val="78450BF6"/>
    <w:rsid w:val="78A90480"/>
    <w:rsid w:val="792070BB"/>
    <w:rsid w:val="792841C7"/>
    <w:rsid w:val="795C7DC6"/>
    <w:rsid w:val="79AD5752"/>
    <w:rsid w:val="7A061EDD"/>
    <w:rsid w:val="7A364017"/>
    <w:rsid w:val="7A7838A6"/>
    <w:rsid w:val="7A8265E1"/>
    <w:rsid w:val="7AE21DA8"/>
    <w:rsid w:val="7B2C6EB1"/>
    <w:rsid w:val="7B686D42"/>
    <w:rsid w:val="7B841746"/>
    <w:rsid w:val="7BFC4022"/>
    <w:rsid w:val="7C695805"/>
    <w:rsid w:val="7C6C5AC7"/>
    <w:rsid w:val="7CB63E70"/>
    <w:rsid w:val="7CC6544B"/>
    <w:rsid w:val="7CF130FA"/>
    <w:rsid w:val="7CF229CE"/>
    <w:rsid w:val="7D0239FF"/>
    <w:rsid w:val="7D140F13"/>
    <w:rsid w:val="7D43322A"/>
    <w:rsid w:val="7D5E40CD"/>
    <w:rsid w:val="7DAA150A"/>
    <w:rsid w:val="7DCD56F2"/>
    <w:rsid w:val="7E235535"/>
    <w:rsid w:val="7E73595F"/>
    <w:rsid w:val="7E865AC4"/>
    <w:rsid w:val="7EB76E5C"/>
    <w:rsid w:val="7ECE3FBA"/>
    <w:rsid w:val="7F001CE7"/>
    <w:rsid w:val="7F1515E3"/>
    <w:rsid w:val="7F392C0E"/>
    <w:rsid w:val="7F8A644F"/>
    <w:rsid w:val="7FD4460D"/>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9" w:semiHidden="0" w:name="heading 3" w:locked="1"/>
    <w:lsdException w:qFormat="1" w:unhideWhenUsed="0" w:uiPriority="9"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ocked="1"/>
    <w:lsdException w:qFormat="1" w:unhideWhenUsed="0" w:uiPriority="0" w:semiHidden="0" w:name="index 2" w:locked="1"/>
    <w:lsdException w:qFormat="1" w:unhideWhenUsed="0" w:uiPriority="0" w:semiHidden="0" w:name="index 3" w:locked="1"/>
    <w:lsdException w:qFormat="1" w:unhideWhenUsed="0" w:uiPriority="0" w:semiHidden="0" w:name="index 4" w:locked="1"/>
    <w:lsdException w:qFormat="1" w:unhideWhenUsed="0" w:uiPriority="0" w:semiHidden="0" w:name="index 5" w:locked="1"/>
    <w:lsdException w:qFormat="1" w:unhideWhenUsed="0" w:uiPriority="99" w:semiHidden="0" w:name="index 6" w:locked="1"/>
    <w:lsdException w:qFormat="1" w:unhideWhenUsed="0" w:uiPriority="0" w:semiHidden="0" w:name="index 7" w:locked="1"/>
    <w:lsdException w:qFormat="1" w:unhideWhenUsed="0" w:uiPriority="99" w:semiHidden="0" w:name="index 8" w:locked="1"/>
    <w:lsdException w:qFormat="1" w:unhideWhenUsed="0" w:uiPriority="0" w:semiHidden="0" w:name="index 9" w:locked="1"/>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qFormat="1" w:uiPriority="39" w:semiHidden="0" w:name="toc 4" w:locked="1"/>
    <w:lsdException w:qFormat="1" w:uiPriority="39" w:semiHidden="0" w:name="toc 5" w:locked="1"/>
    <w:lsdException w:qFormat="1" w:uiPriority="39" w:semiHidden="0" w:name="toc 6" w:locked="1"/>
    <w:lsdException w:qFormat="1" w:uiPriority="39" w:semiHidden="0" w:name="toc 7" w:locked="1"/>
    <w:lsdException w:qFormat="1" w:uiPriority="39" w:semiHidden="0" w:name="toc 8" w:locked="1"/>
    <w:lsdException w:qFormat="1" w:uiPriority="39" w:semiHidden="0" w:name="toc 9" w:locked="1"/>
    <w:lsdException w:qFormat="1" w:unhideWhenUsed="0" w:uiPriority="0" w:semiHidden="0" w:name="Normal Indent" w:locked="1"/>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ocked="1"/>
    <w:lsdException w:qFormat="1" w:uiPriority="0" w:semiHidden="0" w:name="caption" w:locked="1"/>
    <w:lsdException w:qFormat="1" w:unhideWhenUsed="0" w:uiPriority="99"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0" w:semiHidden="0" w:name="annotation reference"/>
    <w:lsdException w:qFormat="1"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99" w:semiHidden="0" w:name="endnote text" w:locked="1"/>
    <w:lsdException w:qFormat="1" w:unhideWhenUsed="0" w:uiPriority="0" w:semiHidden="0" w:name="table of authorities" w:locked="1"/>
    <w:lsdException w:qFormat="1" w:unhideWhenUsed="0" w:uiPriority="99" w:semiHidden="0" w:name="macro" w:locked="1"/>
    <w:lsdException w:qFormat="1" w:unhideWhenUsed="0" w:uiPriority="0" w:semiHidden="0" w:name="toa heading" w:locked="1"/>
    <w:lsdException w:qFormat="1" w:unhideWhenUsed="0" w:uiPriority="99"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10" w:semiHidden="0" w:name="Title" w:locked="1"/>
    <w:lsdException w:qFormat="1" w:unhideWhenUsed="0" w:uiPriority="0" w:semiHidden="0" w:name="Closing" w:locked="1"/>
    <w:lsdException w:qFormat="1"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99" w:semiHidden="0" w:name="Body Text First Indent" w:locked="1"/>
    <w:lsdException w:qFormat="1" w:uiPriority="99" w:semiHidden="0" w:name="Body Text First Indent 2" w:locked="1"/>
    <w:lsdException w:qFormat="1" w:unhideWhenUsed="0" w:uiPriority="0" w:semiHidden="0" w:name="Note Heading" w:locked="1"/>
    <w:lsdException w:qFormat="1" w:unhideWhenUsed="0" w:uiPriority="99" w:semiHidden="0" w:name="Body Text 2" w:locked="1"/>
    <w:lsdException w:qFormat="1" w:unhideWhenUsed="0" w:uiPriority="99" w:semiHidden="0" w:name="Body Text 3" w:locked="1"/>
    <w:lsdException w:qFormat="1" w:unhideWhenUsed="0" w:uiPriority="0" w:semiHidden="0" w:name="Body Text Indent 2" w:locked="1"/>
    <w:lsdException w:qFormat="1" w:unhideWhenUsed="0" w:uiPriority="99" w:semiHidden="0" w:name="Body Text Indent 3" w:locked="1"/>
    <w:lsdException w:qFormat="1" w:unhideWhenUsed="0" w:uiPriority="0" w:semiHidden="0" w:name="Block Text" w:locked="1"/>
    <w:lsdException w:qFormat="1" w:uiPriority="99" w:semiHidden="0" w:name="Hyperlink" w:locked="1"/>
    <w:lsdException w:qFormat="1" w:unhideWhenUsed="0" w:uiPriority="99" w:semiHidden="0" w:name="FollowedHyperlink" w:locked="1"/>
    <w:lsdException w:qFormat="1" w:unhideWhenUsed="0" w:uiPriority="22" w:semiHidden="0" w:name="Strong" w:locked="1"/>
    <w:lsdException w:qFormat="1" w:unhideWhenUsed="0" w:uiPriority="0" w:semiHidden="0" w:name="Emphasis" w:locked="1"/>
    <w:lsdException w:qFormat="1" w:unhideWhenUsed="0" w:uiPriority="0" w:semiHidden="0" w:name="Document Map" w:locked="1"/>
    <w:lsdException w:qFormat="1" w:unhideWhenUsed="0" w:uiPriority="99" w:semiHidden="0" w:name="Plain Text" w:locked="1"/>
    <w:lsdException w:qFormat="1" w:unhideWhenUsed="0" w:uiPriority="0" w:semiHidden="0" w:name="E-mail Signature" w:locked="1"/>
    <w:lsdException w:qFormat="1" w:unhideWhenUsed="0" w:uiPriority="99"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99"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99" w:semiHidden="0" w:name="annotation subject"/>
    <w:lsdException w:qFormat="1" w:unhideWhenUsed="0" w:uiPriority="0" w:semiHidden="0" w:name="Table Simple 1" w:locked="1"/>
    <w:lsdException w:qFormat="1" w:unhideWhenUsed="0" w:uiPriority="0" w:semiHidden="0" w:name="Table Simple 2" w:locked="1"/>
    <w:lsdException w:qFormat="1" w:unhideWhenUsed="0" w:uiPriority="0" w:semiHidden="0" w:name="Table Simple 3" w:locked="1"/>
    <w:lsdException w:qFormat="1" w:unhideWhenUsed="0" w:uiPriority="0" w:semiHidden="0" w:name="Table Classic 1" w:locked="1"/>
    <w:lsdException w:qFormat="1" w:unhideWhenUsed="0" w:uiPriority="0" w:semiHidden="0" w:name="Table Classic 2" w:locked="1"/>
    <w:lsdException w:qFormat="1" w:unhideWhenUsed="0" w:uiPriority="0" w:semiHidden="0" w:name="Table Classic 3" w:locked="1"/>
    <w:lsdException w:qFormat="1" w:unhideWhenUsed="0" w:uiPriority="0" w:semiHidden="0" w:name="Table Classic 4" w:locked="1"/>
    <w:lsdException w:qFormat="1" w:unhideWhenUsed="0" w:uiPriority="0" w:semiHidden="0" w:name="Table Colorful 1" w:locked="1"/>
    <w:lsdException w:qFormat="1" w:unhideWhenUsed="0" w:uiPriority="0" w:semiHidden="0" w:name="Table Colorful 2" w:locked="1"/>
    <w:lsdException w:qFormat="1" w:unhideWhenUsed="0" w:uiPriority="0" w:semiHidden="0" w:name="Table Colorful 3" w:locked="1"/>
    <w:lsdException w:qFormat="1" w:unhideWhenUsed="0" w:uiPriority="0" w:semiHidden="0" w:name="Table Columns 1" w:locked="1"/>
    <w:lsdException w:qFormat="1" w:unhideWhenUsed="0" w:uiPriority="0" w:semiHidden="0" w:name="Table Columns 2" w:locked="1"/>
    <w:lsdException w:qFormat="1" w:unhideWhenUsed="0" w:uiPriority="0" w:semiHidden="0" w:name="Table Columns 3" w:locked="1"/>
    <w:lsdException w:qFormat="1" w:unhideWhenUsed="0" w:uiPriority="0" w:semiHidden="0" w:name="Table Columns 4" w:locked="1"/>
    <w:lsdException w:qFormat="1" w:unhideWhenUsed="0" w:uiPriority="0" w:semiHidden="0" w:name="Table Columns 5" w:locked="1"/>
    <w:lsdException w:qFormat="1" w:unhideWhenUsed="0" w:uiPriority="0" w:semiHidden="0" w:name="Table Grid 1" w:locked="1"/>
    <w:lsdException w:qFormat="1" w:unhideWhenUsed="0" w:uiPriority="0" w:semiHidden="0" w:name="Table Grid 2" w:locked="1"/>
    <w:lsdException w:qFormat="1" w:unhideWhenUsed="0" w:uiPriority="0" w:semiHidden="0" w:name="Table Grid 3" w:locked="1"/>
    <w:lsdException w:qFormat="1" w:unhideWhenUsed="0" w:uiPriority="0" w:semiHidden="0" w:name="Table Grid 4" w:locked="1"/>
    <w:lsdException w:qFormat="1" w:unhideWhenUsed="0" w:uiPriority="99" w:semiHidden="0" w:name="Table Grid 5" w:locked="1"/>
    <w:lsdException w:qFormat="1" w:unhideWhenUsed="0" w:uiPriority="0" w:semiHidden="0" w:name="Table Grid 6" w:locked="1"/>
    <w:lsdException w:qFormat="1" w:unhideWhenUsed="0" w:uiPriority="0" w:semiHidden="0" w:name="Table Grid 7" w:locked="1"/>
    <w:lsdException w:qFormat="1" w:unhideWhenUsed="0" w:uiPriority="0" w:semiHidden="0" w:name="Table Grid 8" w:locked="1"/>
    <w:lsdException w:qFormat="1" w:unhideWhenUsed="0" w:uiPriority="0" w:semiHidden="0" w:name="Table List 1" w:locked="1"/>
    <w:lsdException w:qFormat="1" w:unhideWhenUsed="0" w:uiPriority="0" w:semiHidden="0" w:name="Table List 2" w:locked="1"/>
    <w:lsdException w:qFormat="1" w:unhideWhenUsed="0" w:uiPriority="0" w:semiHidden="0" w:name="Table List 3" w:locked="1"/>
    <w:lsdException w:qFormat="1" w:unhideWhenUsed="0" w:uiPriority="0" w:semiHidden="0" w:name="Table List 4" w:locked="1"/>
    <w:lsdException w:qFormat="1" w:unhideWhenUsed="0" w:uiPriority="0" w:semiHidden="0" w:name="Table List 5" w:locked="1"/>
    <w:lsdException w:qFormat="1" w:unhideWhenUsed="0" w:uiPriority="0" w:semiHidden="0" w:name="Table List 6" w:locked="1"/>
    <w:lsdException w:qFormat="1" w:unhideWhenUsed="0" w:uiPriority="0" w:semiHidden="0" w:name="Table List 7" w:locked="1"/>
    <w:lsdException w:qFormat="1" w:unhideWhenUsed="0" w:uiPriority="0" w:semiHidden="0" w:name="Table List 8" w:locked="1"/>
    <w:lsdException w:qFormat="1" w:unhideWhenUsed="0" w:uiPriority="0" w:semiHidden="0" w:name="Table 3D effects 1" w:locked="1"/>
    <w:lsdException w:qFormat="1" w:unhideWhenUsed="0" w:uiPriority="0" w:semiHidden="0" w:name="Table 3D effects 2" w:locked="1"/>
    <w:lsdException w:qFormat="1" w:unhideWhenUsed="0" w:uiPriority="0" w:semiHidden="0" w:name="Table 3D effects 3" w:locked="1"/>
    <w:lsdException w:qFormat="1" w:unhideWhenUsed="0" w:uiPriority="0" w:semiHidden="0" w:name="Table Contemporary" w:locked="1"/>
    <w:lsdException w:qFormat="1" w:unhideWhenUsed="0" w:uiPriority="0" w:semiHidden="0" w:name="Table Elegant" w:locked="1"/>
    <w:lsdException w:qFormat="1" w:unhideWhenUsed="0" w:uiPriority="0" w:semiHidden="0" w:name="Table Professional" w:locked="1"/>
    <w:lsdException w:qFormat="1" w:unhideWhenUsed="0" w:uiPriority="0" w:semiHidden="0" w:name="Table Subtle 1" w:locked="1"/>
    <w:lsdException w:qFormat="1" w:unhideWhenUsed="0" w:uiPriority="0" w:semiHidden="0" w:name="Table Subtle 2" w:locked="1"/>
    <w:lsdException w:qFormat="1" w:unhideWhenUsed="0" w:uiPriority="0" w:semiHidden="0" w:name="Table Web 1" w:locked="1"/>
    <w:lsdException w:qFormat="1" w:unhideWhenUsed="0" w:uiPriority="0" w:semiHidden="0" w:name="Table Web 2" w:locked="1"/>
    <w:lsdException w:qFormat="1" w:unhideWhenUsed="0" w:uiPriority="0" w:semiHidden="0" w:name="Table Web 3" w:locked="1"/>
    <w:lsdException w:qFormat="1" w:unhideWhenUsed="0" w:uiPriority="99" w:semiHidden="0" w:name="Balloon Text"/>
    <w:lsdException w:qFormat="1" w:unhideWhenUsed="0" w:uiPriority="0" w:semiHidden="0" w:name="Table Grid"/>
    <w:lsdException w:qFormat="1" w:unhideWhenUsed="0" w:uiPriority="0" w:semiHidden="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93"/>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153"/>
    <w:qFormat/>
    <w:locked/>
    <w:uiPriority w:val="9"/>
    <w:pPr>
      <w:keepNext/>
      <w:keepLines/>
      <w:numPr>
        <w:ilvl w:val="1"/>
        <w:numId w:val="1"/>
      </w:numPr>
      <w:spacing w:line="360" w:lineRule="auto"/>
      <w:ind w:left="0" w:firstLine="200" w:firstLineChars="200"/>
      <w:outlineLvl w:val="1"/>
    </w:pPr>
    <w:rPr>
      <w:rFonts w:ascii="Arial" w:hAnsi="Arial" w:eastAsia="黑体"/>
      <w:b/>
      <w:bCs/>
      <w:sz w:val="28"/>
      <w:szCs w:val="32"/>
      <w:lang w:val="zh-CN"/>
    </w:rPr>
  </w:style>
  <w:style w:type="paragraph" w:styleId="5">
    <w:name w:val="heading 3"/>
    <w:basedOn w:val="1"/>
    <w:next w:val="1"/>
    <w:link w:val="154"/>
    <w:qFormat/>
    <w:locked/>
    <w:uiPriority w:val="9"/>
    <w:pPr>
      <w:keepNext/>
      <w:keepLines/>
      <w:numPr>
        <w:ilvl w:val="2"/>
        <w:numId w:val="1"/>
      </w:numPr>
      <w:spacing w:before="260" w:after="260" w:line="416" w:lineRule="auto"/>
      <w:ind w:left="0" w:firstLine="200" w:firstLineChars="200"/>
      <w:outlineLvl w:val="2"/>
    </w:pPr>
    <w:rPr>
      <w:b/>
      <w:bCs/>
      <w:sz w:val="32"/>
      <w:szCs w:val="32"/>
      <w:lang w:val="zh-CN"/>
    </w:rPr>
  </w:style>
  <w:style w:type="paragraph" w:styleId="6">
    <w:name w:val="heading 4"/>
    <w:basedOn w:val="1"/>
    <w:next w:val="1"/>
    <w:link w:val="155"/>
    <w:qFormat/>
    <w:locked/>
    <w:uiPriority w:val="9"/>
    <w:pPr>
      <w:keepNext/>
      <w:keepLines/>
      <w:numPr>
        <w:ilvl w:val="3"/>
        <w:numId w:val="1"/>
      </w:numPr>
      <w:spacing w:before="280" w:after="290" w:line="374" w:lineRule="auto"/>
      <w:ind w:left="0" w:firstLine="200" w:firstLineChars="200"/>
      <w:outlineLvl w:val="3"/>
    </w:pPr>
    <w:rPr>
      <w:rFonts w:ascii="Arial" w:hAnsi="Arial" w:eastAsia="黑体"/>
      <w:b/>
      <w:sz w:val="28"/>
      <w:szCs w:val="20"/>
      <w:lang w:val="zh-CN"/>
    </w:rPr>
  </w:style>
  <w:style w:type="paragraph" w:styleId="7">
    <w:name w:val="heading 5"/>
    <w:basedOn w:val="1"/>
    <w:next w:val="1"/>
    <w:link w:val="156"/>
    <w:qFormat/>
    <w:locked/>
    <w:uiPriority w:val="9"/>
    <w:pPr>
      <w:widowControl/>
      <w:numPr>
        <w:ilvl w:val="4"/>
        <w:numId w:val="1"/>
      </w:numPr>
      <w:adjustRightInd w:val="0"/>
      <w:snapToGrid w:val="0"/>
      <w:spacing w:before="240" w:after="60" w:line="360" w:lineRule="auto"/>
      <w:ind w:left="0" w:firstLine="200" w:firstLineChars="200"/>
      <w:outlineLvl w:val="4"/>
    </w:pPr>
    <w:rPr>
      <w:b/>
      <w:bCs/>
      <w:i/>
      <w:iCs/>
      <w:kern w:val="0"/>
      <w:sz w:val="26"/>
      <w:szCs w:val="26"/>
      <w:lang w:val="zh-CN" w:eastAsia="en-US" w:bidi="en-US"/>
    </w:rPr>
  </w:style>
  <w:style w:type="paragraph" w:styleId="8">
    <w:name w:val="heading 6"/>
    <w:basedOn w:val="1"/>
    <w:next w:val="1"/>
    <w:link w:val="157"/>
    <w:qFormat/>
    <w:locked/>
    <w:uiPriority w:val="9"/>
    <w:pPr>
      <w:widowControl/>
      <w:numPr>
        <w:ilvl w:val="5"/>
        <w:numId w:val="1"/>
      </w:numPr>
      <w:adjustRightInd w:val="0"/>
      <w:snapToGrid w:val="0"/>
      <w:spacing w:before="240" w:after="60" w:line="360" w:lineRule="auto"/>
      <w:ind w:left="0" w:firstLine="200" w:firstLineChars="200"/>
      <w:outlineLvl w:val="5"/>
    </w:pPr>
    <w:rPr>
      <w:b/>
      <w:bCs/>
      <w:kern w:val="0"/>
      <w:sz w:val="22"/>
      <w:szCs w:val="22"/>
      <w:lang w:val="zh-CN" w:eastAsia="en-US" w:bidi="en-US"/>
    </w:rPr>
  </w:style>
  <w:style w:type="paragraph" w:styleId="9">
    <w:name w:val="heading 7"/>
    <w:basedOn w:val="10"/>
    <w:next w:val="1"/>
    <w:link w:val="160"/>
    <w:qFormat/>
    <w:locked/>
    <w:uiPriority w:val="9"/>
    <w:pPr>
      <w:numPr>
        <w:ilvl w:val="6"/>
        <w:numId w:val="1"/>
      </w:numPr>
      <w:tabs>
        <w:tab w:val="center" w:pos="4153"/>
        <w:tab w:val="right" w:pos="8306"/>
      </w:tabs>
      <w:spacing w:before="240" w:after="60"/>
      <w:ind w:left="0" w:firstLine="200"/>
      <w:jc w:val="left"/>
      <w:outlineLvl w:val="6"/>
    </w:pPr>
    <w:rPr>
      <w:rFonts w:eastAsia="宋体"/>
      <w:b/>
    </w:rPr>
  </w:style>
  <w:style w:type="paragraph" w:styleId="12">
    <w:name w:val="heading 8"/>
    <w:basedOn w:val="1"/>
    <w:next w:val="1"/>
    <w:link w:val="161"/>
    <w:qFormat/>
    <w:locked/>
    <w:uiPriority w:val="9"/>
    <w:pPr>
      <w:widowControl/>
      <w:numPr>
        <w:ilvl w:val="7"/>
        <w:numId w:val="1"/>
      </w:numPr>
      <w:adjustRightInd w:val="0"/>
      <w:snapToGrid w:val="0"/>
      <w:spacing w:before="240" w:after="60" w:line="360" w:lineRule="auto"/>
      <w:ind w:left="0" w:firstLine="200" w:firstLineChars="200"/>
      <w:outlineLvl w:val="7"/>
    </w:pPr>
    <w:rPr>
      <w:i/>
      <w:iCs/>
      <w:kern w:val="0"/>
      <w:sz w:val="24"/>
      <w:lang w:val="zh-CN" w:eastAsia="en-US" w:bidi="en-US"/>
    </w:rPr>
  </w:style>
  <w:style w:type="paragraph" w:styleId="13">
    <w:name w:val="heading 9"/>
    <w:basedOn w:val="1"/>
    <w:next w:val="1"/>
    <w:link w:val="162"/>
    <w:qFormat/>
    <w:locked/>
    <w:uiPriority w:val="9"/>
    <w:pPr>
      <w:keepNext/>
      <w:keepLines/>
      <w:numPr>
        <w:ilvl w:val="8"/>
        <w:numId w:val="1"/>
      </w:numPr>
      <w:spacing w:before="240" w:after="64" w:line="320" w:lineRule="auto"/>
      <w:ind w:left="0" w:firstLine="200" w:firstLineChars="200"/>
      <w:outlineLvl w:val="8"/>
    </w:pPr>
    <w:rPr>
      <w:rFonts w:ascii="Cambria" w:hAnsi="Cambria"/>
      <w:szCs w:val="21"/>
      <w:lang w:val="zh-CN"/>
    </w:rPr>
  </w:style>
  <w:style w:type="character" w:default="1" w:styleId="135">
    <w:name w:val="Default Paragraph Font"/>
    <w:semiHidden/>
    <w:unhideWhenUsed/>
    <w:qFormat/>
    <w:uiPriority w:val="1"/>
  </w:style>
  <w:style w:type="table" w:default="1" w:styleId="90">
    <w:name w:val="Normal Table"/>
    <w:semiHidden/>
    <w:unhideWhenUsed/>
    <w:qFormat/>
    <w:uiPriority w:val="99"/>
    <w:tblPr>
      <w:tblCellMar>
        <w:top w:w="0" w:type="dxa"/>
        <w:left w:w="108" w:type="dxa"/>
        <w:bottom w:w="0" w:type="dxa"/>
        <w:right w:w="108" w:type="dxa"/>
      </w:tblCellMar>
    </w:tblPr>
  </w:style>
  <w:style w:type="paragraph" w:styleId="2">
    <w:name w:val="macro"/>
    <w:link w:val="841"/>
    <w:qFormat/>
    <w:locked/>
    <w:uiPriority w:val="99"/>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pPr>
    <w:rPr>
      <w:rFonts w:ascii="Courier New" w:hAnsi="Courier New" w:eastAsia="宋体" w:cs="Courier New"/>
      <w:kern w:val="2"/>
      <w:sz w:val="24"/>
      <w:szCs w:val="24"/>
      <w:lang w:val="en-US" w:eastAsia="zh-CN" w:bidi="ar-SA"/>
    </w:rPr>
  </w:style>
  <w:style w:type="paragraph" w:customStyle="1" w:styleId="10">
    <w:name w:val="样式4"/>
    <w:basedOn w:val="11"/>
    <w:next w:val="11"/>
    <w:link w:val="159"/>
    <w:qFormat/>
    <w:uiPriority w:val="0"/>
    <w:pPr>
      <w:widowControl/>
      <w:tabs>
        <w:tab w:val="center" w:pos="4153"/>
        <w:tab w:val="right" w:pos="8306"/>
      </w:tabs>
      <w:adjustRightInd w:val="0"/>
      <w:spacing w:line="360" w:lineRule="auto"/>
      <w:ind w:firstLine="200" w:firstLineChars="200"/>
    </w:pPr>
    <w:rPr>
      <w:rFonts w:ascii="隶书" w:eastAsia="隶书"/>
      <w:sz w:val="24"/>
      <w:szCs w:val="15"/>
      <w:lang w:eastAsia="en-US" w:bidi="en-US"/>
    </w:rPr>
  </w:style>
  <w:style w:type="paragraph" w:styleId="11">
    <w:name w:val="header"/>
    <w:basedOn w:val="1"/>
    <w:link w:val="158"/>
    <w:qFormat/>
    <w:uiPriority w:val="99"/>
    <w:pPr>
      <w:pBdr>
        <w:bottom w:val="single" w:color="auto" w:sz="6" w:space="1"/>
      </w:pBdr>
      <w:tabs>
        <w:tab w:val="center" w:pos="4153"/>
        <w:tab w:val="right" w:pos="8306"/>
      </w:tabs>
      <w:snapToGrid w:val="0"/>
      <w:jc w:val="center"/>
    </w:pPr>
    <w:rPr>
      <w:kern w:val="0"/>
      <w:sz w:val="18"/>
      <w:szCs w:val="20"/>
      <w:lang w:val="zh-CN"/>
    </w:rPr>
  </w:style>
  <w:style w:type="paragraph" w:styleId="14">
    <w:name w:val="List 3"/>
    <w:basedOn w:val="1"/>
    <w:qFormat/>
    <w:locked/>
    <w:uiPriority w:val="0"/>
    <w:pPr>
      <w:spacing w:before="60"/>
      <w:ind w:left="1260" w:hanging="420"/>
    </w:pPr>
    <w:rPr>
      <w:rFonts w:ascii="Arial" w:hAnsi="Arial" w:eastAsia="仿宋_GB2312" w:cs="Calibri"/>
      <w:kern w:val="0"/>
      <w:sz w:val="24"/>
      <w:szCs w:val="20"/>
    </w:rPr>
  </w:style>
  <w:style w:type="paragraph" w:styleId="15">
    <w:name w:val="toc 7"/>
    <w:basedOn w:val="1"/>
    <w:next w:val="1"/>
    <w:unhideWhenUsed/>
    <w:qFormat/>
    <w:locked/>
    <w:uiPriority w:val="39"/>
    <w:pPr>
      <w:ind w:left="2520" w:leftChars="1200"/>
    </w:pPr>
    <w:rPr>
      <w:rFonts w:ascii="Calibri" w:hAnsi="Calibri"/>
      <w:szCs w:val="22"/>
    </w:rPr>
  </w:style>
  <w:style w:type="paragraph" w:styleId="16">
    <w:name w:val="List Number 2"/>
    <w:basedOn w:val="1"/>
    <w:qFormat/>
    <w:locked/>
    <w:uiPriority w:val="0"/>
    <w:pPr>
      <w:widowControl/>
      <w:tabs>
        <w:tab w:val="left" w:pos="780"/>
      </w:tabs>
      <w:ind w:left="780" w:hanging="360"/>
      <w:jc w:val="left"/>
    </w:pPr>
    <w:rPr>
      <w:rFonts w:eastAsia="仿宋_GB2312"/>
      <w:sz w:val="28"/>
    </w:rPr>
  </w:style>
  <w:style w:type="paragraph" w:styleId="17">
    <w:name w:val="table of authorities"/>
    <w:basedOn w:val="1"/>
    <w:next w:val="1"/>
    <w:qFormat/>
    <w:locked/>
    <w:uiPriority w:val="0"/>
    <w:pPr>
      <w:adjustRightInd w:val="0"/>
      <w:snapToGrid w:val="0"/>
      <w:spacing w:line="300" w:lineRule="auto"/>
      <w:ind w:left="420" w:leftChars="200"/>
    </w:pPr>
    <w:rPr>
      <w:rFonts w:ascii="仿宋_GB2312" w:hAnsi="Calibri" w:eastAsia="仿宋_GB2312" w:cs="Calibri"/>
      <w:sz w:val="28"/>
    </w:rPr>
  </w:style>
  <w:style w:type="paragraph" w:styleId="18">
    <w:name w:val="Note Heading"/>
    <w:basedOn w:val="1"/>
    <w:next w:val="1"/>
    <w:link w:val="844"/>
    <w:qFormat/>
    <w:locked/>
    <w:uiPriority w:val="0"/>
    <w:pPr>
      <w:spacing w:before="60"/>
      <w:ind w:firstLine="482"/>
      <w:jc w:val="center"/>
    </w:pPr>
    <w:rPr>
      <w:rFonts w:ascii="Calibri" w:hAnsi="Calibri" w:cs="Calibri"/>
      <w:kern w:val="0"/>
      <w:sz w:val="18"/>
    </w:rPr>
  </w:style>
  <w:style w:type="paragraph" w:styleId="19">
    <w:name w:val="List Bullet 4"/>
    <w:basedOn w:val="1"/>
    <w:qFormat/>
    <w:locked/>
    <w:uiPriority w:val="0"/>
    <w:pPr>
      <w:tabs>
        <w:tab w:val="left" w:pos="1620"/>
      </w:tabs>
      <w:spacing w:before="60"/>
      <w:ind w:left="1620" w:leftChars="600" w:hanging="360" w:hangingChars="200"/>
    </w:pPr>
    <w:rPr>
      <w:rFonts w:ascii="Arial" w:hAnsi="Arial" w:eastAsia="仿宋_GB2312" w:cs="Calibri"/>
      <w:kern w:val="0"/>
      <w:sz w:val="24"/>
      <w:szCs w:val="20"/>
    </w:rPr>
  </w:style>
  <w:style w:type="paragraph" w:styleId="20">
    <w:name w:val="index 8"/>
    <w:basedOn w:val="1"/>
    <w:next w:val="1"/>
    <w:qFormat/>
    <w:locked/>
    <w:uiPriority w:val="99"/>
    <w:pPr>
      <w:adjustRightInd w:val="0"/>
      <w:snapToGrid w:val="0"/>
      <w:spacing w:line="300" w:lineRule="auto"/>
      <w:ind w:left="1400" w:leftChars="1400"/>
    </w:pPr>
    <w:rPr>
      <w:rFonts w:ascii="仿宋_GB2312" w:hAnsi="Calibri" w:eastAsia="仿宋_GB2312" w:cs="Calibri"/>
      <w:sz w:val="28"/>
    </w:rPr>
  </w:style>
  <w:style w:type="paragraph" w:styleId="21">
    <w:name w:val="E-mail Signature"/>
    <w:basedOn w:val="1"/>
    <w:link w:val="845"/>
    <w:qFormat/>
    <w:locked/>
    <w:uiPriority w:val="0"/>
    <w:pPr>
      <w:spacing w:before="60"/>
      <w:ind w:firstLine="482"/>
    </w:pPr>
    <w:rPr>
      <w:rFonts w:ascii="Arial" w:hAnsi="Arial" w:eastAsia="仿宋_GB2312" w:cs="Calibri"/>
      <w:kern w:val="0"/>
      <w:sz w:val="24"/>
      <w:szCs w:val="20"/>
    </w:rPr>
  </w:style>
  <w:style w:type="paragraph" w:styleId="22">
    <w:name w:val="List Number"/>
    <w:basedOn w:val="1"/>
    <w:qFormat/>
    <w:locked/>
    <w:uiPriority w:val="0"/>
    <w:pPr>
      <w:widowControl/>
      <w:tabs>
        <w:tab w:val="left" w:pos="360"/>
      </w:tabs>
      <w:adjustRightInd w:val="0"/>
      <w:snapToGrid w:val="0"/>
      <w:spacing w:line="360" w:lineRule="auto"/>
      <w:ind w:left="360" w:hanging="360" w:hangingChars="200"/>
    </w:pPr>
    <w:rPr>
      <w:kern w:val="0"/>
      <w:sz w:val="24"/>
      <w:lang w:eastAsia="en-US" w:bidi="en-US"/>
    </w:rPr>
  </w:style>
  <w:style w:type="paragraph" w:styleId="23">
    <w:name w:val="Normal Indent"/>
    <w:basedOn w:val="1"/>
    <w:next w:val="1"/>
    <w:link w:val="229"/>
    <w:qFormat/>
    <w:locked/>
    <w:uiPriority w:val="0"/>
    <w:pPr>
      <w:adjustRightInd w:val="0"/>
      <w:snapToGrid w:val="0"/>
      <w:spacing w:line="300" w:lineRule="auto"/>
      <w:ind w:firstLine="200" w:firstLineChars="200"/>
    </w:pPr>
    <w:rPr>
      <w:rFonts w:ascii="仿宋_GB2312" w:eastAsia="仿宋_GB2312"/>
      <w:sz w:val="28"/>
      <w:szCs w:val="20"/>
      <w:lang w:val="zh-CN"/>
    </w:rPr>
  </w:style>
  <w:style w:type="paragraph" w:styleId="24">
    <w:name w:val="caption"/>
    <w:basedOn w:val="1"/>
    <w:next w:val="1"/>
    <w:link w:val="183"/>
    <w:unhideWhenUsed/>
    <w:qFormat/>
    <w:locked/>
    <w:uiPriority w:val="0"/>
    <w:rPr>
      <w:rFonts w:ascii="Cambria" w:hAnsi="Cambria" w:eastAsia="黑体"/>
      <w:sz w:val="20"/>
      <w:szCs w:val="20"/>
      <w:lang w:val="zh-CN"/>
    </w:rPr>
  </w:style>
  <w:style w:type="paragraph" w:styleId="25">
    <w:name w:val="index 5"/>
    <w:basedOn w:val="1"/>
    <w:next w:val="1"/>
    <w:qFormat/>
    <w:locked/>
    <w:uiPriority w:val="0"/>
    <w:pPr>
      <w:adjustRightInd w:val="0"/>
      <w:snapToGrid w:val="0"/>
      <w:spacing w:line="300" w:lineRule="auto"/>
      <w:ind w:left="800" w:leftChars="800"/>
    </w:pPr>
    <w:rPr>
      <w:rFonts w:ascii="仿宋_GB2312" w:hAnsi="Calibri" w:eastAsia="仿宋_GB2312" w:cs="Calibri"/>
      <w:sz w:val="28"/>
    </w:rPr>
  </w:style>
  <w:style w:type="paragraph" w:styleId="26">
    <w:name w:val="List Bullet"/>
    <w:basedOn w:val="1"/>
    <w:qFormat/>
    <w:locked/>
    <w:uiPriority w:val="0"/>
    <w:pPr>
      <w:widowControl/>
      <w:adjustRightInd w:val="0"/>
      <w:snapToGrid w:val="0"/>
      <w:spacing w:line="360" w:lineRule="atLeast"/>
      <w:ind w:firstLine="480" w:firstLineChars="200"/>
    </w:pPr>
    <w:rPr>
      <w:kern w:val="0"/>
      <w:sz w:val="24"/>
      <w:lang w:eastAsia="en-US" w:bidi="en-US"/>
    </w:rPr>
  </w:style>
  <w:style w:type="paragraph" w:styleId="27">
    <w:name w:val="envelope address"/>
    <w:basedOn w:val="1"/>
    <w:qFormat/>
    <w:locked/>
    <w:uiPriority w:val="0"/>
    <w:pPr>
      <w:framePr w:w="7920" w:h="1980" w:hRule="exact" w:hSpace="180" w:wrap="around" w:vAnchor="margin" w:hAnchor="page" w:xAlign="center" w:yAlign="bottom"/>
      <w:snapToGrid w:val="0"/>
      <w:spacing w:before="60"/>
      <w:ind w:left="2880" w:firstLine="482"/>
    </w:pPr>
    <w:rPr>
      <w:rFonts w:ascii="Arial" w:hAnsi="Arial" w:eastAsia="仿宋_GB2312" w:cs="Arial"/>
      <w:kern w:val="0"/>
      <w:sz w:val="24"/>
      <w:szCs w:val="20"/>
    </w:rPr>
  </w:style>
  <w:style w:type="paragraph" w:styleId="28">
    <w:name w:val="Document Map"/>
    <w:basedOn w:val="1"/>
    <w:link w:val="181"/>
    <w:qFormat/>
    <w:locked/>
    <w:uiPriority w:val="0"/>
    <w:rPr>
      <w:rFonts w:ascii="宋体"/>
      <w:sz w:val="18"/>
      <w:szCs w:val="18"/>
    </w:rPr>
  </w:style>
  <w:style w:type="paragraph" w:styleId="29">
    <w:name w:val="toa heading"/>
    <w:basedOn w:val="1"/>
    <w:next w:val="1"/>
    <w:link w:val="856"/>
    <w:qFormat/>
    <w:locked/>
    <w:uiPriority w:val="0"/>
    <w:pPr>
      <w:adjustRightInd w:val="0"/>
      <w:snapToGrid w:val="0"/>
      <w:spacing w:before="120" w:line="300" w:lineRule="auto"/>
    </w:pPr>
    <w:rPr>
      <w:rFonts w:ascii="Arial" w:hAnsi="Arial" w:cs="Arial"/>
      <w:sz w:val="24"/>
    </w:rPr>
  </w:style>
  <w:style w:type="paragraph" w:styleId="30">
    <w:name w:val="annotation text"/>
    <w:basedOn w:val="1"/>
    <w:link w:val="165"/>
    <w:qFormat/>
    <w:uiPriority w:val="99"/>
    <w:pPr>
      <w:jc w:val="left"/>
    </w:pPr>
    <w:rPr>
      <w:kern w:val="0"/>
      <w:sz w:val="24"/>
      <w:szCs w:val="20"/>
      <w:lang w:val="zh-CN"/>
    </w:rPr>
  </w:style>
  <w:style w:type="paragraph" w:styleId="31">
    <w:name w:val="index 6"/>
    <w:basedOn w:val="1"/>
    <w:next w:val="1"/>
    <w:qFormat/>
    <w:locked/>
    <w:uiPriority w:val="99"/>
    <w:pPr>
      <w:adjustRightInd w:val="0"/>
      <w:snapToGrid w:val="0"/>
      <w:spacing w:line="300" w:lineRule="auto"/>
      <w:ind w:left="1000" w:leftChars="1000"/>
    </w:pPr>
    <w:rPr>
      <w:rFonts w:ascii="仿宋_GB2312" w:hAnsi="Calibri" w:eastAsia="仿宋_GB2312" w:cs="Calibri"/>
      <w:sz w:val="28"/>
    </w:rPr>
  </w:style>
  <w:style w:type="paragraph" w:styleId="32">
    <w:name w:val="Salutation"/>
    <w:basedOn w:val="1"/>
    <w:next w:val="1"/>
    <w:link w:val="846"/>
    <w:qFormat/>
    <w:locked/>
    <w:uiPriority w:val="0"/>
    <w:pPr>
      <w:spacing w:before="60"/>
      <w:ind w:firstLine="482"/>
    </w:pPr>
    <w:rPr>
      <w:rFonts w:ascii="Arial" w:hAnsi="Arial" w:eastAsia="仿宋_GB2312" w:cs="Calibri"/>
      <w:kern w:val="0"/>
      <w:sz w:val="24"/>
      <w:szCs w:val="20"/>
    </w:rPr>
  </w:style>
  <w:style w:type="paragraph" w:styleId="33">
    <w:name w:val="Body Text 3"/>
    <w:basedOn w:val="1"/>
    <w:link w:val="390"/>
    <w:qFormat/>
    <w:locked/>
    <w:uiPriority w:val="99"/>
    <w:pPr>
      <w:widowControl/>
      <w:jc w:val="center"/>
    </w:pPr>
    <w:rPr>
      <w:rFonts w:ascii="宋体" w:hAnsi="宋体" w:cs="宋体"/>
      <w:b/>
      <w:bCs/>
      <w:kern w:val="0"/>
      <w:sz w:val="24"/>
    </w:rPr>
  </w:style>
  <w:style w:type="paragraph" w:styleId="34">
    <w:name w:val="Closing"/>
    <w:basedOn w:val="1"/>
    <w:link w:val="847"/>
    <w:qFormat/>
    <w:locked/>
    <w:uiPriority w:val="0"/>
    <w:pPr>
      <w:spacing w:before="60"/>
      <w:ind w:left="4320" w:firstLine="482"/>
    </w:pPr>
    <w:rPr>
      <w:rFonts w:ascii="Arial" w:hAnsi="Arial" w:eastAsia="仿宋_GB2312" w:cs="Calibri"/>
      <w:kern w:val="0"/>
      <w:sz w:val="24"/>
      <w:szCs w:val="20"/>
    </w:rPr>
  </w:style>
  <w:style w:type="paragraph" w:styleId="35">
    <w:name w:val="List Bullet 3"/>
    <w:basedOn w:val="1"/>
    <w:qFormat/>
    <w:locked/>
    <w:uiPriority w:val="0"/>
    <w:pPr>
      <w:tabs>
        <w:tab w:val="left" w:pos="1200"/>
      </w:tabs>
      <w:spacing w:before="60"/>
      <w:ind w:left="1200" w:hanging="360"/>
    </w:pPr>
    <w:rPr>
      <w:rFonts w:ascii="Arial" w:hAnsi="Arial" w:eastAsia="仿宋_GB2312" w:cs="Calibri"/>
      <w:kern w:val="0"/>
      <w:sz w:val="24"/>
      <w:szCs w:val="20"/>
    </w:rPr>
  </w:style>
  <w:style w:type="paragraph" w:styleId="36">
    <w:name w:val="Body Text"/>
    <w:basedOn w:val="1"/>
    <w:next w:val="1"/>
    <w:link w:val="173"/>
    <w:qFormat/>
    <w:uiPriority w:val="99"/>
    <w:pPr>
      <w:widowControl/>
      <w:snapToGrid w:val="0"/>
      <w:spacing w:before="60" w:after="160" w:line="259" w:lineRule="auto"/>
      <w:ind w:right="113"/>
    </w:pPr>
    <w:rPr>
      <w:kern w:val="0"/>
      <w:sz w:val="18"/>
      <w:szCs w:val="20"/>
      <w:lang w:val="zh-CN"/>
    </w:rPr>
  </w:style>
  <w:style w:type="paragraph" w:styleId="37">
    <w:name w:val="Body Text Indent"/>
    <w:basedOn w:val="1"/>
    <w:next w:val="1"/>
    <w:link w:val="174"/>
    <w:qFormat/>
    <w:uiPriority w:val="0"/>
    <w:pPr>
      <w:spacing w:after="120"/>
      <w:ind w:left="420" w:leftChars="200"/>
    </w:pPr>
    <w:rPr>
      <w:kern w:val="0"/>
      <w:sz w:val="24"/>
      <w:szCs w:val="20"/>
      <w:lang w:val="zh-CN"/>
    </w:rPr>
  </w:style>
  <w:style w:type="paragraph" w:styleId="38">
    <w:name w:val="List Number 3"/>
    <w:basedOn w:val="1"/>
    <w:qFormat/>
    <w:locked/>
    <w:uiPriority w:val="0"/>
    <w:pPr>
      <w:tabs>
        <w:tab w:val="left" w:pos="1200"/>
      </w:tabs>
      <w:spacing w:before="60"/>
      <w:ind w:left="1200" w:hanging="360"/>
    </w:pPr>
    <w:rPr>
      <w:rFonts w:ascii="Arial" w:hAnsi="Arial" w:eastAsia="仿宋_GB2312" w:cs="Calibri"/>
      <w:kern w:val="0"/>
      <w:sz w:val="24"/>
      <w:szCs w:val="20"/>
    </w:rPr>
  </w:style>
  <w:style w:type="paragraph" w:styleId="39">
    <w:name w:val="List 2"/>
    <w:basedOn w:val="1"/>
    <w:qFormat/>
    <w:locked/>
    <w:uiPriority w:val="0"/>
    <w:pPr>
      <w:spacing w:line="360" w:lineRule="auto"/>
      <w:ind w:left="100" w:leftChars="200" w:hanging="200" w:hangingChars="200"/>
      <w:contextualSpacing/>
    </w:pPr>
    <w:rPr>
      <w:sz w:val="24"/>
      <w:szCs w:val="20"/>
    </w:rPr>
  </w:style>
  <w:style w:type="paragraph" w:styleId="40">
    <w:name w:val="List Continue"/>
    <w:basedOn w:val="1"/>
    <w:qFormat/>
    <w:locked/>
    <w:uiPriority w:val="0"/>
    <w:pPr>
      <w:spacing w:before="60" w:after="120"/>
      <w:ind w:left="420" w:firstLine="482"/>
    </w:pPr>
    <w:rPr>
      <w:rFonts w:ascii="Arial" w:hAnsi="Arial" w:eastAsia="仿宋_GB2312" w:cs="Calibri"/>
      <w:kern w:val="0"/>
      <w:sz w:val="24"/>
      <w:szCs w:val="20"/>
    </w:rPr>
  </w:style>
  <w:style w:type="paragraph" w:styleId="41">
    <w:name w:val="Block Text"/>
    <w:basedOn w:val="1"/>
    <w:qFormat/>
    <w:locked/>
    <w:uiPriority w:val="0"/>
    <w:pPr>
      <w:widowControl/>
      <w:adjustRightInd w:val="0"/>
      <w:snapToGrid w:val="0"/>
      <w:spacing w:after="120" w:line="360" w:lineRule="auto"/>
      <w:ind w:left="1440" w:right="1440" w:firstLine="200" w:firstLineChars="200"/>
    </w:pPr>
    <w:rPr>
      <w:kern w:val="0"/>
      <w:sz w:val="24"/>
      <w:lang w:eastAsia="en-US" w:bidi="en-US"/>
    </w:rPr>
  </w:style>
  <w:style w:type="paragraph" w:styleId="42">
    <w:name w:val="List Bullet 2"/>
    <w:basedOn w:val="1"/>
    <w:qFormat/>
    <w:locked/>
    <w:uiPriority w:val="0"/>
    <w:pPr>
      <w:tabs>
        <w:tab w:val="left" w:pos="780"/>
      </w:tabs>
      <w:spacing w:before="60"/>
      <w:ind w:left="780" w:leftChars="200" w:hanging="360" w:hangingChars="200"/>
    </w:pPr>
    <w:rPr>
      <w:rFonts w:ascii="Arial" w:hAnsi="Arial" w:eastAsia="仿宋_GB2312" w:cs="Calibri"/>
      <w:kern w:val="0"/>
      <w:sz w:val="24"/>
      <w:szCs w:val="20"/>
    </w:rPr>
  </w:style>
  <w:style w:type="paragraph" w:styleId="43">
    <w:name w:val="HTML Address"/>
    <w:basedOn w:val="1"/>
    <w:link w:val="526"/>
    <w:qFormat/>
    <w:locked/>
    <w:uiPriority w:val="0"/>
    <w:pPr>
      <w:spacing w:before="60"/>
      <w:ind w:firstLine="482"/>
    </w:pPr>
    <w:rPr>
      <w:rFonts w:ascii="Arial" w:hAnsi="Arial" w:eastAsia="仿宋_GB2312" w:cstheme="minorBidi"/>
      <w:i/>
      <w:iCs/>
      <w:sz w:val="24"/>
      <w:szCs w:val="22"/>
    </w:rPr>
  </w:style>
  <w:style w:type="paragraph" w:styleId="44">
    <w:name w:val="index 4"/>
    <w:basedOn w:val="1"/>
    <w:next w:val="1"/>
    <w:qFormat/>
    <w:locked/>
    <w:uiPriority w:val="0"/>
    <w:pPr>
      <w:adjustRightInd w:val="0"/>
      <w:snapToGrid w:val="0"/>
      <w:spacing w:line="300" w:lineRule="auto"/>
      <w:ind w:left="600" w:leftChars="600"/>
    </w:pPr>
    <w:rPr>
      <w:rFonts w:ascii="仿宋_GB2312" w:hAnsi="Calibri" w:eastAsia="仿宋_GB2312" w:cs="Calibri"/>
      <w:sz w:val="28"/>
    </w:rPr>
  </w:style>
  <w:style w:type="paragraph" w:styleId="45">
    <w:name w:val="toc 5"/>
    <w:basedOn w:val="1"/>
    <w:next w:val="1"/>
    <w:unhideWhenUsed/>
    <w:qFormat/>
    <w:locked/>
    <w:uiPriority w:val="39"/>
    <w:pPr>
      <w:ind w:left="1680" w:leftChars="800"/>
    </w:pPr>
    <w:rPr>
      <w:rFonts w:ascii="Calibri" w:hAnsi="Calibri"/>
      <w:szCs w:val="22"/>
    </w:rPr>
  </w:style>
  <w:style w:type="paragraph" w:styleId="46">
    <w:name w:val="toc 3"/>
    <w:basedOn w:val="1"/>
    <w:next w:val="1"/>
    <w:qFormat/>
    <w:locked/>
    <w:uiPriority w:val="39"/>
    <w:pPr>
      <w:widowControl/>
      <w:tabs>
        <w:tab w:val="left" w:pos="3220"/>
        <w:tab w:val="left" w:pos="3435"/>
      </w:tabs>
      <w:spacing w:line="360" w:lineRule="auto"/>
      <w:ind w:left="840" w:leftChars="400"/>
      <w:jc w:val="left"/>
    </w:pPr>
    <w:rPr>
      <w:rFonts w:ascii="宋体" w:hAnsi="宋体" w:cs="宋体"/>
      <w:kern w:val="0"/>
      <w:sz w:val="24"/>
    </w:rPr>
  </w:style>
  <w:style w:type="paragraph" w:styleId="47">
    <w:name w:val="Plain Text"/>
    <w:basedOn w:val="1"/>
    <w:next w:val="32"/>
    <w:link w:val="225"/>
    <w:qFormat/>
    <w:locked/>
    <w:uiPriority w:val="99"/>
    <w:pPr>
      <w:spacing w:line="360" w:lineRule="auto"/>
      <w:ind w:firstLine="200" w:firstLineChars="200"/>
    </w:pPr>
    <w:rPr>
      <w:rFonts w:ascii="宋体" w:hAnsi="Courier New"/>
      <w:lang w:val="zh-CN"/>
    </w:rPr>
  </w:style>
  <w:style w:type="paragraph" w:styleId="48">
    <w:name w:val="List Bullet 5"/>
    <w:basedOn w:val="1"/>
    <w:qFormat/>
    <w:locked/>
    <w:uiPriority w:val="0"/>
    <w:pPr>
      <w:numPr>
        <w:ilvl w:val="0"/>
        <w:numId w:val="2"/>
      </w:numPr>
    </w:pPr>
  </w:style>
  <w:style w:type="paragraph" w:styleId="49">
    <w:name w:val="List Number 4"/>
    <w:basedOn w:val="1"/>
    <w:qFormat/>
    <w:locked/>
    <w:uiPriority w:val="0"/>
    <w:pPr>
      <w:tabs>
        <w:tab w:val="left" w:pos="1620"/>
      </w:tabs>
      <w:spacing w:before="60"/>
      <w:ind w:left="1620" w:hanging="360"/>
    </w:pPr>
    <w:rPr>
      <w:rFonts w:ascii="Arial" w:hAnsi="Arial" w:eastAsia="仿宋_GB2312" w:cs="Calibri"/>
      <w:kern w:val="0"/>
      <w:sz w:val="24"/>
      <w:szCs w:val="20"/>
    </w:rPr>
  </w:style>
  <w:style w:type="paragraph" w:styleId="50">
    <w:name w:val="toc 8"/>
    <w:basedOn w:val="1"/>
    <w:next w:val="1"/>
    <w:unhideWhenUsed/>
    <w:qFormat/>
    <w:locked/>
    <w:uiPriority w:val="39"/>
    <w:pPr>
      <w:ind w:left="2940" w:leftChars="1400"/>
    </w:pPr>
    <w:rPr>
      <w:rFonts w:ascii="Calibri" w:hAnsi="Calibri"/>
      <w:szCs w:val="22"/>
    </w:rPr>
  </w:style>
  <w:style w:type="paragraph" w:styleId="51">
    <w:name w:val="index 3"/>
    <w:basedOn w:val="1"/>
    <w:next w:val="1"/>
    <w:qFormat/>
    <w:locked/>
    <w:uiPriority w:val="0"/>
    <w:pPr>
      <w:adjustRightInd w:val="0"/>
      <w:snapToGrid w:val="0"/>
      <w:spacing w:line="300" w:lineRule="auto"/>
      <w:ind w:left="400" w:leftChars="400"/>
    </w:pPr>
    <w:rPr>
      <w:rFonts w:ascii="仿宋_GB2312" w:hAnsi="Calibri" w:eastAsia="仿宋_GB2312" w:cs="Calibri"/>
      <w:sz w:val="28"/>
    </w:rPr>
  </w:style>
  <w:style w:type="paragraph" w:styleId="52">
    <w:name w:val="Date"/>
    <w:basedOn w:val="1"/>
    <w:next w:val="1"/>
    <w:link w:val="170"/>
    <w:qFormat/>
    <w:uiPriority w:val="0"/>
    <w:pPr>
      <w:ind w:left="100" w:leftChars="2500"/>
    </w:pPr>
    <w:rPr>
      <w:kern w:val="0"/>
      <w:sz w:val="24"/>
      <w:szCs w:val="20"/>
      <w:lang w:val="zh-CN"/>
    </w:rPr>
  </w:style>
  <w:style w:type="paragraph" w:styleId="53">
    <w:name w:val="Body Text Indent 2"/>
    <w:basedOn w:val="1"/>
    <w:link w:val="182"/>
    <w:qFormat/>
    <w:locked/>
    <w:uiPriority w:val="0"/>
    <w:pPr>
      <w:spacing w:after="120" w:line="480" w:lineRule="auto"/>
      <w:ind w:left="420" w:leftChars="200"/>
    </w:pPr>
  </w:style>
  <w:style w:type="paragraph" w:styleId="54">
    <w:name w:val="endnote text"/>
    <w:basedOn w:val="1"/>
    <w:link w:val="848"/>
    <w:qFormat/>
    <w:locked/>
    <w:uiPriority w:val="99"/>
    <w:pPr>
      <w:adjustRightInd w:val="0"/>
      <w:snapToGrid w:val="0"/>
      <w:spacing w:line="300" w:lineRule="auto"/>
      <w:jc w:val="left"/>
    </w:pPr>
    <w:rPr>
      <w:rFonts w:ascii="仿宋_GB2312" w:hAnsi="Calibri" w:eastAsia="仿宋_GB2312" w:cs="Calibri"/>
      <w:sz w:val="28"/>
    </w:rPr>
  </w:style>
  <w:style w:type="paragraph" w:styleId="55">
    <w:name w:val="List Continue 5"/>
    <w:basedOn w:val="1"/>
    <w:qFormat/>
    <w:locked/>
    <w:uiPriority w:val="0"/>
    <w:pPr>
      <w:spacing w:before="60" w:after="120"/>
      <w:ind w:left="2100" w:firstLine="482"/>
    </w:pPr>
    <w:rPr>
      <w:rFonts w:ascii="Arial" w:hAnsi="Arial" w:eastAsia="仿宋_GB2312" w:cs="Calibri"/>
      <w:kern w:val="0"/>
      <w:sz w:val="24"/>
      <w:szCs w:val="20"/>
    </w:rPr>
  </w:style>
  <w:style w:type="paragraph" w:styleId="56">
    <w:name w:val="Balloon Text"/>
    <w:basedOn w:val="1"/>
    <w:link w:val="163"/>
    <w:qFormat/>
    <w:uiPriority w:val="99"/>
    <w:rPr>
      <w:kern w:val="0"/>
      <w:sz w:val="18"/>
      <w:szCs w:val="20"/>
      <w:lang w:val="zh-CN"/>
    </w:rPr>
  </w:style>
  <w:style w:type="paragraph" w:styleId="57">
    <w:name w:val="footer"/>
    <w:basedOn w:val="1"/>
    <w:link w:val="172"/>
    <w:qFormat/>
    <w:uiPriority w:val="0"/>
    <w:pPr>
      <w:tabs>
        <w:tab w:val="center" w:pos="4153"/>
        <w:tab w:val="right" w:pos="8306"/>
      </w:tabs>
      <w:snapToGrid w:val="0"/>
      <w:jc w:val="left"/>
    </w:pPr>
    <w:rPr>
      <w:kern w:val="0"/>
      <w:sz w:val="18"/>
      <w:szCs w:val="20"/>
      <w:lang w:val="zh-CN"/>
    </w:rPr>
  </w:style>
  <w:style w:type="paragraph" w:styleId="58">
    <w:name w:val="envelope return"/>
    <w:basedOn w:val="1"/>
    <w:qFormat/>
    <w:locked/>
    <w:uiPriority w:val="0"/>
    <w:pPr>
      <w:snapToGrid w:val="0"/>
      <w:spacing w:before="60"/>
      <w:ind w:firstLine="482"/>
    </w:pPr>
    <w:rPr>
      <w:rFonts w:ascii="Arial" w:hAnsi="Arial" w:eastAsia="仿宋_GB2312" w:cs="Arial"/>
      <w:kern w:val="0"/>
      <w:sz w:val="24"/>
      <w:szCs w:val="20"/>
    </w:rPr>
  </w:style>
  <w:style w:type="paragraph" w:styleId="59">
    <w:name w:val="Signature"/>
    <w:basedOn w:val="1"/>
    <w:link w:val="392"/>
    <w:unhideWhenUsed/>
    <w:qFormat/>
    <w:locked/>
    <w:uiPriority w:val="0"/>
    <w:pPr>
      <w:ind w:left="100" w:leftChars="2100"/>
    </w:pPr>
  </w:style>
  <w:style w:type="paragraph" w:styleId="60">
    <w:name w:val="toc 1"/>
    <w:basedOn w:val="1"/>
    <w:next w:val="1"/>
    <w:link w:val="866"/>
    <w:qFormat/>
    <w:locked/>
    <w:uiPriority w:val="39"/>
    <w:pPr>
      <w:widowControl/>
      <w:tabs>
        <w:tab w:val="right" w:leader="dot" w:pos="8778"/>
      </w:tabs>
      <w:spacing w:line="360" w:lineRule="auto"/>
      <w:jc w:val="left"/>
    </w:pPr>
    <w:rPr>
      <w:rFonts w:ascii="宋体" w:hAnsi="宋体" w:cs="宋体"/>
      <w:b/>
      <w:kern w:val="0"/>
      <w:sz w:val="24"/>
    </w:rPr>
  </w:style>
  <w:style w:type="paragraph" w:styleId="61">
    <w:name w:val="List Continue 4"/>
    <w:basedOn w:val="1"/>
    <w:qFormat/>
    <w:locked/>
    <w:uiPriority w:val="0"/>
    <w:pPr>
      <w:spacing w:before="60" w:after="120"/>
      <w:ind w:left="1680" w:firstLine="482"/>
    </w:pPr>
    <w:rPr>
      <w:rFonts w:ascii="Arial" w:hAnsi="Arial" w:eastAsia="仿宋_GB2312" w:cs="Calibri"/>
      <w:kern w:val="0"/>
      <w:sz w:val="24"/>
      <w:szCs w:val="20"/>
    </w:rPr>
  </w:style>
  <w:style w:type="paragraph" w:styleId="62">
    <w:name w:val="toc 4"/>
    <w:basedOn w:val="1"/>
    <w:next w:val="1"/>
    <w:unhideWhenUsed/>
    <w:qFormat/>
    <w:locked/>
    <w:uiPriority w:val="39"/>
    <w:pPr>
      <w:ind w:left="1260" w:leftChars="600"/>
    </w:pPr>
    <w:rPr>
      <w:rFonts w:ascii="Calibri" w:hAnsi="Calibri"/>
      <w:szCs w:val="22"/>
    </w:rPr>
  </w:style>
  <w:style w:type="paragraph" w:styleId="63">
    <w:name w:val="index heading"/>
    <w:basedOn w:val="1"/>
    <w:next w:val="1"/>
    <w:qFormat/>
    <w:locked/>
    <w:uiPriority w:val="0"/>
    <w:rPr>
      <w:rFonts w:ascii="Calibri" w:hAnsi="Calibri" w:cs="Calibri"/>
    </w:rPr>
  </w:style>
  <w:style w:type="paragraph" w:styleId="64">
    <w:name w:val="Subtitle"/>
    <w:basedOn w:val="65"/>
    <w:next w:val="1"/>
    <w:link w:val="235"/>
    <w:qFormat/>
    <w:locked/>
    <w:uiPriority w:val="11"/>
    <w:pPr>
      <w:outlineLvl w:val="1"/>
    </w:pPr>
    <w:rPr>
      <w:rFonts w:ascii="宋体" w:hAnsi="宋体" w:cs="宋体"/>
    </w:rPr>
  </w:style>
  <w:style w:type="paragraph" w:customStyle="1" w:styleId="65">
    <w:name w:val="样式3"/>
    <w:basedOn w:val="5"/>
    <w:link w:val="1554"/>
    <w:qFormat/>
    <w:uiPriority w:val="0"/>
    <w:pPr>
      <w:keepLines w:val="0"/>
      <w:widowControl/>
      <w:adjustRightInd w:val="0"/>
      <w:snapToGrid w:val="0"/>
      <w:spacing w:before="100" w:beforeAutospacing="1" w:after="100" w:afterAutospacing="1" w:line="360" w:lineRule="auto"/>
    </w:pPr>
    <w:rPr>
      <w:kern w:val="0"/>
      <w:sz w:val="24"/>
      <w:szCs w:val="26"/>
      <w:lang w:eastAsia="en-US" w:bidi="en-US"/>
    </w:rPr>
  </w:style>
  <w:style w:type="paragraph" w:styleId="66">
    <w:name w:val="List Number 5"/>
    <w:basedOn w:val="1"/>
    <w:qFormat/>
    <w:locked/>
    <w:uiPriority w:val="0"/>
    <w:pPr>
      <w:tabs>
        <w:tab w:val="left" w:pos="420"/>
      </w:tabs>
      <w:spacing w:before="60"/>
      <w:ind w:left="420" w:hanging="420"/>
    </w:pPr>
    <w:rPr>
      <w:rFonts w:ascii="Arial" w:hAnsi="Arial" w:eastAsia="仿宋_GB2312" w:cs="Calibri"/>
      <w:kern w:val="0"/>
      <w:sz w:val="24"/>
      <w:szCs w:val="20"/>
    </w:rPr>
  </w:style>
  <w:style w:type="paragraph" w:styleId="67">
    <w:name w:val="List"/>
    <w:basedOn w:val="1"/>
    <w:link w:val="394"/>
    <w:qFormat/>
    <w:locked/>
    <w:uiPriority w:val="99"/>
    <w:pPr>
      <w:spacing w:line="400" w:lineRule="exact"/>
      <w:ind w:firstLine="200" w:firstLineChars="200"/>
      <w:jc w:val="center"/>
    </w:pPr>
    <w:rPr>
      <w:rFonts w:ascii="宋体" w:hAnsi="宋体"/>
      <w:sz w:val="24"/>
      <w:szCs w:val="20"/>
    </w:rPr>
  </w:style>
  <w:style w:type="paragraph" w:styleId="68">
    <w:name w:val="footnote text"/>
    <w:basedOn w:val="1"/>
    <w:link w:val="849"/>
    <w:qFormat/>
    <w:locked/>
    <w:uiPriority w:val="0"/>
    <w:pPr>
      <w:snapToGrid w:val="0"/>
      <w:spacing w:before="60"/>
      <w:ind w:firstLine="482"/>
      <w:jc w:val="left"/>
    </w:pPr>
    <w:rPr>
      <w:rFonts w:ascii="Arial" w:hAnsi="Arial" w:eastAsia="仿宋_GB2312" w:cs="Calibri"/>
      <w:kern w:val="0"/>
      <w:sz w:val="18"/>
      <w:szCs w:val="18"/>
    </w:rPr>
  </w:style>
  <w:style w:type="paragraph" w:styleId="69">
    <w:name w:val="toc 6"/>
    <w:basedOn w:val="1"/>
    <w:next w:val="1"/>
    <w:unhideWhenUsed/>
    <w:qFormat/>
    <w:locked/>
    <w:uiPriority w:val="39"/>
    <w:pPr>
      <w:ind w:left="2100" w:leftChars="1000"/>
    </w:pPr>
    <w:rPr>
      <w:rFonts w:ascii="Calibri" w:hAnsi="Calibri"/>
      <w:szCs w:val="22"/>
    </w:rPr>
  </w:style>
  <w:style w:type="paragraph" w:styleId="70">
    <w:name w:val="List 5"/>
    <w:basedOn w:val="1"/>
    <w:qFormat/>
    <w:locked/>
    <w:uiPriority w:val="0"/>
    <w:pPr>
      <w:spacing w:before="60"/>
      <w:ind w:left="2100" w:hanging="420"/>
    </w:pPr>
    <w:rPr>
      <w:rFonts w:ascii="Arial" w:hAnsi="Arial" w:eastAsia="仿宋_GB2312" w:cs="Calibri"/>
      <w:kern w:val="0"/>
      <w:sz w:val="24"/>
      <w:szCs w:val="20"/>
    </w:rPr>
  </w:style>
  <w:style w:type="paragraph" w:styleId="71">
    <w:name w:val="Body Text Indent 3"/>
    <w:basedOn w:val="1"/>
    <w:link w:val="266"/>
    <w:qFormat/>
    <w:locked/>
    <w:uiPriority w:val="99"/>
    <w:pPr>
      <w:spacing w:after="120" w:line="360" w:lineRule="auto"/>
      <w:ind w:left="420" w:leftChars="200" w:firstLine="200" w:firstLineChars="200"/>
    </w:pPr>
    <w:rPr>
      <w:sz w:val="16"/>
      <w:szCs w:val="20"/>
    </w:rPr>
  </w:style>
  <w:style w:type="paragraph" w:styleId="72">
    <w:name w:val="index 7"/>
    <w:basedOn w:val="1"/>
    <w:next w:val="1"/>
    <w:qFormat/>
    <w:locked/>
    <w:uiPriority w:val="0"/>
    <w:pPr>
      <w:adjustRightInd w:val="0"/>
      <w:snapToGrid w:val="0"/>
      <w:spacing w:line="300" w:lineRule="auto"/>
      <w:ind w:left="1200" w:leftChars="1200"/>
    </w:pPr>
    <w:rPr>
      <w:rFonts w:ascii="仿宋_GB2312" w:hAnsi="Calibri" w:eastAsia="仿宋_GB2312" w:cs="Calibri"/>
      <w:sz w:val="28"/>
    </w:rPr>
  </w:style>
  <w:style w:type="paragraph" w:styleId="73">
    <w:name w:val="index 9"/>
    <w:basedOn w:val="1"/>
    <w:next w:val="1"/>
    <w:qFormat/>
    <w:locked/>
    <w:uiPriority w:val="0"/>
    <w:pPr>
      <w:adjustRightInd w:val="0"/>
      <w:snapToGrid w:val="0"/>
      <w:spacing w:line="300" w:lineRule="auto"/>
      <w:ind w:left="1600" w:leftChars="1600"/>
    </w:pPr>
    <w:rPr>
      <w:rFonts w:ascii="仿宋_GB2312" w:hAnsi="Calibri" w:eastAsia="仿宋_GB2312" w:cs="Calibri"/>
      <w:sz w:val="28"/>
    </w:rPr>
  </w:style>
  <w:style w:type="paragraph" w:styleId="74">
    <w:name w:val="table of figures"/>
    <w:basedOn w:val="1"/>
    <w:next w:val="1"/>
    <w:qFormat/>
    <w:locked/>
    <w:uiPriority w:val="99"/>
    <w:pPr>
      <w:widowControl/>
      <w:adjustRightInd w:val="0"/>
      <w:snapToGrid w:val="0"/>
      <w:spacing w:line="360" w:lineRule="auto"/>
      <w:ind w:left="840" w:hanging="420" w:firstLineChars="200"/>
    </w:pPr>
    <w:rPr>
      <w:kern w:val="0"/>
      <w:sz w:val="24"/>
      <w:lang w:eastAsia="en-US" w:bidi="en-US"/>
    </w:rPr>
  </w:style>
  <w:style w:type="paragraph" w:styleId="75">
    <w:name w:val="toc 2"/>
    <w:basedOn w:val="1"/>
    <w:next w:val="1"/>
    <w:qFormat/>
    <w:locked/>
    <w:uiPriority w:val="39"/>
    <w:pPr>
      <w:widowControl/>
      <w:tabs>
        <w:tab w:val="right" w:leader="dot" w:pos="8800"/>
      </w:tabs>
      <w:spacing w:line="360" w:lineRule="auto"/>
      <w:ind w:left="420" w:leftChars="200" w:right="360"/>
      <w:jc w:val="left"/>
    </w:pPr>
    <w:rPr>
      <w:rFonts w:ascii="宋体" w:hAnsi="宋体" w:cs="宋体"/>
      <w:b/>
      <w:bCs/>
      <w:kern w:val="0"/>
      <w:sz w:val="24"/>
    </w:rPr>
  </w:style>
  <w:style w:type="paragraph" w:styleId="76">
    <w:name w:val="toc 9"/>
    <w:basedOn w:val="1"/>
    <w:next w:val="1"/>
    <w:unhideWhenUsed/>
    <w:qFormat/>
    <w:locked/>
    <w:uiPriority w:val="39"/>
    <w:pPr>
      <w:ind w:left="3360" w:leftChars="1600"/>
    </w:pPr>
    <w:rPr>
      <w:rFonts w:ascii="Calibri" w:hAnsi="Calibri"/>
      <w:szCs w:val="22"/>
    </w:rPr>
  </w:style>
  <w:style w:type="paragraph" w:styleId="77">
    <w:name w:val="Body Text 2"/>
    <w:basedOn w:val="1"/>
    <w:link w:val="230"/>
    <w:qFormat/>
    <w:locked/>
    <w:uiPriority w:val="99"/>
    <w:pPr>
      <w:widowControl/>
      <w:adjustRightInd w:val="0"/>
      <w:snapToGrid w:val="0"/>
      <w:spacing w:line="360" w:lineRule="auto"/>
      <w:ind w:firstLine="200" w:firstLineChars="200"/>
    </w:pPr>
    <w:rPr>
      <w:kern w:val="0"/>
      <w:sz w:val="24"/>
      <w:lang w:val="zh-CN" w:eastAsia="en-US" w:bidi="en-US"/>
    </w:rPr>
  </w:style>
  <w:style w:type="paragraph" w:styleId="78">
    <w:name w:val="List 4"/>
    <w:basedOn w:val="1"/>
    <w:qFormat/>
    <w:locked/>
    <w:uiPriority w:val="0"/>
    <w:pPr>
      <w:spacing w:before="60"/>
      <w:ind w:left="1680" w:hanging="420"/>
    </w:pPr>
    <w:rPr>
      <w:rFonts w:ascii="Arial" w:hAnsi="Arial" w:eastAsia="仿宋_GB2312" w:cs="Calibri"/>
      <w:kern w:val="0"/>
      <w:sz w:val="24"/>
      <w:szCs w:val="20"/>
    </w:rPr>
  </w:style>
  <w:style w:type="paragraph" w:styleId="79">
    <w:name w:val="List Continue 2"/>
    <w:basedOn w:val="1"/>
    <w:qFormat/>
    <w:locked/>
    <w:uiPriority w:val="0"/>
    <w:pPr>
      <w:spacing w:before="60" w:after="120"/>
      <w:ind w:left="840" w:firstLine="482"/>
    </w:pPr>
    <w:rPr>
      <w:rFonts w:ascii="Arial" w:hAnsi="Arial" w:eastAsia="仿宋_GB2312" w:cs="Calibri"/>
      <w:kern w:val="0"/>
      <w:sz w:val="24"/>
      <w:szCs w:val="20"/>
    </w:rPr>
  </w:style>
  <w:style w:type="paragraph" w:styleId="80">
    <w:name w:val="Message Header"/>
    <w:basedOn w:val="1"/>
    <w:link w:val="850"/>
    <w:qFormat/>
    <w:locked/>
    <w:uiPriority w:val="0"/>
    <w:pPr>
      <w:pBdr>
        <w:top w:val="single" w:color="auto" w:sz="6" w:space="1"/>
        <w:left w:val="single" w:color="auto" w:sz="6" w:space="1"/>
        <w:bottom w:val="single" w:color="auto" w:sz="6" w:space="1"/>
        <w:right w:val="single" w:color="auto" w:sz="6" w:space="1"/>
      </w:pBdr>
      <w:shd w:val="pct20" w:color="auto" w:fill="auto"/>
      <w:spacing w:before="60"/>
      <w:ind w:left="1080" w:hanging="1080"/>
    </w:pPr>
    <w:rPr>
      <w:rFonts w:ascii="Arial" w:hAnsi="Arial" w:eastAsia="仿宋_GB2312" w:cs="Calibri"/>
      <w:kern w:val="0"/>
      <w:sz w:val="24"/>
      <w:szCs w:val="20"/>
    </w:rPr>
  </w:style>
  <w:style w:type="paragraph" w:styleId="81">
    <w:name w:val="HTML Preformatted"/>
    <w:basedOn w:val="1"/>
    <w:link w:val="227"/>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200" w:firstLineChars="200"/>
      <w:jc w:val="left"/>
    </w:pPr>
    <w:rPr>
      <w:rFonts w:ascii="黑体" w:hAnsi="Courier New" w:eastAsia="黑体"/>
      <w:kern w:val="0"/>
      <w:sz w:val="20"/>
      <w:szCs w:val="20"/>
      <w:lang w:val="zh-CN"/>
    </w:rPr>
  </w:style>
  <w:style w:type="paragraph" w:styleId="82">
    <w:name w:val="Normal (Web)"/>
    <w:basedOn w:val="1"/>
    <w:link w:val="169"/>
    <w:qFormat/>
    <w:uiPriority w:val="99"/>
    <w:pPr>
      <w:widowControl/>
      <w:spacing w:before="100" w:beforeAutospacing="1" w:after="100" w:afterAutospacing="1"/>
      <w:jc w:val="left"/>
    </w:pPr>
    <w:rPr>
      <w:rFonts w:ascii="宋体" w:hAnsi="宋体"/>
      <w:kern w:val="0"/>
      <w:sz w:val="24"/>
      <w:szCs w:val="20"/>
      <w:lang w:val="zh-CN"/>
    </w:rPr>
  </w:style>
  <w:style w:type="paragraph" w:styleId="83">
    <w:name w:val="List Continue 3"/>
    <w:basedOn w:val="1"/>
    <w:qFormat/>
    <w:locked/>
    <w:uiPriority w:val="0"/>
    <w:pPr>
      <w:spacing w:before="60" w:after="120"/>
      <w:ind w:left="1260" w:firstLine="482"/>
    </w:pPr>
    <w:rPr>
      <w:rFonts w:ascii="Arial" w:hAnsi="Arial" w:eastAsia="仿宋_GB2312" w:cs="Calibri"/>
      <w:kern w:val="0"/>
      <w:sz w:val="24"/>
      <w:szCs w:val="20"/>
    </w:rPr>
  </w:style>
  <w:style w:type="paragraph" w:styleId="84">
    <w:name w:val="index 1"/>
    <w:basedOn w:val="1"/>
    <w:next w:val="1"/>
    <w:qFormat/>
    <w:locked/>
    <w:uiPriority w:val="0"/>
    <w:pPr>
      <w:widowControl/>
      <w:adjustRightInd w:val="0"/>
      <w:snapToGrid w:val="0"/>
      <w:spacing w:line="0" w:lineRule="atLeast"/>
      <w:ind w:firstLine="200" w:firstLineChars="200"/>
      <w:jc w:val="center"/>
    </w:pPr>
    <w:rPr>
      <w:kern w:val="0"/>
      <w:sz w:val="24"/>
      <w:lang w:eastAsia="en-US" w:bidi="en-US"/>
    </w:rPr>
  </w:style>
  <w:style w:type="paragraph" w:styleId="85">
    <w:name w:val="index 2"/>
    <w:basedOn w:val="1"/>
    <w:next w:val="1"/>
    <w:qFormat/>
    <w:locked/>
    <w:uiPriority w:val="0"/>
    <w:pPr>
      <w:adjustRightInd w:val="0"/>
      <w:snapToGrid w:val="0"/>
      <w:spacing w:line="300" w:lineRule="auto"/>
      <w:ind w:left="200" w:leftChars="200"/>
    </w:pPr>
    <w:rPr>
      <w:rFonts w:ascii="仿宋_GB2312" w:hAnsi="Calibri" w:eastAsia="仿宋_GB2312" w:cs="Calibri"/>
      <w:sz w:val="28"/>
    </w:rPr>
  </w:style>
  <w:style w:type="paragraph" w:styleId="86">
    <w:name w:val="Title"/>
    <w:basedOn w:val="1"/>
    <w:next w:val="1"/>
    <w:link w:val="198"/>
    <w:qFormat/>
    <w:locked/>
    <w:uiPriority w:val="10"/>
    <w:pPr>
      <w:widowControl/>
      <w:adjustRightInd w:val="0"/>
      <w:snapToGrid w:val="0"/>
      <w:spacing w:before="240" w:after="60" w:line="360" w:lineRule="auto"/>
      <w:ind w:firstLine="200" w:firstLineChars="200"/>
      <w:jc w:val="center"/>
      <w:outlineLvl w:val="0"/>
    </w:pPr>
    <w:rPr>
      <w:rFonts w:ascii="Cambria" w:hAnsi="Cambria" w:cs="Arial"/>
      <w:b/>
      <w:bCs/>
      <w:kern w:val="28"/>
      <w:sz w:val="32"/>
      <w:szCs w:val="32"/>
      <w:lang w:val="zh-CN" w:eastAsia="en-US" w:bidi="en-US"/>
    </w:rPr>
  </w:style>
  <w:style w:type="paragraph" w:styleId="87">
    <w:name w:val="annotation subject"/>
    <w:basedOn w:val="30"/>
    <w:next w:val="30"/>
    <w:link w:val="175"/>
    <w:qFormat/>
    <w:uiPriority w:val="99"/>
    <w:rPr>
      <w:b/>
      <w:kern w:val="2"/>
    </w:rPr>
  </w:style>
  <w:style w:type="paragraph" w:styleId="88">
    <w:name w:val="Body Text First Indent"/>
    <w:basedOn w:val="36"/>
    <w:link w:val="389"/>
    <w:qFormat/>
    <w:locked/>
    <w:uiPriority w:val="99"/>
    <w:pPr>
      <w:snapToGrid/>
      <w:spacing w:before="0" w:after="120" w:line="240" w:lineRule="auto"/>
      <w:ind w:right="0" w:firstLine="420" w:firstLineChars="100"/>
      <w:jc w:val="left"/>
    </w:pPr>
    <w:rPr>
      <w:rFonts w:ascii="宋体" w:hAnsi="宋体" w:cs="宋体"/>
      <w:sz w:val="28"/>
      <w:lang w:val="en-US"/>
    </w:rPr>
  </w:style>
  <w:style w:type="paragraph" w:styleId="89">
    <w:name w:val="Body Text First Indent 2"/>
    <w:basedOn w:val="1"/>
    <w:next w:val="1"/>
    <w:link w:val="830"/>
    <w:unhideWhenUsed/>
    <w:qFormat/>
    <w:locked/>
    <w:uiPriority w:val="99"/>
    <w:pPr>
      <w:adjustRightInd w:val="0"/>
      <w:snapToGrid w:val="0"/>
      <w:spacing w:line="300" w:lineRule="auto"/>
      <w:ind w:firstLine="420" w:firstLineChars="200"/>
    </w:pPr>
    <w:rPr>
      <w:rFonts w:eastAsia="仿宋"/>
      <w:kern w:val="2"/>
      <w:sz w:val="28"/>
      <w:szCs w:val="28"/>
      <w:lang w:val="en-US"/>
    </w:rPr>
  </w:style>
  <w:style w:type="table" w:styleId="91">
    <w:name w:val="Table Grid"/>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Theme"/>
    <w:basedOn w:val="90"/>
    <w:qFormat/>
    <w:locked/>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3">
    <w:name w:val="Table Colorful 1"/>
    <w:basedOn w:val="90"/>
    <w:qFormat/>
    <w:locked/>
    <w:uiPriority w:val="0"/>
    <w:pPr>
      <w:widowControl w:val="0"/>
      <w:spacing w:line="500" w:lineRule="exact"/>
      <w:jc w:val="both"/>
    </w:pPr>
    <w:rPr>
      <w:rFonts w:cs="Calibri"/>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4">
    <w:name w:val="Table Colorful 2"/>
    <w:basedOn w:val="90"/>
    <w:qFormat/>
    <w:locked/>
    <w:uiPriority w:val="0"/>
    <w:pPr>
      <w:widowControl w:val="0"/>
      <w:spacing w:line="500" w:lineRule="exact"/>
      <w:jc w:val="both"/>
    </w:pPr>
    <w:rPr>
      <w:rFonts w:cs="Calibri"/>
    </w:r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5">
    <w:name w:val="Table Colorful 3"/>
    <w:basedOn w:val="90"/>
    <w:qFormat/>
    <w:locked/>
    <w:uiPriority w:val="0"/>
    <w:pPr>
      <w:widowControl w:val="0"/>
      <w:spacing w:line="500" w:lineRule="exact"/>
      <w:jc w:val="both"/>
    </w:pPr>
    <w:rPr>
      <w:rFonts w:cs="Calibri"/>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nil"/>
          <w:bottom w:val="single" w:color="000000" w:sz="6" w:space="0"/>
          <w:right w:val="nil"/>
          <w:insideH w:val="nil"/>
          <w:insideV w:val="nil"/>
          <w:tl2br w:val="nil"/>
          <w:tr2bl w:val="nil"/>
        </w:tcBorders>
        <w:shd w:val="solid" w:color="008080" w:fill="FFFFFF"/>
      </w:tcPr>
    </w:tblStylePr>
    <w:tblStylePr w:type="firstCol">
      <w:tblPr/>
      <w:tcPr>
        <w:tcBorders>
          <w:top w:val="nil"/>
          <w:left w:val="single" w:color="000000" w:sz="36" w:space="0"/>
          <w:bottom w:val="nil"/>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6">
    <w:name w:val="Table Elegant"/>
    <w:basedOn w:val="90"/>
    <w:qFormat/>
    <w:locked/>
    <w:uiPriority w:val="0"/>
    <w:pPr>
      <w:widowControl w:val="0"/>
      <w:spacing w:line="500" w:lineRule="exact"/>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7">
    <w:name w:val="Table Classic 1"/>
    <w:basedOn w:val="90"/>
    <w:qFormat/>
    <w:locked/>
    <w:uiPriority w:val="0"/>
    <w:pPr>
      <w:widowControl w:val="0"/>
      <w:spacing w:line="500" w:lineRule="exact"/>
      <w:jc w:val="both"/>
    </w:pPr>
    <w:rPr>
      <w:rFonts w:cs="Calibri"/>
    </w:rPr>
    <w:tblPr>
      <w:tblBorders>
        <w:top w:val="single" w:color="000000" w:sz="12" w:space="0"/>
        <w:bottom w:val="single" w:color="000000" w:sz="12" w:space="0"/>
      </w:tblBorders>
    </w:tblPr>
    <w:tcPr>
      <w:shd w:val="clear" w:color="auto" w:fill="auto"/>
    </w:tcPr>
    <w:tblStylePr w:type="firstRow">
      <w:rPr>
        <w:i/>
        <w:i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Classic 2"/>
    <w:basedOn w:val="90"/>
    <w:qFormat/>
    <w:locked/>
    <w:uiPriority w:val="0"/>
    <w:pPr>
      <w:widowControl w:val="0"/>
      <w:spacing w:line="500" w:lineRule="exact"/>
      <w:jc w:val="both"/>
    </w:pPr>
    <w:rPr>
      <w:rFonts w:cs="Calibri"/>
    </w:rPr>
    <w:tblPr>
      <w:tblBorders>
        <w:top w:val="single" w:color="000000" w:sz="12" w:space="0"/>
        <w:bottom w:val="single" w:color="000000" w:sz="12" w:space="0"/>
      </w:tblBorders>
    </w:tblPr>
    <w:tcPr>
      <w:shd w:val="clear" w:color="auto" w:fill="auto"/>
    </w:tcPr>
    <w:tblStylePr w:type="firstRow">
      <w:rPr>
        <w:color w:val="FFFFFF"/>
      </w:rPr>
      <w:tblPr/>
      <w:tcPr>
        <w:tcBorders>
          <w:top w:val="nil"/>
          <w:left w:val="nil"/>
          <w:bottom w:val="single" w:color="000000" w:sz="6" w:space="0"/>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9">
    <w:name w:val="Table Classic 3"/>
    <w:basedOn w:val="90"/>
    <w:qFormat/>
    <w:locked/>
    <w:uiPriority w:val="0"/>
    <w:pPr>
      <w:widowControl w:val="0"/>
      <w:spacing w:line="500" w:lineRule="exact"/>
      <w:jc w:val="both"/>
    </w:pPr>
    <w:rPr>
      <w:rFonts w:cs="Calibri"/>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nil"/>
          <w:bottom w:val="single" w:color="000000" w:sz="6" w:space="0"/>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100">
    <w:name w:val="Table Classic 4"/>
    <w:basedOn w:val="90"/>
    <w:qFormat/>
    <w:locked/>
    <w:uiPriority w:val="0"/>
    <w:pPr>
      <w:widowControl w:val="0"/>
      <w:spacing w:line="500" w:lineRule="exact"/>
      <w:jc w:val="both"/>
    </w:pPr>
    <w:rPr>
      <w:rFonts w:cs="Calibri"/>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nil"/>
          <w:bottom w:val="single" w:color="000000" w:sz="6" w:space="0"/>
          <w:right w:val="nil"/>
          <w:insideH w:val="nil"/>
          <w:insideV w:val="nil"/>
          <w:tl2br w:val="nil"/>
          <w:tr2bl w:val="nil"/>
        </w:tcBorders>
        <w:shd w:val="pct50" w:color="000080" w:fill="FFFFFF"/>
      </w:tcPr>
    </w:tblStylePr>
    <w:tblStylePr w:type="lastRow">
      <w:rPr>
        <w:color w:val="000080"/>
      </w:rPr>
      <w:tblPr/>
      <w:tcPr>
        <w:tcBorders>
          <w:top w:val="nil"/>
          <w:left w:val="nil"/>
          <w:bottom w:val="single" w:color="000000" w:sz="6" w:space="0"/>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1">
    <w:name w:val="Table Simple 1"/>
    <w:basedOn w:val="90"/>
    <w:qFormat/>
    <w:locked/>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blPr/>
      <w:tcPr>
        <w:tcBorders>
          <w:top w:val="nil"/>
          <w:left w:val="nil"/>
          <w:bottom w:val="single" w:color="008000" w:sz="6" w:space="0"/>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102">
    <w:name w:val="Table Simple 2"/>
    <w:basedOn w:val="90"/>
    <w:qFormat/>
    <w:locked/>
    <w:uiPriority w:val="0"/>
    <w:pPr>
      <w:widowControl w:val="0"/>
      <w:jc w:val="both"/>
    </w:pPr>
    <w:rPr>
      <w:rFonts w:cs="Calibri"/>
    </w:rPr>
    <w:tblPr/>
    <w:tblStylePr w:type="firstRow">
      <w:rPr>
        <w:b/>
        <w:bCs/>
      </w:rPr>
      <w:tblPr/>
      <w:tcPr>
        <w:tcBorders>
          <w:top w:val="nil"/>
          <w:left w:val="nil"/>
          <w:bottom w:val="single" w:color="000000" w:sz="12" w:space="0"/>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single" w:color="000000" w:sz="6" w:space="0"/>
          <w:bottom w:val="nil"/>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Simple 3"/>
    <w:basedOn w:val="90"/>
    <w:qFormat/>
    <w:locked/>
    <w:uiPriority w:val="0"/>
    <w:pPr>
      <w:widowControl w:val="0"/>
      <w:spacing w:line="500" w:lineRule="exact"/>
      <w:jc w:val="both"/>
    </w:pPr>
    <w:rPr>
      <w:rFonts w:cs="Calibri"/>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104">
    <w:name w:val="Table Subtle 1"/>
    <w:basedOn w:val="90"/>
    <w:qFormat/>
    <w:locked/>
    <w:uiPriority w:val="0"/>
    <w:pPr>
      <w:widowControl w:val="0"/>
      <w:spacing w:line="500" w:lineRule="exact"/>
      <w:jc w:val="both"/>
    </w:pPr>
    <w:rPr>
      <w:rFonts w:cs="Calibri"/>
    </w:rPr>
    <w:tblPr>
      <w:tblStyleRowBandSize w:val="1"/>
    </w:tblPr>
    <w:tblStylePr w:type="firstRow">
      <w:tblPr/>
      <w:tcPr>
        <w:tcBorders>
          <w:top w:val="single" w:color="000000" w:sz="6" w:space="0"/>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single" w:color="000000" w:sz="12" w:space="0"/>
          <w:bottom w:val="nil"/>
          <w:right w:val="nil"/>
          <w:insideH w:val="nil"/>
          <w:insideV w:val="nil"/>
          <w:tl2br w:val="nil"/>
          <w:tr2bl w:val="nil"/>
        </w:tcBorders>
      </w:tcPr>
    </w:tblStylePr>
    <w:tblStylePr w:type="band1Horz">
      <w:tblPr/>
      <w:tcPr>
        <w:tcBorders>
          <w:top w:val="nil"/>
          <w:left w:val="nil"/>
          <w:bottom w:val="single" w:color="000000" w:sz="6"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Subtle 2"/>
    <w:basedOn w:val="90"/>
    <w:qFormat/>
    <w:locked/>
    <w:uiPriority w:val="0"/>
    <w:pPr>
      <w:widowControl w:val="0"/>
      <w:spacing w:line="500" w:lineRule="exact"/>
      <w:jc w:val="both"/>
    </w:pPr>
    <w:rPr>
      <w:rFonts w:cs="Calibri"/>
    </w:rPr>
    <w:tblPr>
      <w:tblBorders>
        <w:left w:val="single" w:color="000000" w:sz="6" w:space="0"/>
        <w:right w:val="single" w:color="000000" w:sz="6" w:space="0"/>
      </w:tblBorders>
    </w:tblPr>
    <w:tblStylePr w:type="firstRow">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single" w:color="000000" w:sz="12"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3D effects 1"/>
    <w:basedOn w:val="90"/>
    <w:qFormat/>
    <w:locked/>
    <w:uiPriority w:val="0"/>
    <w:pPr>
      <w:widowControl w:val="0"/>
      <w:spacing w:line="500" w:lineRule="exact"/>
      <w:jc w:val="both"/>
    </w:pPr>
    <w:rPr>
      <w:rFonts w:cs="Calibri"/>
    </w:rPr>
    <w:tblPr/>
    <w:tcPr>
      <w:shd w:val="solid" w:color="C0C0C0" w:fill="FFFFFF"/>
    </w:tcPr>
    <w:tblStylePr w:type="firstRow">
      <w:rPr>
        <w:b/>
        <w:bCs/>
        <w:color w:val="800080"/>
      </w:rPr>
      <w:tblPr/>
      <w:tcPr>
        <w:tcBorders>
          <w:top w:val="nil"/>
          <w:left w:val="nil"/>
          <w:bottom w:val="single" w:color="808080" w:sz="6" w:space="0"/>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single" w:color="FFFFFF" w:sz="6" w:space="0"/>
          <w:bottom w:val="nil"/>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7">
    <w:name w:val="Table 3D effects 2"/>
    <w:basedOn w:val="90"/>
    <w:qFormat/>
    <w:locked/>
    <w:uiPriority w:val="0"/>
    <w:pPr>
      <w:widowControl w:val="0"/>
      <w:spacing w:line="500" w:lineRule="exact"/>
      <w:jc w:val="both"/>
    </w:pPr>
    <w:rPr>
      <w:rFonts w:cs="Calibri"/>
    </w:r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8">
    <w:name w:val="Table 3D effects 3"/>
    <w:basedOn w:val="90"/>
    <w:qFormat/>
    <w:locked/>
    <w:uiPriority w:val="0"/>
    <w:pPr>
      <w:widowControl w:val="0"/>
      <w:spacing w:line="500" w:lineRule="exact"/>
      <w:jc w:val="both"/>
    </w:pPr>
    <w:rPr>
      <w:rFonts w:cs="Calibri"/>
    </w:r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nil"/>
          <w:bottom w:val="single" w:color="FFFFFF" w:sz="6" w:space="0"/>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9">
    <w:name w:val="Table List 1"/>
    <w:basedOn w:val="90"/>
    <w:qFormat/>
    <w:locked/>
    <w:uiPriority w:val="0"/>
    <w:pPr>
      <w:widowControl w:val="0"/>
      <w:spacing w:line="500" w:lineRule="exact"/>
      <w:jc w:val="both"/>
    </w:pPr>
    <w:rPr>
      <w:rFonts w:cs="Calibri"/>
    </w:r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nil"/>
          <w:bottom w:val="single" w:color="000000" w:sz="6" w:space="0"/>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0">
    <w:name w:val="Table List 2"/>
    <w:basedOn w:val="90"/>
    <w:qFormat/>
    <w:locked/>
    <w:uiPriority w:val="0"/>
    <w:pPr>
      <w:widowControl w:val="0"/>
      <w:spacing w:line="500" w:lineRule="exact"/>
      <w:jc w:val="both"/>
    </w:pPr>
    <w:rPr>
      <w:rFonts w:cs="Calibri"/>
    </w:rPr>
    <w:tblPr>
      <w:tblBorders>
        <w:bottom w:val="single" w:color="808080" w:sz="12" w:space="0"/>
      </w:tblBorders>
    </w:tblPr>
    <w:tblStylePr w:type="firstRow">
      <w:rPr>
        <w:b/>
        <w:bCs/>
        <w:color w:val="FFFFFF"/>
      </w:rPr>
      <w:tblPr/>
      <w:tcPr>
        <w:tcBorders>
          <w:top w:val="nil"/>
          <w:left w:val="nil"/>
          <w:bottom w:val="single" w:color="000000" w:sz="6" w:space="0"/>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1">
    <w:name w:val="Table List 3"/>
    <w:basedOn w:val="90"/>
    <w:qFormat/>
    <w:locked/>
    <w:uiPriority w:val="0"/>
    <w:pPr>
      <w:widowControl w:val="0"/>
      <w:spacing w:line="500" w:lineRule="exact"/>
      <w:jc w:val="both"/>
    </w:pPr>
    <w:rPr>
      <w:rFonts w:cs="Calibri"/>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nil"/>
          <w:bottom w:val="single" w:color="000000" w:sz="12" w:space="0"/>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12">
    <w:name w:val="Table List 4"/>
    <w:basedOn w:val="90"/>
    <w:qFormat/>
    <w:locked/>
    <w:uiPriority w:val="0"/>
    <w:pPr>
      <w:widowControl w:val="0"/>
      <w:spacing w:line="500" w:lineRule="exact"/>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nil"/>
          <w:bottom w:val="single" w:color="000000" w:sz="12" w:space="0"/>
          <w:right w:val="nil"/>
          <w:insideH w:val="nil"/>
          <w:insideV w:val="nil"/>
          <w:tl2br w:val="nil"/>
          <w:tr2bl w:val="nil"/>
        </w:tcBorders>
        <w:shd w:val="solid" w:color="808080" w:fill="FFFFFF"/>
      </w:tcPr>
    </w:tblStylePr>
  </w:style>
  <w:style w:type="table" w:styleId="113">
    <w:name w:val="Table List 5"/>
    <w:basedOn w:val="90"/>
    <w:qFormat/>
    <w:locked/>
    <w:uiPriority w:val="0"/>
    <w:pPr>
      <w:widowControl w:val="0"/>
      <w:spacing w:line="500" w:lineRule="exact"/>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14">
    <w:name w:val="Table List 6"/>
    <w:basedOn w:val="90"/>
    <w:qFormat/>
    <w:locked/>
    <w:uiPriority w:val="0"/>
    <w:pPr>
      <w:widowControl w:val="0"/>
      <w:spacing w:line="500" w:lineRule="exact"/>
      <w:jc w:val="both"/>
    </w:pPr>
    <w:rPr>
      <w:rFonts w:cs="Calibri"/>
    </w:r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nil"/>
          <w:bottom w:val="single" w:color="000000" w:sz="12" w:space="0"/>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5">
    <w:name w:val="Table List 7"/>
    <w:basedOn w:val="90"/>
    <w:qFormat/>
    <w:locked/>
    <w:uiPriority w:val="0"/>
    <w:pPr>
      <w:widowControl w:val="0"/>
      <w:spacing w:line="500" w:lineRule="exact"/>
      <w:jc w:val="both"/>
    </w:pPr>
    <w:rPr>
      <w:rFonts w:cs="Calibri"/>
    </w:r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nil"/>
          <w:bottom w:val="single" w:color="008000" w:sz="12" w:space="0"/>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6">
    <w:name w:val="Table List 8"/>
    <w:basedOn w:val="90"/>
    <w:qFormat/>
    <w:locked/>
    <w:uiPriority w:val="0"/>
    <w:pPr>
      <w:widowControl w:val="0"/>
      <w:spacing w:line="500" w:lineRule="exact"/>
      <w:jc w:val="both"/>
    </w:pPr>
    <w:rPr>
      <w:rFonts w:cs="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nil"/>
          <w:bottom w:val="single" w:color="000000" w:sz="6" w:space="0"/>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7">
    <w:name w:val="Table Contemporary"/>
    <w:basedOn w:val="90"/>
    <w:qFormat/>
    <w:locked/>
    <w:uiPriority w:val="0"/>
    <w:pPr>
      <w:widowControl w:val="0"/>
      <w:spacing w:line="500" w:lineRule="exact"/>
      <w:jc w:val="both"/>
    </w:pPr>
    <w:rPr>
      <w:rFonts w:cs="Calibri"/>
    </w:r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8">
    <w:name w:val="Table Columns 1"/>
    <w:basedOn w:val="90"/>
    <w:qFormat/>
    <w:locked/>
    <w:uiPriority w:val="0"/>
    <w:pPr>
      <w:widowControl w:val="0"/>
      <w:spacing w:line="500" w:lineRule="exact"/>
      <w:jc w:val="both"/>
    </w:pPr>
    <w:rPr>
      <w:rFonts w:cs="Calibri"/>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nil"/>
          <w:bottom w:val="double" w:color="000000" w:sz="6" w:space="0"/>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9">
    <w:name w:val="Table Columns 2"/>
    <w:basedOn w:val="90"/>
    <w:qFormat/>
    <w:locked/>
    <w:uiPriority w:val="0"/>
    <w:pPr>
      <w:widowControl w:val="0"/>
      <w:spacing w:line="500" w:lineRule="exact"/>
      <w:jc w:val="both"/>
    </w:pPr>
    <w:rPr>
      <w:rFonts w:cs="Calibri"/>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20">
    <w:name w:val="Table Columns 3"/>
    <w:basedOn w:val="90"/>
    <w:qFormat/>
    <w:locked/>
    <w:uiPriority w:val="0"/>
    <w:pPr>
      <w:widowControl w:val="0"/>
      <w:spacing w:line="500" w:lineRule="exact"/>
      <w:jc w:val="both"/>
    </w:pPr>
    <w:rPr>
      <w:rFonts w:cs="Calibri"/>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21">
    <w:name w:val="Table Columns 4"/>
    <w:basedOn w:val="90"/>
    <w:qFormat/>
    <w:locked/>
    <w:uiPriority w:val="0"/>
    <w:pPr>
      <w:widowControl w:val="0"/>
      <w:spacing w:line="500" w:lineRule="exact"/>
      <w:jc w:val="both"/>
    </w:pPr>
    <w:rPr>
      <w:rFonts w:cs="Calibri"/>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2">
    <w:name w:val="Table Columns 5"/>
    <w:basedOn w:val="90"/>
    <w:qFormat/>
    <w:locked/>
    <w:uiPriority w:val="0"/>
    <w:pPr>
      <w:widowControl w:val="0"/>
      <w:spacing w:line="500" w:lineRule="exact"/>
      <w:jc w:val="both"/>
    </w:pPr>
    <w:rPr>
      <w:rFonts w:cs="Calibri"/>
    </w:r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nil"/>
          <w:bottom w:val="single" w:color="808080" w:sz="6" w:space="0"/>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3">
    <w:name w:val="Table Grid 1"/>
    <w:basedOn w:val="90"/>
    <w:qFormat/>
    <w:locked/>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2"/>
    <w:basedOn w:val="90"/>
    <w:qFormat/>
    <w:locked/>
    <w:uiPriority w:val="0"/>
    <w:pPr>
      <w:widowControl w:val="0"/>
      <w:spacing w:line="500" w:lineRule="exact"/>
      <w:jc w:val="both"/>
    </w:pPr>
    <w:rPr>
      <w:rFonts w:cs="Calibri"/>
    </w:r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5">
    <w:name w:val="Table Grid 3"/>
    <w:basedOn w:val="90"/>
    <w:qFormat/>
    <w:locked/>
    <w:uiPriority w:val="0"/>
    <w:pPr>
      <w:widowControl w:val="0"/>
      <w:spacing w:line="500" w:lineRule="exact"/>
      <w:jc w:val="both"/>
    </w:pPr>
    <w:rPr>
      <w:rFonts w:cs="Calibri"/>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6">
    <w:name w:val="Table Grid 4"/>
    <w:basedOn w:val="90"/>
    <w:qFormat/>
    <w:locked/>
    <w:uiPriority w:val="0"/>
    <w:pPr>
      <w:widowControl w:val="0"/>
      <w:spacing w:line="500" w:lineRule="exact"/>
      <w:jc w:val="both"/>
    </w:pPr>
    <w:rPr>
      <w:rFonts w:cs="Calibri"/>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nil"/>
          <w:bottom w:val="single" w:color="000000" w:sz="6" w:space="0"/>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7">
    <w:name w:val="Table Grid 5"/>
    <w:basedOn w:val="90"/>
    <w:qFormat/>
    <w:locked/>
    <w:uiPriority w:val="99"/>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8">
    <w:name w:val="Table Grid 6"/>
    <w:basedOn w:val="90"/>
    <w:qFormat/>
    <w:locked/>
    <w:uiPriority w:val="0"/>
    <w:pPr>
      <w:widowControl w:val="0"/>
      <w:spacing w:line="500" w:lineRule="exact"/>
      <w:jc w:val="both"/>
    </w:pPr>
    <w:rPr>
      <w:rFonts w:cs="Calibri"/>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nil"/>
          <w:bottom w:val="single" w:color="000000" w:sz="6" w:space="0"/>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9">
    <w:name w:val="Table Grid 7"/>
    <w:basedOn w:val="90"/>
    <w:qFormat/>
    <w:locked/>
    <w:uiPriority w:val="0"/>
    <w:pPr>
      <w:widowControl w:val="0"/>
      <w:spacing w:line="500" w:lineRule="exact"/>
      <w:jc w:val="both"/>
    </w:pPr>
    <w:rPr>
      <w:rFonts w:cs="Calibri"/>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nil"/>
          <w:bottom w:val="single" w:color="000000" w:sz="12" w:space="0"/>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30">
    <w:name w:val="Table Grid 8"/>
    <w:basedOn w:val="90"/>
    <w:qFormat/>
    <w:locked/>
    <w:uiPriority w:val="0"/>
    <w:pPr>
      <w:widowControl w:val="0"/>
      <w:spacing w:line="500" w:lineRule="exact"/>
      <w:jc w:val="both"/>
    </w:pPr>
    <w:rPr>
      <w:rFonts w:cs="Calibri"/>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31">
    <w:name w:val="Table Web 1"/>
    <w:basedOn w:val="90"/>
    <w:qFormat/>
    <w:locked/>
    <w:uiPriority w:val="0"/>
    <w:pPr>
      <w:widowControl w:val="0"/>
      <w:spacing w:line="500" w:lineRule="exact"/>
      <w:jc w:val="both"/>
    </w:pPr>
    <w:rPr>
      <w:rFonts w:cs="Calibri"/>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2">
    <w:name w:val="Table Web 2"/>
    <w:basedOn w:val="90"/>
    <w:qFormat/>
    <w:locked/>
    <w:uiPriority w:val="0"/>
    <w:pPr>
      <w:widowControl w:val="0"/>
      <w:spacing w:line="500" w:lineRule="exact"/>
      <w:jc w:val="both"/>
    </w:pPr>
    <w:rPr>
      <w:rFonts w:cs="Calibri"/>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3">
    <w:name w:val="Table Web 3"/>
    <w:basedOn w:val="90"/>
    <w:qFormat/>
    <w:locked/>
    <w:uiPriority w:val="0"/>
    <w:pPr>
      <w:widowControl w:val="0"/>
      <w:spacing w:line="500" w:lineRule="exact"/>
      <w:jc w:val="both"/>
    </w:pPr>
    <w:rPr>
      <w:rFonts w:cs="Calibri"/>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34">
    <w:name w:val="Table Professional"/>
    <w:basedOn w:val="90"/>
    <w:qFormat/>
    <w:locked/>
    <w:uiPriority w:val="0"/>
    <w:pPr>
      <w:widowControl w:val="0"/>
      <w:spacing w:line="500" w:lineRule="exact"/>
      <w:ind w:firstLine="200" w:firstLineChars="20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6">
    <w:name w:val="Strong"/>
    <w:qFormat/>
    <w:locked/>
    <w:uiPriority w:val="22"/>
    <w:rPr>
      <w:b/>
      <w:bCs/>
    </w:rPr>
  </w:style>
  <w:style w:type="character" w:styleId="137">
    <w:name w:val="endnote reference"/>
    <w:qFormat/>
    <w:locked/>
    <w:uiPriority w:val="0"/>
    <w:rPr>
      <w:vertAlign w:val="superscript"/>
    </w:rPr>
  </w:style>
  <w:style w:type="character" w:styleId="138">
    <w:name w:val="page number"/>
    <w:basedOn w:val="135"/>
    <w:qFormat/>
    <w:locked/>
    <w:uiPriority w:val="0"/>
  </w:style>
  <w:style w:type="character" w:styleId="139">
    <w:name w:val="FollowedHyperlink"/>
    <w:qFormat/>
    <w:locked/>
    <w:uiPriority w:val="99"/>
    <w:rPr>
      <w:color w:val="800080"/>
      <w:u w:val="single"/>
    </w:rPr>
  </w:style>
  <w:style w:type="character" w:styleId="140">
    <w:name w:val="Emphasis"/>
    <w:qFormat/>
    <w:locked/>
    <w:uiPriority w:val="0"/>
    <w:rPr>
      <w:rFonts w:ascii="Calibri" w:hAnsi="Calibri"/>
      <w:b/>
      <w:i/>
      <w:iCs/>
    </w:rPr>
  </w:style>
  <w:style w:type="character" w:styleId="141">
    <w:name w:val="line number"/>
    <w:qFormat/>
    <w:locked/>
    <w:uiPriority w:val="0"/>
    <w:rPr>
      <w:rFonts w:ascii="宋体" w:hAnsi="宋体" w:eastAsia="宋体"/>
      <w:b/>
      <w:spacing w:val="10"/>
      <w:kern w:val="2"/>
      <w:sz w:val="18"/>
      <w:szCs w:val="18"/>
      <w:lang w:val="en-US" w:eastAsia="zh-CN" w:bidi="ar-SA"/>
    </w:rPr>
  </w:style>
  <w:style w:type="character" w:styleId="142">
    <w:name w:val="HTML Definition"/>
    <w:qFormat/>
    <w:locked/>
    <w:uiPriority w:val="0"/>
    <w:rPr>
      <w:rFonts w:ascii="宋体" w:hAnsi="宋体" w:eastAsia="宋体"/>
      <w:b/>
      <w:i/>
      <w:iCs/>
      <w:spacing w:val="10"/>
      <w:kern w:val="2"/>
      <w:sz w:val="18"/>
      <w:szCs w:val="18"/>
      <w:lang w:val="en-US" w:eastAsia="zh-CN" w:bidi="ar-SA"/>
    </w:rPr>
  </w:style>
  <w:style w:type="character" w:styleId="143">
    <w:name w:val="HTML Typewriter"/>
    <w:qFormat/>
    <w:locked/>
    <w:uiPriority w:val="0"/>
    <w:rPr>
      <w:rFonts w:ascii="宋体" w:hAnsi="宋体" w:eastAsia="宋体" w:cs="宋体"/>
      <w:sz w:val="24"/>
      <w:szCs w:val="24"/>
    </w:rPr>
  </w:style>
  <w:style w:type="character" w:styleId="144">
    <w:name w:val="HTML Acronym"/>
    <w:qFormat/>
    <w:locked/>
    <w:uiPriority w:val="0"/>
    <w:rPr>
      <w:rFonts w:ascii="宋体" w:hAnsi="宋体" w:eastAsia="宋体"/>
      <w:b/>
      <w:spacing w:val="10"/>
      <w:kern w:val="2"/>
      <w:sz w:val="18"/>
      <w:szCs w:val="18"/>
      <w:lang w:val="en-US" w:eastAsia="zh-CN" w:bidi="ar-SA"/>
    </w:rPr>
  </w:style>
  <w:style w:type="character" w:styleId="145">
    <w:name w:val="HTML Variable"/>
    <w:qFormat/>
    <w:locked/>
    <w:uiPriority w:val="0"/>
    <w:rPr>
      <w:rFonts w:ascii="宋体" w:hAnsi="宋体" w:eastAsia="宋体"/>
      <w:b/>
      <w:i/>
      <w:iCs/>
      <w:spacing w:val="10"/>
      <w:kern w:val="2"/>
      <w:sz w:val="18"/>
      <w:szCs w:val="18"/>
      <w:lang w:val="en-US" w:eastAsia="zh-CN" w:bidi="ar-SA"/>
    </w:rPr>
  </w:style>
  <w:style w:type="character" w:styleId="146">
    <w:name w:val="Hyperlink"/>
    <w:unhideWhenUsed/>
    <w:qFormat/>
    <w:locked/>
    <w:uiPriority w:val="99"/>
    <w:rPr>
      <w:color w:val="136EC2"/>
      <w:u w:val="single"/>
    </w:rPr>
  </w:style>
  <w:style w:type="character" w:styleId="147">
    <w:name w:val="HTML Code"/>
    <w:qFormat/>
    <w:locked/>
    <w:uiPriority w:val="0"/>
    <w:rPr>
      <w:rFonts w:ascii="黑体" w:hAnsi="Courier New" w:eastAsia="黑体" w:cs="Courier New"/>
      <w:sz w:val="24"/>
      <w:szCs w:val="24"/>
    </w:rPr>
  </w:style>
  <w:style w:type="character" w:styleId="148">
    <w:name w:val="annotation reference"/>
    <w:qFormat/>
    <w:uiPriority w:val="0"/>
    <w:rPr>
      <w:sz w:val="21"/>
    </w:rPr>
  </w:style>
  <w:style w:type="character" w:styleId="149">
    <w:name w:val="HTML Cite"/>
    <w:qFormat/>
    <w:locked/>
    <w:uiPriority w:val="0"/>
    <w:rPr>
      <w:rFonts w:ascii="宋体" w:hAnsi="宋体" w:eastAsia="宋体"/>
      <w:b/>
      <w:i/>
      <w:iCs/>
      <w:spacing w:val="10"/>
      <w:kern w:val="2"/>
      <w:sz w:val="18"/>
      <w:szCs w:val="18"/>
      <w:lang w:val="en-US" w:eastAsia="zh-CN" w:bidi="ar-SA"/>
    </w:rPr>
  </w:style>
  <w:style w:type="character" w:styleId="150">
    <w:name w:val="footnote reference"/>
    <w:qFormat/>
    <w:locked/>
    <w:uiPriority w:val="0"/>
    <w:rPr>
      <w:rFonts w:ascii="宋体" w:hAnsi="宋体" w:eastAsia="宋体" w:cs="Courier New"/>
      <w:kern w:val="2"/>
      <w:sz w:val="32"/>
      <w:szCs w:val="32"/>
      <w:vertAlign w:val="superscript"/>
      <w:lang w:val="en-US" w:eastAsia="zh-CN" w:bidi="ar-SA"/>
    </w:rPr>
  </w:style>
  <w:style w:type="character" w:styleId="151">
    <w:name w:val="HTML Keyboard"/>
    <w:qFormat/>
    <w:locked/>
    <w:uiPriority w:val="0"/>
    <w:rPr>
      <w:rFonts w:ascii="Courier New" w:hAnsi="Courier New" w:cs="Courier New"/>
      <w:sz w:val="20"/>
      <w:szCs w:val="20"/>
    </w:rPr>
  </w:style>
  <w:style w:type="character" w:styleId="152">
    <w:name w:val="HTML Sample"/>
    <w:qFormat/>
    <w:locked/>
    <w:uiPriority w:val="0"/>
    <w:rPr>
      <w:rFonts w:ascii="Courier New" w:hAnsi="Courier New" w:eastAsia="宋体" w:cs="Courier New"/>
      <w:b/>
      <w:spacing w:val="10"/>
      <w:kern w:val="2"/>
      <w:sz w:val="18"/>
      <w:szCs w:val="18"/>
      <w:lang w:val="en-US" w:eastAsia="zh-CN" w:bidi="ar-SA"/>
    </w:rPr>
  </w:style>
  <w:style w:type="character" w:customStyle="1" w:styleId="153">
    <w:name w:val="标题 2 字符"/>
    <w:link w:val="4"/>
    <w:qFormat/>
    <w:uiPriority w:val="9"/>
    <w:rPr>
      <w:rFonts w:ascii="Arial" w:hAnsi="Arial" w:eastAsia="黑体"/>
      <w:b/>
      <w:bCs/>
      <w:kern w:val="2"/>
      <w:sz w:val="28"/>
      <w:szCs w:val="32"/>
      <w:lang w:val="zh-CN" w:eastAsia="zh-CN"/>
    </w:rPr>
  </w:style>
  <w:style w:type="character" w:customStyle="1" w:styleId="154">
    <w:name w:val="标题 3 字符"/>
    <w:link w:val="5"/>
    <w:qFormat/>
    <w:uiPriority w:val="9"/>
    <w:rPr>
      <w:b/>
      <w:bCs/>
      <w:kern w:val="2"/>
      <w:sz w:val="32"/>
      <w:szCs w:val="32"/>
      <w:lang w:val="zh-CN" w:eastAsia="zh-CN"/>
    </w:rPr>
  </w:style>
  <w:style w:type="character" w:customStyle="1" w:styleId="155">
    <w:name w:val="标题 4 字符"/>
    <w:link w:val="6"/>
    <w:qFormat/>
    <w:uiPriority w:val="9"/>
    <w:rPr>
      <w:rFonts w:ascii="Arial" w:hAnsi="Arial" w:eastAsia="黑体"/>
      <w:b/>
      <w:kern w:val="2"/>
      <w:sz w:val="28"/>
      <w:lang w:val="zh-CN" w:eastAsia="zh-CN"/>
    </w:rPr>
  </w:style>
  <w:style w:type="character" w:customStyle="1" w:styleId="156">
    <w:name w:val="标题 5 字符"/>
    <w:link w:val="7"/>
    <w:qFormat/>
    <w:uiPriority w:val="9"/>
    <w:rPr>
      <w:b/>
      <w:bCs/>
      <w:i/>
      <w:iCs/>
      <w:sz w:val="26"/>
      <w:szCs w:val="26"/>
      <w:lang w:val="zh-CN" w:eastAsia="en-US" w:bidi="en-US"/>
    </w:rPr>
  </w:style>
  <w:style w:type="character" w:customStyle="1" w:styleId="157">
    <w:name w:val="标题 6 字符"/>
    <w:link w:val="8"/>
    <w:qFormat/>
    <w:uiPriority w:val="9"/>
    <w:rPr>
      <w:b/>
      <w:bCs/>
      <w:sz w:val="22"/>
      <w:szCs w:val="22"/>
      <w:lang w:val="zh-CN" w:eastAsia="en-US" w:bidi="en-US"/>
    </w:rPr>
  </w:style>
  <w:style w:type="character" w:customStyle="1" w:styleId="158">
    <w:name w:val="页眉 字符"/>
    <w:link w:val="11"/>
    <w:qFormat/>
    <w:locked/>
    <w:uiPriority w:val="99"/>
    <w:rPr>
      <w:sz w:val="18"/>
    </w:rPr>
  </w:style>
  <w:style w:type="character" w:customStyle="1" w:styleId="159">
    <w:name w:val="样式4 Char"/>
    <w:link w:val="10"/>
    <w:qFormat/>
    <w:uiPriority w:val="0"/>
    <w:rPr>
      <w:rFonts w:ascii="隶书" w:eastAsia="隶书"/>
      <w:sz w:val="24"/>
      <w:szCs w:val="15"/>
      <w:lang w:val="zh-CN" w:eastAsia="en-US" w:bidi="en-US"/>
    </w:rPr>
  </w:style>
  <w:style w:type="character" w:customStyle="1" w:styleId="160">
    <w:name w:val="标题 7 字符"/>
    <w:link w:val="9"/>
    <w:qFormat/>
    <w:uiPriority w:val="9"/>
    <w:rPr>
      <w:rFonts w:ascii="隶书"/>
      <w:b/>
      <w:sz w:val="24"/>
      <w:szCs w:val="15"/>
      <w:lang w:val="zh-CN" w:eastAsia="en-US" w:bidi="en-US"/>
    </w:rPr>
  </w:style>
  <w:style w:type="character" w:customStyle="1" w:styleId="161">
    <w:name w:val="标题 8 字符"/>
    <w:link w:val="12"/>
    <w:qFormat/>
    <w:uiPriority w:val="9"/>
    <w:rPr>
      <w:i/>
      <w:iCs/>
      <w:sz w:val="24"/>
      <w:szCs w:val="24"/>
      <w:lang w:val="zh-CN" w:eastAsia="en-US" w:bidi="en-US"/>
    </w:rPr>
  </w:style>
  <w:style w:type="character" w:customStyle="1" w:styleId="162">
    <w:name w:val="标题 9 字符"/>
    <w:link w:val="13"/>
    <w:qFormat/>
    <w:uiPriority w:val="9"/>
    <w:rPr>
      <w:rFonts w:ascii="Cambria" w:hAnsi="Cambria"/>
      <w:kern w:val="2"/>
      <w:sz w:val="21"/>
      <w:szCs w:val="21"/>
      <w:lang w:val="zh-CN" w:eastAsia="zh-CN"/>
    </w:rPr>
  </w:style>
  <w:style w:type="character" w:customStyle="1" w:styleId="163">
    <w:name w:val="批注框文本 字符"/>
    <w:link w:val="56"/>
    <w:qFormat/>
    <w:locked/>
    <w:uiPriority w:val="99"/>
    <w:rPr>
      <w:rFonts w:ascii="Times New Roman" w:hAnsi="Times New Roman" w:eastAsia="宋体"/>
      <w:sz w:val="18"/>
    </w:rPr>
  </w:style>
  <w:style w:type="character" w:customStyle="1" w:styleId="164">
    <w:name w:val="日期 字符"/>
    <w:qFormat/>
    <w:uiPriority w:val="0"/>
    <w:rPr>
      <w:rFonts w:ascii="Times New Roman" w:hAnsi="Times New Roman" w:eastAsia="宋体"/>
      <w:sz w:val="24"/>
    </w:rPr>
  </w:style>
  <w:style w:type="character" w:customStyle="1" w:styleId="165">
    <w:name w:val="批注文字 字符"/>
    <w:link w:val="30"/>
    <w:qFormat/>
    <w:locked/>
    <w:uiPriority w:val="99"/>
    <w:rPr>
      <w:rFonts w:ascii="Times New Roman" w:hAnsi="Times New Roman" w:eastAsia="宋体"/>
      <w:sz w:val="24"/>
    </w:rPr>
  </w:style>
  <w:style w:type="character" w:customStyle="1" w:styleId="166">
    <w:name w:val="表格 Char"/>
    <w:link w:val="167"/>
    <w:qFormat/>
    <w:locked/>
    <w:uiPriority w:val="0"/>
    <w:rPr>
      <w:rFonts w:ascii="宋体"/>
      <w:sz w:val="21"/>
    </w:rPr>
  </w:style>
  <w:style w:type="paragraph" w:customStyle="1" w:styleId="167">
    <w:name w:val="表格"/>
    <w:basedOn w:val="1"/>
    <w:link w:val="166"/>
    <w:qFormat/>
    <w:uiPriority w:val="0"/>
    <w:pPr>
      <w:adjustRightInd w:val="0"/>
      <w:snapToGrid w:val="0"/>
      <w:spacing w:beforeLines="10" w:afterLines="10" w:line="259" w:lineRule="auto"/>
      <w:jc w:val="center"/>
    </w:pPr>
    <w:rPr>
      <w:rFonts w:ascii="宋体"/>
      <w:kern w:val="0"/>
      <w:szCs w:val="20"/>
      <w:lang w:val="zh-CN"/>
    </w:rPr>
  </w:style>
  <w:style w:type="character" w:customStyle="1" w:styleId="168">
    <w:name w:val="正文文本 字符1"/>
    <w:qFormat/>
    <w:uiPriority w:val="99"/>
    <w:rPr>
      <w:rFonts w:ascii="Times New Roman" w:hAnsi="Times New Roman" w:eastAsia="宋体"/>
      <w:sz w:val="24"/>
    </w:rPr>
  </w:style>
  <w:style w:type="character" w:customStyle="1" w:styleId="169">
    <w:name w:val="普通(网站) 字符"/>
    <w:link w:val="82"/>
    <w:qFormat/>
    <w:locked/>
    <w:uiPriority w:val="99"/>
    <w:rPr>
      <w:rFonts w:ascii="宋体" w:hAnsi="宋体" w:eastAsia="宋体"/>
      <w:sz w:val="24"/>
    </w:rPr>
  </w:style>
  <w:style w:type="character" w:customStyle="1" w:styleId="170">
    <w:name w:val="日期 字符1"/>
    <w:link w:val="52"/>
    <w:qFormat/>
    <w:locked/>
    <w:uiPriority w:val="0"/>
    <w:rPr>
      <w:rFonts w:ascii="Times New Roman" w:hAnsi="Times New Roman" w:eastAsia="宋体"/>
      <w:sz w:val="24"/>
    </w:rPr>
  </w:style>
  <w:style w:type="character" w:customStyle="1" w:styleId="171">
    <w:name w:val="页脚 字符"/>
    <w:basedOn w:val="135"/>
    <w:qFormat/>
    <w:uiPriority w:val="99"/>
  </w:style>
  <w:style w:type="character" w:customStyle="1" w:styleId="172">
    <w:name w:val="页脚 字符1"/>
    <w:link w:val="57"/>
    <w:qFormat/>
    <w:locked/>
    <w:uiPriority w:val="99"/>
    <w:rPr>
      <w:sz w:val="18"/>
    </w:rPr>
  </w:style>
  <w:style w:type="character" w:customStyle="1" w:styleId="173">
    <w:name w:val="正文文本 字符"/>
    <w:link w:val="36"/>
    <w:qFormat/>
    <w:locked/>
    <w:uiPriority w:val="99"/>
    <w:rPr>
      <w:sz w:val="18"/>
    </w:rPr>
  </w:style>
  <w:style w:type="character" w:customStyle="1" w:styleId="174">
    <w:name w:val="正文文本缩进 字符"/>
    <w:link w:val="37"/>
    <w:qFormat/>
    <w:locked/>
    <w:uiPriority w:val="0"/>
    <w:rPr>
      <w:rFonts w:ascii="Times New Roman" w:hAnsi="Times New Roman" w:eastAsia="宋体"/>
      <w:sz w:val="24"/>
    </w:rPr>
  </w:style>
  <w:style w:type="character" w:customStyle="1" w:styleId="175">
    <w:name w:val="批注主题 字符"/>
    <w:link w:val="87"/>
    <w:qFormat/>
    <w:locked/>
    <w:uiPriority w:val="99"/>
    <w:rPr>
      <w:rFonts w:ascii="Times New Roman" w:hAnsi="Times New Roman" w:eastAsia="宋体"/>
      <w:b/>
      <w:kern w:val="2"/>
      <w:sz w:val="24"/>
    </w:rPr>
  </w:style>
  <w:style w:type="character" w:customStyle="1" w:styleId="176">
    <w:name w:val="批注文字 字符1"/>
    <w:qFormat/>
    <w:uiPriority w:val="0"/>
    <w:rPr>
      <w:rFonts w:ascii="Times New Roman" w:hAnsi="Times New Roman" w:eastAsia="宋体"/>
      <w:sz w:val="24"/>
    </w:rPr>
  </w:style>
  <w:style w:type="paragraph" w:customStyle="1" w:styleId="1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7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179">
    <w:name w:val="表格文字2 Char"/>
    <w:link w:val="180"/>
    <w:qFormat/>
    <w:uiPriority w:val="0"/>
    <w:rPr>
      <w:sz w:val="21"/>
      <w:szCs w:val="21"/>
    </w:rPr>
  </w:style>
  <w:style w:type="paragraph" w:customStyle="1" w:styleId="180">
    <w:name w:val="表格文字2"/>
    <w:basedOn w:val="1"/>
    <w:link w:val="179"/>
    <w:qFormat/>
    <w:uiPriority w:val="0"/>
    <w:pPr>
      <w:tabs>
        <w:tab w:val="left" w:pos="277"/>
        <w:tab w:val="left" w:pos="600"/>
        <w:tab w:val="left" w:pos="780"/>
        <w:tab w:val="left" w:pos="2517"/>
      </w:tabs>
      <w:adjustRightInd w:val="0"/>
      <w:snapToGrid w:val="0"/>
      <w:jc w:val="center"/>
      <w:textAlignment w:val="baseline"/>
    </w:pPr>
    <w:rPr>
      <w:kern w:val="0"/>
      <w:szCs w:val="21"/>
      <w:lang w:val="zh-CN"/>
    </w:rPr>
  </w:style>
  <w:style w:type="character" w:customStyle="1" w:styleId="181">
    <w:name w:val="文档结构图 字符"/>
    <w:link w:val="28"/>
    <w:qFormat/>
    <w:uiPriority w:val="99"/>
    <w:rPr>
      <w:rFonts w:ascii="宋体"/>
      <w:kern w:val="2"/>
      <w:sz w:val="18"/>
      <w:szCs w:val="18"/>
    </w:rPr>
  </w:style>
  <w:style w:type="character" w:customStyle="1" w:styleId="182">
    <w:name w:val="正文文本缩进 2 字符"/>
    <w:link w:val="53"/>
    <w:qFormat/>
    <w:uiPriority w:val="0"/>
    <w:rPr>
      <w:kern w:val="2"/>
      <w:sz w:val="21"/>
      <w:szCs w:val="24"/>
    </w:rPr>
  </w:style>
  <w:style w:type="character" w:customStyle="1" w:styleId="183">
    <w:name w:val="题注 字符1"/>
    <w:link w:val="24"/>
    <w:qFormat/>
    <w:uiPriority w:val="0"/>
    <w:rPr>
      <w:rFonts w:ascii="Cambria" w:hAnsi="Cambria" w:eastAsia="黑体" w:cs="Times New Roman"/>
      <w:kern w:val="2"/>
    </w:rPr>
  </w:style>
  <w:style w:type="paragraph" w:customStyle="1" w:styleId="184">
    <w:name w:val="Table Paragraph"/>
    <w:basedOn w:val="1"/>
    <w:qFormat/>
    <w:uiPriority w:val="1"/>
    <w:pPr>
      <w:jc w:val="left"/>
    </w:pPr>
    <w:rPr>
      <w:rFonts w:ascii="等线" w:hAnsi="等线" w:eastAsia="等线"/>
      <w:kern w:val="0"/>
      <w:sz w:val="22"/>
      <w:szCs w:val="22"/>
      <w:lang w:eastAsia="en-US"/>
    </w:rPr>
  </w:style>
  <w:style w:type="character" w:customStyle="1" w:styleId="185">
    <w:name w:val="x"/>
    <w:basedOn w:val="135"/>
    <w:qFormat/>
    <w:uiPriority w:val="0"/>
  </w:style>
  <w:style w:type="character" w:customStyle="1" w:styleId="186">
    <w:name w:val="正文首行缩进 Char"/>
    <w:link w:val="187"/>
    <w:qFormat/>
    <w:uiPriority w:val="0"/>
    <w:rPr>
      <w:kern w:val="2"/>
      <w:sz w:val="28"/>
      <w:szCs w:val="24"/>
      <w:lang w:eastAsia="en-US" w:bidi="en-US"/>
    </w:rPr>
  </w:style>
  <w:style w:type="paragraph" w:customStyle="1" w:styleId="187">
    <w:name w:val="正文首行缩进1"/>
    <w:basedOn w:val="36"/>
    <w:link w:val="186"/>
    <w:qFormat/>
    <w:locked/>
    <w:uiPriority w:val="0"/>
    <w:pPr>
      <w:adjustRightInd w:val="0"/>
      <w:spacing w:before="0" w:after="120" w:line="360" w:lineRule="auto"/>
      <w:ind w:right="0" w:firstLine="420" w:firstLineChars="100"/>
    </w:pPr>
    <w:rPr>
      <w:kern w:val="2"/>
      <w:sz w:val="28"/>
      <w:szCs w:val="24"/>
      <w:lang w:eastAsia="en-US" w:bidi="en-US"/>
    </w:rPr>
  </w:style>
  <w:style w:type="character" w:customStyle="1" w:styleId="188">
    <w:name w:val="s"/>
    <w:basedOn w:val="135"/>
    <w:qFormat/>
    <w:uiPriority w:val="0"/>
  </w:style>
  <w:style w:type="character" w:customStyle="1" w:styleId="189">
    <w:name w:val="postbody1"/>
    <w:qFormat/>
    <w:uiPriority w:val="0"/>
    <w:rPr>
      <w:sz w:val="20"/>
    </w:rPr>
  </w:style>
  <w:style w:type="character" w:customStyle="1" w:styleId="190">
    <w:name w:val="文字 Char"/>
    <w:link w:val="191"/>
    <w:qFormat/>
    <w:uiPriority w:val="0"/>
    <w:rPr>
      <w:sz w:val="24"/>
      <w:szCs w:val="24"/>
      <w:lang w:eastAsia="en-US" w:bidi="en-US"/>
    </w:rPr>
  </w:style>
  <w:style w:type="paragraph" w:customStyle="1" w:styleId="191">
    <w:name w:val="文字"/>
    <w:basedOn w:val="1"/>
    <w:link w:val="190"/>
    <w:qFormat/>
    <w:uiPriority w:val="0"/>
    <w:pPr>
      <w:widowControl/>
      <w:adjustRightInd w:val="0"/>
      <w:snapToGrid w:val="0"/>
      <w:spacing w:line="360" w:lineRule="auto"/>
      <w:ind w:firstLine="200" w:firstLineChars="200"/>
    </w:pPr>
    <w:rPr>
      <w:kern w:val="0"/>
      <w:sz w:val="24"/>
      <w:lang w:val="zh-CN" w:eastAsia="en-US" w:bidi="en-US"/>
    </w:rPr>
  </w:style>
  <w:style w:type="character" w:customStyle="1" w:styleId="192">
    <w:name w:val="14fz1"/>
    <w:qFormat/>
    <w:uiPriority w:val="0"/>
    <w:rPr>
      <w:rFonts w:hint="default"/>
      <w:color w:val="000000"/>
      <w:sz w:val="32"/>
      <w:szCs w:val="32"/>
    </w:rPr>
  </w:style>
  <w:style w:type="character" w:customStyle="1" w:styleId="193">
    <w:name w:val="表格 Char Char"/>
    <w:qFormat/>
    <w:uiPriority w:val="0"/>
    <w:rPr>
      <w:rFonts w:eastAsia="仿宋_GB2312" w:cs="宋体"/>
      <w:bCs/>
      <w:snapToGrid w:val="0"/>
      <w:sz w:val="21"/>
      <w:szCs w:val="21"/>
      <w:lang w:eastAsia="en-US" w:bidi="en-US"/>
    </w:rPr>
  </w:style>
  <w:style w:type="character" w:customStyle="1" w:styleId="194">
    <w:name w:val="text1"/>
    <w:qFormat/>
    <w:uiPriority w:val="0"/>
    <w:rPr>
      <w:color w:val="000000"/>
      <w:sz w:val="20"/>
      <w:szCs w:val="20"/>
      <w:u w:val="none"/>
    </w:rPr>
  </w:style>
  <w:style w:type="character" w:customStyle="1" w:styleId="195">
    <w:name w:val="正文（首行缩进两字） Char4"/>
    <w:qFormat/>
    <w:uiPriority w:val="0"/>
    <w:rPr>
      <w:rFonts w:eastAsia="宋体"/>
      <w:kern w:val="2"/>
      <w:sz w:val="21"/>
      <w:szCs w:val="24"/>
      <w:lang w:val="en-US" w:eastAsia="zh-CN" w:bidi="ar-SA"/>
    </w:rPr>
  </w:style>
  <w:style w:type="character" w:customStyle="1" w:styleId="196">
    <w:name w:val="和桥报告正文 Char"/>
    <w:link w:val="197"/>
    <w:qFormat/>
    <w:uiPriority w:val="0"/>
    <w:rPr>
      <w:rFonts w:cs="宋体"/>
      <w:snapToGrid w:val="0"/>
      <w:kern w:val="24"/>
      <w:sz w:val="24"/>
      <w:szCs w:val="21"/>
      <w:lang w:eastAsia="en-US" w:bidi="en-US"/>
    </w:rPr>
  </w:style>
  <w:style w:type="paragraph" w:customStyle="1" w:styleId="197">
    <w:name w:val="和桥报告正文"/>
    <w:basedOn w:val="1"/>
    <w:link w:val="196"/>
    <w:qFormat/>
    <w:uiPriority w:val="0"/>
    <w:pPr>
      <w:widowControl/>
      <w:adjustRightInd w:val="0"/>
      <w:snapToGrid w:val="0"/>
      <w:spacing w:line="360" w:lineRule="auto"/>
      <w:ind w:firstLine="482" w:firstLineChars="200"/>
      <w:textAlignment w:val="baseline"/>
    </w:pPr>
    <w:rPr>
      <w:rFonts w:cs="宋体"/>
      <w:snapToGrid w:val="0"/>
      <w:kern w:val="24"/>
      <w:sz w:val="24"/>
      <w:szCs w:val="21"/>
      <w:lang w:val="zh-CN" w:eastAsia="en-US" w:bidi="en-US"/>
    </w:rPr>
  </w:style>
  <w:style w:type="character" w:customStyle="1" w:styleId="198">
    <w:name w:val="标题 字符"/>
    <w:link w:val="86"/>
    <w:qFormat/>
    <w:uiPriority w:val="10"/>
    <w:rPr>
      <w:rFonts w:ascii="Cambria" w:hAnsi="Cambria" w:cs="Arial"/>
      <w:b/>
      <w:bCs/>
      <w:kern w:val="28"/>
      <w:sz w:val="32"/>
      <w:szCs w:val="32"/>
      <w:lang w:eastAsia="en-US" w:bidi="en-US"/>
    </w:rPr>
  </w:style>
  <w:style w:type="character" w:customStyle="1" w:styleId="199">
    <w:name w:val="报告书表格 Char"/>
    <w:link w:val="200"/>
    <w:qFormat/>
    <w:uiPriority w:val="0"/>
    <w:rPr>
      <w:rFonts w:ascii="宋体" w:hAnsi="宋体" w:cs="宋体"/>
      <w:kern w:val="2"/>
      <w:sz w:val="21"/>
      <w:szCs w:val="24"/>
    </w:rPr>
  </w:style>
  <w:style w:type="paragraph" w:customStyle="1" w:styleId="200">
    <w:name w:val="报告书表格"/>
    <w:basedOn w:val="1"/>
    <w:link w:val="199"/>
    <w:qFormat/>
    <w:uiPriority w:val="0"/>
    <w:pPr>
      <w:widowControl/>
      <w:adjustRightInd w:val="0"/>
      <w:snapToGrid w:val="0"/>
      <w:spacing w:before="60" w:after="60" w:line="240" w:lineRule="atLeast"/>
      <w:ind w:firstLine="200" w:firstLineChars="200"/>
      <w:jc w:val="center"/>
      <w:textAlignment w:val="baseline"/>
    </w:pPr>
    <w:rPr>
      <w:rFonts w:ascii="宋体" w:hAnsi="宋体"/>
      <w:lang w:val="zh-CN"/>
    </w:rPr>
  </w:style>
  <w:style w:type="character" w:customStyle="1" w:styleId="201">
    <w:name w:val="style71"/>
    <w:qFormat/>
    <w:uiPriority w:val="0"/>
    <w:rPr>
      <w:color w:val="000000"/>
    </w:rPr>
  </w:style>
  <w:style w:type="character" w:customStyle="1" w:styleId="202">
    <w:name w:val="书籍标题1"/>
    <w:qFormat/>
    <w:uiPriority w:val="33"/>
    <w:rPr>
      <w:rFonts w:ascii="Cambria" w:hAnsi="Cambria" w:eastAsia="宋体"/>
      <w:b/>
      <w:i/>
      <w:sz w:val="24"/>
      <w:szCs w:val="24"/>
    </w:rPr>
  </w:style>
  <w:style w:type="character" w:customStyle="1" w:styleId="203">
    <w:name w:val="引用 字符"/>
    <w:link w:val="204"/>
    <w:qFormat/>
    <w:uiPriority w:val="29"/>
    <w:rPr>
      <w:i/>
      <w:sz w:val="24"/>
      <w:szCs w:val="24"/>
      <w:lang w:eastAsia="en-US" w:bidi="en-US"/>
    </w:rPr>
  </w:style>
  <w:style w:type="paragraph" w:styleId="204">
    <w:name w:val="Quote"/>
    <w:basedOn w:val="1"/>
    <w:next w:val="1"/>
    <w:link w:val="203"/>
    <w:qFormat/>
    <w:uiPriority w:val="29"/>
    <w:pPr>
      <w:widowControl/>
      <w:adjustRightInd w:val="0"/>
      <w:snapToGrid w:val="0"/>
      <w:spacing w:line="360" w:lineRule="auto"/>
      <w:ind w:firstLine="200" w:firstLineChars="200"/>
    </w:pPr>
    <w:rPr>
      <w:i/>
      <w:kern w:val="0"/>
      <w:sz w:val="24"/>
      <w:lang w:val="zh-CN" w:eastAsia="en-US" w:bidi="en-US"/>
    </w:rPr>
  </w:style>
  <w:style w:type="character" w:customStyle="1" w:styleId="205">
    <w:name w:val="t_tag"/>
    <w:basedOn w:val="135"/>
    <w:qFormat/>
    <w:uiPriority w:val="0"/>
  </w:style>
  <w:style w:type="character" w:customStyle="1" w:styleId="206">
    <w:name w:val="标题 31"/>
    <w:qFormat/>
    <w:uiPriority w:val="0"/>
    <w:rPr>
      <w:rFonts w:eastAsia="宋体"/>
      <w:sz w:val="28"/>
      <w:lang w:val="en-US" w:eastAsia="zh-CN" w:bidi="ar-SA"/>
    </w:rPr>
  </w:style>
  <w:style w:type="character" w:customStyle="1" w:styleId="207">
    <w:name w:val="表格文字 Char"/>
    <w:link w:val="208"/>
    <w:qFormat/>
    <w:uiPriority w:val="0"/>
    <w:rPr>
      <w:rFonts w:ascii="仿宋_GB2312" w:hAnsi="Arial Black" w:eastAsia="仿宋_GB2312"/>
      <w:kern w:val="44"/>
      <w:sz w:val="24"/>
      <w:szCs w:val="24"/>
      <w:lang w:eastAsia="en-US" w:bidi="en-US"/>
    </w:rPr>
  </w:style>
  <w:style w:type="paragraph" w:customStyle="1" w:styleId="208">
    <w:name w:val="表格文字"/>
    <w:basedOn w:val="1"/>
    <w:link w:val="207"/>
    <w:qFormat/>
    <w:uiPriority w:val="0"/>
    <w:pPr>
      <w:widowControl/>
      <w:adjustRightInd w:val="0"/>
      <w:snapToGrid w:val="0"/>
      <w:spacing w:line="360" w:lineRule="auto"/>
      <w:ind w:firstLine="200" w:firstLineChars="200"/>
      <w:jc w:val="center"/>
    </w:pPr>
    <w:rPr>
      <w:rFonts w:ascii="仿宋_GB2312" w:hAnsi="Arial Black" w:eastAsia="仿宋_GB2312"/>
      <w:kern w:val="44"/>
      <w:sz w:val="24"/>
      <w:lang w:val="zh-CN" w:eastAsia="en-US" w:bidi="en-US"/>
    </w:rPr>
  </w:style>
  <w:style w:type="character" w:customStyle="1" w:styleId="209">
    <w:name w:val="文本条款 Char Char"/>
    <w:qFormat/>
    <w:uiPriority w:val="0"/>
    <w:rPr>
      <w:rFonts w:eastAsia="宋体"/>
      <w:kern w:val="2"/>
      <w:sz w:val="28"/>
      <w:lang w:val="en-US" w:eastAsia="zh-CN" w:bidi="ar-SA"/>
    </w:rPr>
  </w:style>
  <w:style w:type="character" w:customStyle="1" w:styleId="210">
    <w:name w:val="已访问的超链接11"/>
    <w:qFormat/>
    <w:locked/>
    <w:uiPriority w:val="0"/>
    <w:rPr>
      <w:color w:val="800080"/>
      <w:u w:val="single"/>
    </w:rPr>
  </w:style>
  <w:style w:type="character" w:customStyle="1" w:styleId="211">
    <w:name w:val="表格标题新 Char"/>
    <w:qFormat/>
    <w:uiPriority w:val="0"/>
    <w:rPr>
      <w:rFonts w:ascii="仿宋_GB2312" w:eastAsia="黑体"/>
      <w:b/>
      <w:snapToGrid w:val="0"/>
      <w:spacing w:val="4"/>
      <w:kern w:val="18"/>
      <w:sz w:val="24"/>
      <w:lang w:val="en-US" w:eastAsia="zh-CN"/>
    </w:rPr>
  </w:style>
  <w:style w:type="character" w:customStyle="1" w:styleId="212">
    <w:name w:val="样式 标题 2 + (西文) Times New Roman (中文) 宋体 Char"/>
    <w:link w:val="213"/>
    <w:qFormat/>
    <w:uiPriority w:val="0"/>
    <w:rPr>
      <w:b/>
      <w:bCs/>
      <w:iCs/>
      <w:sz w:val="28"/>
      <w:szCs w:val="28"/>
      <w:lang w:val="zh-CN" w:eastAsia="en-US" w:bidi="en-US"/>
    </w:rPr>
  </w:style>
  <w:style w:type="paragraph" w:customStyle="1" w:styleId="213">
    <w:name w:val="样式 标题 2 + (西文) Times New Roman (中文) 宋体"/>
    <w:basedOn w:val="4"/>
    <w:link w:val="212"/>
    <w:qFormat/>
    <w:uiPriority w:val="0"/>
    <w:pPr>
      <w:keepLines w:val="0"/>
      <w:widowControl/>
      <w:tabs>
        <w:tab w:val="left" w:pos="927"/>
      </w:tabs>
      <w:adjustRightInd w:val="0"/>
      <w:snapToGrid w:val="0"/>
      <w:spacing w:before="100" w:beforeAutospacing="1" w:after="100" w:afterAutospacing="1"/>
      <w:ind w:firstLine="567"/>
    </w:pPr>
    <w:rPr>
      <w:rFonts w:ascii="Times New Roman" w:hAnsi="Times New Roman" w:eastAsia="宋体"/>
      <w:iCs/>
      <w:kern w:val="0"/>
      <w:szCs w:val="28"/>
      <w:lang w:eastAsia="en-US" w:bidi="en-US"/>
    </w:rPr>
  </w:style>
  <w:style w:type="character" w:customStyle="1" w:styleId="214">
    <w:name w:val="样式 样式 正文缩进文本条款表格标题正文（首行缩进两字） Char Char Char Char Char Char Char.... Char"/>
    <w:link w:val="215"/>
    <w:qFormat/>
    <w:uiPriority w:val="0"/>
    <w:rPr>
      <w:rFonts w:cs="宋体"/>
      <w:sz w:val="24"/>
      <w:szCs w:val="24"/>
      <w:lang w:eastAsia="en-US" w:bidi="en-US"/>
    </w:rPr>
  </w:style>
  <w:style w:type="paragraph" w:customStyle="1" w:styleId="215">
    <w:name w:val="样式 样式 正文缩进文本条款表格标题正文（首行缩进两字） Char Char Char Char Char Char Char...."/>
    <w:basedOn w:val="1"/>
    <w:link w:val="214"/>
    <w:qFormat/>
    <w:uiPriority w:val="0"/>
    <w:pPr>
      <w:widowControl/>
      <w:adjustRightInd w:val="0"/>
      <w:snapToGrid w:val="0"/>
      <w:spacing w:line="520" w:lineRule="atLeast"/>
      <w:ind w:firstLine="200" w:firstLineChars="200"/>
    </w:pPr>
    <w:rPr>
      <w:rFonts w:cs="宋体"/>
      <w:kern w:val="0"/>
      <w:sz w:val="24"/>
      <w:lang w:val="zh-CN" w:eastAsia="en-US" w:bidi="en-US"/>
    </w:rPr>
  </w:style>
  <w:style w:type="character" w:customStyle="1" w:styleId="216">
    <w:name w:val="正文缩进2"/>
    <w:qFormat/>
    <w:uiPriority w:val="0"/>
    <w:rPr>
      <w:rFonts w:ascii="仿宋_GB2312" w:eastAsia="仿宋_GB2312"/>
      <w:kern w:val="2"/>
      <w:sz w:val="28"/>
      <w:szCs w:val="24"/>
      <w:lang w:val="en-US" w:eastAsia="zh-CN" w:bidi="ar-SA"/>
    </w:rPr>
  </w:style>
  <w:style w:type="character" w:customStyle="1" w:styleId="217">
    <w:name w:val="页眉zxl Char1"/>
    <w:qFormat/>
    <w:uiPriority w:val="0"/>
    <w:rPr>
      <w:rFonts w:ascii="隶书" w:eastAsia="隶书"/>
      <w:kern w:val="2"/>
      <w:sz w:val="24"/>
      <w:szCs w:val="24"/>
      <w:lang w:val="en-US" w:eastAsia="zh-CN" w:bidi="ar-SA"/>
    </w:rPr>
  </w:style>
  <w:style w:type="character" w:customStyle="1" w:styleId="218">
    <w:name w:val="批注文字 Char"/>
    <w:qFormat/>
    <w:uiPriority w:val="0"/>
    <w:rPr>
      <w:kern w:val="2"/>
      <w:sz w:val="21"/>
    </w:rPr>
  </w:style>
  <w:style w:type="character" w:customStyle="1" w:styleId="219">
    <w:name w:val="批注主题 Char"/>
    <w:basedOn w:val="218"/>
    <w:qFormat/>
    <w:uiPriority w:val="0"/>
    <w:rPr>
      <w:kern w:val="2"/>
      <w:sz w:val="21"/>
    </w:rPr>
  </w:style>
  <w:style w:type="character" w:customStyle="1" w:styleId="220">
    <w:name w:val="批注框文本 Char"/>
    <w:qFormat/>
    <w:uiPriority w:val="0"/>
    <w:rPr>
      <w:kern w:val="2"/>
      <w:sz w:val="18"/>
      <w:szCs w:val="18"/>
    </w:rPr>
  </w:style>
  <w:style w:type="character" w:customStyle="1" w:styleId="221">
    <w:name w:val="新正文 Char"/>
    <w:link w:val="222"/>
    <w:qFormat/>
    <w:uiPriority w:val="0"/>
    <w:rPr>
      <w:rFonts w:ascii="仿宋_GB2312" w:eastAsia="仿宋_GB2312"/>
      <w:bCs/>
      <w:sz w:val="28"/>
      <w:szCs w:val="21"/>
    </w:rPr>
  </w:style>
  <w:style w:type="paragraph" w:customStyle="1" w:styleId="222">
    <w:name w:val="新正文"/>
    <w:basedOn w:val="1"/>
    <w:link w:val="221"/>
    <w:qFormat/>
    <w:uiPriority w:val="0"/>
    <w:pPr>
      <w:spacing w:line="480" w:lineRule="exact"/>
      <w:ind w:firstLine="567" w:firstLineChars="200"/>
    </w:pPr>
    <w:rPr>
      <w:rFonts w:ascii="仿宋_GB2312" w:eastAsia="仿宋_GB2312"/>
      <w:bCs/>
      <w:kern w:val="0"/>
      <w:sz w:val="28"/>
      <w:szCs w:val="21"/>
      <w:lang w:val="zh-CN"/>
    </w:rPr>
  </w:style>
  <w:style w:type="character" w:customStyle="1" w:styleId="223">
    <w:name w:val="正文01 Char"/>
    <w:link w:val="224"/>
    <w:qFormat/>
    <w:uiPriority w:val="0"/>
    <w:rPr>
      <w:bCs/>
      <w:kern w:val="2"/>
      <w:sz w:val="24"/>
      <w:szCs w:val="24"/>
    </w:rPr>
  </w:style>
  <w:style w:type="paragraph" w:customStyle="1" w:styleId="224">
    <w:name w:val="正文01"/>
    <w:basedOn w:val="1"/>
    <w:link w:val="223"/>
    <w:qFormat/>
    <w:uiPriority w:val="0"/>
    <w:pPr>
      <w:adjustRightInd w:val="0"/>
      <w:snapToGrid w:val="0"/>
      <w:spacing w:before="60" w:line="440" w:lineRule="exact"/>
      <w:ind w:firstLine="200" w:firstLineChars="200"/>
    </w:pPr>
    <w:rPr>
      <w:bCs/>
      <w:sz w:val="24"/>
      <w:lang w:val="zh-CN"/>
    </w:rPr>
  </w:style>
  <w:style w:type="character" w:customStyle="1" w:styleId="225">
    <w:name w:val="纯文本 字符"/>
    <w:link w:val="47"/>
    <w:qFormat/>
    <w:uiPriority w:val="99"/>
    <w:rPr>
      <w:rFonts w:ascii="宋体" w:hAnsi="Courier New"/>
      <w:kern w:val="2"/>
      <w:sz w:val="21"/>
      <w:szCs w:val="24"/>
    </w:rPr>
  </w:style>
  <w:style w:type="character" w:customStyle="1" w:styleId="226">
    <w:name w:val="页眉 Char"/>
    <w:qFormat/>
    <w:uiPriority w:val="99"/>
    <w:rPr>
      <w:kern w:val="2"/>
      <w:sz w:val="18"/>
    </w:rPr>
  </w:style>
  <w:style w:type="character" w:customStyle="1" w:styleId="227">
    <w:name w:val="HTML 预设格式 字符"/>
    <w:link w:val="81"/>
    <w:qFormat/>
    <w:uiPriority w:val="99"/>
    <w:rPr>
      <w:rFonts w:ascii="黑体" w:hAnsi="Courier New" w:eastAsia="黑体" w:cs="Courier New"/>
    </w:rPr>
  </w:style>
  <w:style w:type="character" w:customStyle="1" w:styleId="228">
    <w:name w:val="页脚 Char"/>
    <w:qFormat/>
    <w:uiPriority w:val="99"/>
    <w:rPr>
      <w:kern w:val="2"/>
      <w:sz w:val="18"/>
    </w:rPr>
  </w:style>
  <w:style w:type="character" w:customStyle="1" w:styleId="229">
    <w:name w:val="正文缩进 字符"/>
    <w:link w:val="23"/>
    <w:qFormat/>
    <w:uiPriority w:val="0"/>
    <w:rPr>
      <w:rFonts w:ascii="仿宋_GB2312" w:eastAsia="仿宋_GB2312"/>
      <w:kern w:val="2"/>
      <w:sz w:val="28"/>
    </w:rPr>
  </w:style>
  <w:style w:type="character" w:customStyle="1" w:styleId="230">
    <w:name w:val="正文文本 2 字符"/>
    <w:link w:val="77"/>
    <w:qFormat/>
    <w:uiPriority w:val="99"/>
    <w:rPr>
      <w:sz w:val="24"/>
      <w:szCs w:val="24"/>
      <w:lang w:eastAsia="en-US" w:bidi="en-US"/>
    </w:rPr>
  </w:style>
  <w:style w:type="character" w:customStyle="1" w:styleId="231">
    <w:name w:val="正文文本 Char"/>
    <w:qFormat/>
    <w:uiPriority w:val="0"/>
    <w:rPr>
      <w:kern w:val="2"/>
      <w:sz w:val="21"/>
    </w:rPr>
  </w:style>
  <w:style w:type="character" w:customStyle="1" w:styleId="232">
    <w:name w:val="日期 Char"/>
    <w:qFormat/>
    <w:uiPriority w:val="0"/>
    <w:rPr>
      <w:sz w:val="24"/>
      <w:szCs w:val="24"/>
      <w:lang w:eastAsia="en-US" w:bidi="en-US"/>
    </w:rPr>
  </w:style>
  <w:style w:type="character" w:customStyle="1" w:styleId="233">
    <w:name w:val="BOD 0 Char"/>
    <w:qFormat/>
    <w:uiPriority w:val="0"/>
    <w:rPr>
      <w:rFonts w:eastAsia="宋体"/>
      <w:sz w:val="28"/>
      <w:lang w:val="en-US" w:eastAsia="zh-CN" w:bidi="ar-SA"/>
    </w:rPr>
  </w:style>
  <w:style w:type="character" w:customStyle="1" w:styleId="234">
    <w:name w:val="页眉zxl Char"/>
    <w:qFormat/>
    <w:uiPriority w:val="0"/>
    <w:rPr>
      <w:rFonts w:ascii="隶书" w:eastAsia="隶书"/>
      <w:kern w:val="2"/>
      <w:sz w:val="24"/>
      <w:szCs w:val="24"/>
    </w:rPr>
  </w:style>
  <w:style w:type="character" w:customStyle="1" w:styleId="235">
    <w:name w:val="副标题 字符"/>
    <w:link w:val="64"/>
    <w:qFormat/>
    <w:uiPriority w:val="11"/>
    <w:rPr>
      <w:rFonts w:ascii="宋体" w:hAnsi="宋体" w:cs="宋体"/>
      <w:b/>
      <w:bCs/>
      <w:sz w:val="24"/>
      <w:szCs w:val="26"/>
      <w:lang w:val="zh-CN" w:eastAsia="en-US" w:bidi="en-US"/>
    </w:rPr>
  </w:style>
  <w:style w:type="character" w:customStyle="1" w:styleId="236">
    <w:name w:val="明显引用 字符"/>
    <w:link w:val="237"/>
    <w:qFormat/>
    <w:uiPriority w:val="30"/>
    <w:rPr>
      <w:b/>
      <w:i/>
      <w:sz w:val="24"/>
      <w:szCs w:val="22"/>
      <w:lang w:eastAsia="en-US" w:bidi="en-US"/>
    </w:rPr>
  </w:style>
  <w:style w:type="paragraph" w:styleId="237">
    <w:name w:val="Intense Quote"/>
    <w:basedOn w:val="1"/>
    <w:next w:val="1"/>
    <w:link w:val="236"/>
    <w:qFormat/>
    <w:uiPriority w:val="30"/>
    <w:pPr>
      <w:widowControl/>
      <w:adjustRightInd w:val="0"/>
      <w:snapToGrid w:val="0"/>
      <w:spacing w:line="360" w:lineRule="auto"/>
      <w:ind w:left="720" w:right="720" w:firstLine="200" w:firstLineChars="200"/>
    </w:pPr>
    <w:rPr>
      <w:b/>
      <w:i/>
      <w:kern w:val="0"/>
      <w:sz w:val="24"/>
      <w:szCs w:val="22"/>
      <w:lang w:val="zh-CN" w:eastAsia="en-US" w:bidi="en-US"/>
    </w:rPr>
  </w:style>
  <w:style w:type="character" w:customStyle="1" w:styleId="238">
    <w:name w:val="不明显强调1"/>
    <w:qFormat/>
    <w:uiPriority w:val="19"/>
    <w:rPr>
      <w:i/>
      <w:color w:val="5A5A5A"/>
    </w:rPr>
  </w:style>
  <w:style w:type="character" w:customStyle="1" w:styleId="239">
    <w:name w:val="明显强调1"/>
    <w:qFormat/>
    <w:uiPriority w:val="21"/>
    <w:rPr>
      <w:b/>
      <w:i/>
      <w:sz w:val="24"/>
      <w:szCs w:val="24"/>
      <w:u w:val="single"/>
    </w:rPr>
  </w:style>
  <w:style w:type="character" w:customStyle="1" w:styleId="240">
    <w:name w:val="不明显参考1"/>
    <w:qFormat/>
    <w:uiPriority w:val="31"/>
    <w:rPr>
      <w:sz w:val="24"/>
      <w:szCs w:val="24"/>
      <w:u w:val="single"/>
    </w:rPr>
  </w:style>
  <w:style w:type="character" w:customStyle="1" w:styleId="241">
    <w:name w:val="明显参考1"/>
    <w:qFormat/>
    <w:uiPriority w:val="32"/>
    <w:rPr>
      <w:b/>
      <w:sz w:val="24"/>
      <w:u w:val="single"/>
    </w:rPr>
  </w:style>
  <w:style w:type="character" w:customStyle="1" w:styleId="242">
    <w:name w:val="正文文本缩进 Char"/>
    <w:qFormat/>
    <w:uiPriority w:val="0"/>
    <w:rPr>
      <w:kern w:val="2"/>
      <w:sz w:val="24"/>
    </w:rPr>
  </w:style>
  <w:style w:type="character" w:customStyle="1" w:styleId="243">
    <w:name w:val="正文表格内容 Char"/>
    <w:link w:val="244"/>
    <w:qFormat/>
    <w:uiPriority w:val="0"/>
    <w:rPr>
      <w:rFonts w:eastAsia="楷体_GB2312" w:cs="宋体"/>
      <w:color w:val="000000"/>
      <w:kern w:val="2"/>
      <w:sz w:val="21"/>
    </w:rPr>
  </w:style>
  <w:style w:type="paragraph" w:customStyle="1" w:styleId="244">
    <w:name w:val="正文表格内容"/>
    <w:basedOn w:val="1"/>
    <w:link w:val="243"/>
    <w:qFormat/>
    <w:uiPriority w:val="0"/>
    <w:pPr>
      <w:spacing w:line="360" w:lineRule="exact"/>
      <w:jc w:val="center"/>
    </w:pPr>
    <w:rPr>
      <w:rFonts w:eastAsia="楷体_GB2312"/>
      <w:color w:val="000000"/>
      <w:szCs w:val="20"/>
      <w:lang w:val="zh-CN"/>
    </w:rPr>
  </w:style>
  <w:style w:type="character" w:customStyle="1" w:styleId="245">
    <w:name w:val="tpc_content"/>
    <w:basedOn w:val="135"/>
    <w:qFormat/>
    <w:uiPriority w:val="0"/>
  </w:style>
  <w:style w:type="character" w:customStyle="1" w:styleId="246">
    <w:name w:val="表头 Char"/>
    <w:link w:val="247"/>
    <w:qFormat/>
    <w:uiPriority w:val="0"/>
    <w:rPr>
      <w:b/>
      <w:kern w:val="2"/>
      <w:sz w:val="24"/>
      <w:szCs w:val="24"/>
    </w:rPr>
  </w:style>
  <w:style w:type="paragraph" w:customStyle="1" w:styleId="247">
    <w:name w:val="表头"/>
    <w:basedOn w:val="248"/>
    <w:link w:val="246"/>
    <w:qFormat/>
    <w:uiPriority w:val="0"/>
    <w:pPr>
      <w:spacing w:line="360" w:lineRule="auto"/>
      <w:ind w:firstLine="200" w:firstLineChars="200"/>
      <w:jc w:val="center"/>
    </w:pPr>
    <w:rPr>
      <w:sz w:val="24"/>
      <w:lang w:val="zh-CN"/>
    </w:rPr>
  </w:style>
  <w:style w:type="paragraph" w:customStyle="1" w:styleId="248">
    <w:name w:val="图、表"/>
    <w:basedOn w:val="24"/>
    <w:link w:val="588"/>
    <w:qFormat/>
    <w:uiPriority w:val="0"/>
    <w:pPr>
      <w:spacing w:line="360" w:lineRule="auto"/>
      <w:jc w:val="center"/>
    </w:pPr>
    <w:rPr>
      <w:rFonts w:ascii="Times New Roman" w:hAnsi="Times New Roman" w:eastAsia="宋体"/>
      <w:b/>
      <w:sz w:val="24"/>
      <w:lang w:val="en-US"/>
    </w:rPr>
  </w:style>
  <w:style w:type="character" w:customStyle="1" w:styleId="249">
    <w:name w:val="表格内文字 Char1"/>
    <w:link w:val="250"/>
    <w:qFormat/>
    <w:uiPriority w:val="0"/>
    <w:rPr>
      <w:spacing w:val="4"/>
      <w:kern w:val="18"/>
      <w:sz w:val="24"/>
    </w:rPr>
  </w:style>
  <w:style w:type="paragraph" w:customStyle="1" w:styleId="250">
    <w:name w:val="表格内文字"/>
    <w:basedOn w:val="1"/>
    <w:link w:val="249"/>
    <w:qFormat/>
    <w:uiPriority w:val="0"/>
    <w:pPr>
      <w:tabs>
        <w:tab w:val="left" w:pos="0"/>
      </w:tabs>
      <w:adjustRightInd w:val="0"/>
      <w:snapToGrid w:val="0"/>
      <w:spacing w:line="360" w:lineRule="auto"/>
      <w:ind w:firstLine="200" w:firstLineChars="200"/>
      <w:jc w:val="center"/>
    </w:pPr>
    <w:rPr>
      <w:spacing w:val="4"/>
      <w:kern w:val="18"/>
      <w:sz w:val="24"/>
      <w:szCs w:val="20"/>
      <w:lang w:val="zh-CN"/>
    </w:rPr>
  </w:style>
  <w:style w:type="character" w:customStyle="1" w:styleId="251">
    <w:name w:val="表格1 Char"/>
    <w:link w:val="252"/>
    <w:qFormat/>
    <w:uiPriority w:val="0"/>
    <w:rPr>
      <w:kern w:val="2"/>
      <w:sz w:val="21"/>
      <w:szCs w:val="21"/>
    </w:rPr>
  </w:style>
  <w:style w:type="paragraph" w:customStyle="1" w:styleId="252">
    <w:name w:val="表格1"/>
    <w:basedOn w:val="1"/>
    <w:link w:val="251"/>
    <w:qFormat/>
    <w:uiPriority w:val="0"/>
    <w:pPr>
      <w:adjustRightInd w:val="0"/>
      <w:snapToGrid w:val="0"/>
      <w:jc w:val="center"/>
    </w:pPr>
    <w:rPr>
      <w:szCs w:val="21"/>
      <w:lang w:val="zh-CN"/>
    </w:rPr>
  </w:style>
  <w:style w:type="character" w:customStyle="1" w:styleId="253">
    <w:name w:val="表头 Char Char"/>
    <w:qFormat/>
    <w:uiPriority w:val="0"/>
    <w:rPr>
      <w:b/>
      <w:kern w:val="2"/>
      <w:sz w:val="21"/>
      <w:szCs w:val="24"/>
    </w:rPr>
  </w:style>
  <w:style w:type="character" w:customStyle="1" w:styleId="254">
    <w:name w:val="apple-converted-space"/>
    <w:basedOn w:val="135"/>
    <w:qFormat/>
    <w:uiPriority w:val="0"/>
  </w:style>
  <w:style w:type="character" w:customStyle="1" w:styleId="255">
    <w:name w:val="标题 Char1"/>
    <w:qFormat/>
    <w:uiPriority w:val="0"/>
    <w:rPr>
      <w:rFonts w:ascii="Cambria" w:hAnsi="Cambria" w:cs="Times New Roman"/>
      <w:b/>
      <w:bCs/>
      <w:kern w:val="2"/>
      <w:sz w:val="32"/>
      <w:szCs w:val="32"/>
    </w:rPr>
  </w:style>
  <w:style w:type="paragraph" w:customStyle="1" w:styleId="256">
    <w:name w:val="目录 91"/>
    <w:basedOn w:val="1"/>
    <w:next w:val="1"/>
    <w:qFormat/>
    <w:locked/>
    <w:uiPriority w:val="39"/>
    <w:pPr>
      <w:widowControl/>
      <w:adjustRightInd w:val="0"/>
      <w:snapToGrid w:val="0"/>
      <w:spacing w:line="360" w:lineRule="auto"/>
      <w:ind w:left="2240" w:firstLine="200" w:firstLineChars="200"/>
      <w:jc w:val="left"/>
    </w:pPr>
    <w:rPr>
      <w:rFonts w:ascii="Calibri" w:hAnsi="Calibri"/>
      <w:kern w:val="0"/>
      <w:sz w:val="18"/>
      <w:szCs w:val="18"/>
      <w:lang w:eastAsia="en-US" w:bidi="en-US"/>
    </w:rPr>
  </w:style>
  <w:style w:type="paragraph" w:customStyle="1" w:styleId="257">
    <w:name w:val="样式 表格 + 加粗"/>
    <w:basedOn w:val="167"/>
    <w:qFormat/>
    <w:uiPriority w:val="0"/>
    <w:pPr>
      <w:widowControl/>
      <w:spacing w:beforeLines="0" w:afterLines="0" w:line="240" w:lineRule="auto"/>
    </w:pPr>
    <w:rPr>
      <w:rFonts w:ascii="Times New Roman" w:hAnsi="宋体"/>
      <w:b/>
      <w:bCs/>
      <w:snapToGrid w:val="0"/>
      <w:color w:val="000000"/>
      <w:spacing w:val="-4"/>
      <w:szCs w:val="21"/>
      <w:lang w:eastAsia="en-US" w:bidi="en-US"/>
    </w:rPr>
  </w:style>
  <w:style w:type="paragraph" w:customStyle="1" w:styleId="258">
    <w:name w:val="目录 81"/>
    <w:basedOn w:val="1"/>
    <w:next w:val="1"/>
    <w:qFormat/>
    <w:locked/>
    <w:uiPriority w:val="39"/>
    <w:pPr>
      <w:widowControl/>
      <w:adjustRightInd w:val="0"/>
      <w:snapToGrid w:val="0"/>
      <w:spacing w:line="360" w:lineRule="auto"/>
      <w:ind w:left="1960" w:firstLine="200" w:firstLineChars="200"/>
      <w:jc w:val="left"/>
    </w:pPr>
    <w:rPr>
      <w:rFonts w:ascii="Calibri" w:hAnsi="Calibri"/>
      <w:kern w:val="0"/>
      <w:sz w:val="18"/>
      <w:szCs w:val="18"/>
      <w:lang w:eastAsia="en-US" w:bidi="en-US"/>
    </w:rPr>
  </w:style>
  <w:style w:type="paragraph" w:customStyle="1" w:styleId="259">
    <w:name w:val="样式 样式 左侧:  2 字符 + 首行缩进:  2 字符 Char"/>
    <w:basedOn w:val="1"/>
    <w:qFormat/>
    <w:uiPriority w:val="0"/>
    <w:pPr>
      <w:spacing w:line="360" w:lineRule="auto"/>
      <w:ind w:firstLine="540" w:firstLineChars="225"/>
    </w:pPr>
    <w:rPr>
      <w:bCs/>
      <w:sz w:val="24"/>
    </w:rPr>
  </w:style>
  <w:style w:type="character" w:customStyle="1" w:styleId="260">
    <w:name w:val="HTML 预设格式 Char1"/>
    <w:qFormat/>
    <w:uiPriority w:val="0"/>
    <w:rPr>
      <w:rFonts w:ascii="Courier New" w:hAnsi="Courier New" w:cs="Courier New"/>
      <w:kern w:val="2"/>
    </w:rPr>
  </w:style>
  <w:style w:type="character" w:customStyle="1" w:styleId="261">
    <w:name w:val="正文文本 2 Char1"/>
    <w:qFormat/>
    <w:uiPriority w:val="0"/>
    <w:rPr>
      <w:kern w:val="2"/>
      <w:sz w:val="21"/>
      <w:szCs w:val="24"/>
    </w:rPr>
  </w:style>
  <w:style w:type="paragraph" w:customStyle="1" w:styleId="262">
    <w:name w:val="目录 61"/>
    <w:basedOn w:val="1"/>
    <w:next w:val="1"/>
    <w:qFormat/>
    <w:locked/>
    <w:uiPriority w:val="39"/>
    <w:pPr>
      <w:widowControl/>
      <w:adjustRightInd w:val="0"/>
      <w:snapToGrid w:val="0"/>
      <w:spacing w:line="360" w:lineRule="auto"/>
      <w:ind w:left="1400" w:firstLine="200" w:firstLineChars="200"/>
      <w:jc w:val="left"/>
    </w:pPr>
    <w:rPr>
      <w:rFonts w:ascii="Calibri" w:hAnsi="Calibri"/>
      <w:kern w:val="0"/>
      <w:sz w:val="18"/>
      <w:szCs w:val="18"/>
      <w:lang w:eastAsia="en-US" w:bidi="en-US"/>
    </w:rPr>
  </w:style>
  <w:style w:type="paragraph" w:customStyle="1" w:styleId="263">
    <w:name w:val="目录 41"/>
    <w:basedOn w:val="1"/>
    <w:next w:val="1"/>
    <w:qFormat/>
    <w:locked/>
    <w:uiPriority w:val="39"/>
    <w:pPr>
      <w:widowControl/>
      <w:adjustRightInd w:val="0"/>
      <w:snapToGrid w:val="0"/>
      <w:spacing w:line="360" w:lineRule="auto"/>
      <w:ind w:left="567" w:firstLine="200" w:firstLineChars="200"/>
    </w:pPr>
    <w:rPr>
      <w:kern w:val="0"/>
      <w:sz w:val="24"/>
      <w:szCs w:val="18"/>
      <w:lang w:eastAsia="en-US" w:bidi="en-US"/>
    </w:rPr>
  </w:style>
  <w:style w:type="paragraph" w:customStyle="1" w:styleId="264">
    <w:name w:val="目录 71"/>
    <w:basedOn w:val="1"/>
    <w:next w:val="1"/>
    <w:qFormat/>
    <w:locked/>
    <w:uiPriority w:val="39"/>
    <w:pPr>
      <w:widowControl/>
      <w:adjustRightInd w:val="0"/>
      <w:snapToGrid w:val="0"/>
      <w:spacing w:line="360" w:lineRule="auto"/>
      <w:ind w:left="1680" w:firstLine="200" w:firstLineChars="200"/>
      <w:jc w:val="left"/>
    </w:pPr>
    <w:rPr>
      <w:rFonts w:ascii="Calibri" w:hAnsi="Calibri"/>
      <w:kern w:val="0"/>
      <w:sz w:val="18"/>
      <w:szCs w:val="18"/>
      <w:lang w:eastAsia="en-US" w:bidi="en-US"/>
    </w:rPr>
  </w:style>
  <w:style w:type="paragraph" w:customStyle="1" w:styleId="265">
    <w:name w:val="Char Char1 Char Char Char Char"/>
    <w:basedOn w:val="1"/>
    <w:qFormat/>
    <w:uiPriority w:val="0"/>
    <w:pPr>
      <w:widowControl/>
      <w:adjustRightInd w:val="0"/>
      <w:snapToGrid w:val="0"/>
      <w:spacing w:line="360" w:lineRule="auto"/>
      <w:ind w:firstLine="200" w:firstLineChars="200"/>
    </w:pPr>
    <w:rPr>
      <w:kern w:val="0"/>
      <w:sz w:val="24"/>
      <w:lang w:eastAsia="en-US" w:bidi="en-US"/>
    </w:rPr>
  </w:style>
  <w:style w:type="character" w:customStyle="1" w:styleId="266">
    <w:name w:val="正文文本缩进 3 字符"/>
    <w:link w:val="71"/>
    <w:qFormat/>
    <w:uiPriority w:val="99"/>
    <w:rPr>
      <w:kern w:val="2"/>
      <w:sz w:val="16"/>
    </w:rPr>
  </w:style>
  <w:style w:type="paragraph" w:customStyle="1" w:styleId="267">
    <w:name w:val="目录 11"/>
    <w:basedOn w:val="1"/>
    <w:next w:val="1"/>
    <w:qFormat/>
    <w:locked/>
    <w:uiPriority w:val="0"/>
    <w:pPr>
      <w:widowControl/>
      <w:tabs>
        <w:tab w:val="right" w:leader="dot" w:pos="9061"/>
      </w:tabs>
      <w:adjustRightInd w:val="0"/>
      <w:snapToGrid w:val="0"/>
      <w:spacing w:before="100" w:beforeAutospacing="1" w:after="100" w:afterAutospacing="1" w:line="360" w:lineRule="auto"/>
      <w:ind w:firstLine="200" w:firstLineChars="200"/>
    </w:pPr>
    <w:rPr>
      <w:rFonts w:cs="宋体-18030"/>
      <w:b/>
      <w:bCs/>
      <w:caps/>
      <w:kern w:val="0"/>
      <w:sz w:val="24"/>
      <w:szCs w:val="22"/>
      <w:lang w:eastAsia="en-US" w:bidi="en-US"/>
    </w:rPr>
  </w:style>
  <w:style w:type="character" w:customStyle="1" w:styleId="268">
    <w:name w:val="纯文本 Char1"/>
    <w:qFormat/>
    <w:uiPriority w:val="0"/>
    <w:rPr>
      <w:rFonts w:ascii="宋体" w:hAnsi="Courier New" w:cs="Courier New"/>
      <w:kern w:val="2"/>
      <w:sz w:val="21"/>
      <w:szCs w:val="21"/>
    </w:rPr>
  </w:style>
  <w:style w:type="paragraph" w:customStyle="1" w:styleId="269">
    <w:name w:val="目录 21"/>
    <w:basedOn w:val="1"/>
    <w:next w:val="1"/>
    <w:qFormat/>
    <w:locked/>
    <w:uiPriority w:val="39"/>
    <w:pPr>
      <w:widowControl/>
      <w:tabs>
        <w:tab w:val="right" w:leader="dot" w:pos="9061"/>
      </w:tabs>
      <w:adjustRightInd w:val="0"/>
      <w:snapToGrid w:val="0"/>
      <w:spacing w:line="360" w:lineRule="auto"/>
      <w:ind w:left="200" w:leftChars="200" w:firstLine="200" w:firstLineChars="200"/>
    </w:pPr>
    <w:rPr>
      <w:smallCaps/>
      <w:kern w:val="0"/>
      <w:sz w:val="24"/>
      <w:lang w:eastAsia="en-US" w:bidi="en-US"/>
    </w:rPr>
  </w:style>
  <w:style w:type="character" w:customStyle="1" w:styleId="270">
    <w:name w:val="副标题 Char1"/>
    <w:qFormat/>
    <w:uiPriority w:val="0"/>
    <w:rPr>
      <w:rFonts w:ascii="Cambria" w:hAnsi="Cambria" w:cs="Times New Roman"/>
      <w:b/>
      <w:bCs/>
      <w:kern w:val="28"/>
      <w:sz w:val="32"/>
      <w:szCs w:val="32"/>
    </w:rPr>
  </w:style>
  <w:style w:type="character" w:customStyle="1" w:styleId="271">
    <w:name w:val="正文首行缩进 Char1"/>
    <w:qFormat/>
    <w:uiPriority w:val="0"/>
    <w:rPr>
      <w:kern w:val="2"/>
      <w:sz w:val="21"/>
      <w:szCs w:val="24"/>
    </w:rPr>
  </w:style>
  <w:style w:type="paragraph" w:customStyle="1" w:styleId="272">
    <w:name w:val="xl42"/>
    <w:basedOn w:val="1"/>
    <w:qFormat/>
    <w:uiPriority w:val="0"/>
    <w:pPr>
      <w:widowControl/>
      <w:pBdr>
        <w:bottom w:val="dotted" w:color="auto" w:sz="4" w:space="0"/>
        <w:right w:val="dotted" w:color="auto" w:sz="4" w:space="0"/>
      </w:pBdr>
      <w:adjustRightInd w:val="0"/>
      <w:snapToGrid w:val="0"/>
      <w:spacing w:before="100" w:beforeAutospacing="1" w:after="100" w:afterAutospacing="1" w:line="360" w:lineRule="auto"/>
      <w:ind w:firstLine="200" w:firstLineChars="200"/>
      <w:jc w:val="center"/>
    </w:pPr>
    <w:rPr>
      <w:kern w:val="0"/>
      <w:sz w:val="24"/>
      <w:szCs w:val="21"/>
      <w:lang w:eastAsia="en-US" w:bidi="en-US"/>
    </w:rPr>
  </w:style>
  <w:style w:type="paragraph" w:customStyle="1" w:styleId="273">
    <w:name w:val="表"/>
    <w:basedOn w:val="1"/>
    <w:qFormat/>
    <w:uiPriority w:val="0"/>
    <w:pPr>
      <w:spacing w:beforeLines="50"/>
      <w:ind w:firstLine="200" w:firstLineChars="200"/>
    </w:pPr>
    <w:rPr>
      <w:rFonts w:eastAsia="仿宋_GB2312"/>
      <w:b/>
      <w:bCs/>
      <w:kern w:val="0"/>
      <w:sz w:val="28"/>
      <w:szCs w:val="20"/>
    </w:rPr>
  </w:style>
  <w:style w:type="paragraph" w:customStyle="1" w:styleId="274">
    <w:name w:val="目录 31"/>
    <w:basedOn w:val="1"/>
    <w:next w:val="1"/>
    <w:qFormat/>
    <w:locked/>
    <w:uiPriority w:val="39"/>
    <w:pPr>
      <w:widowControl/>
      <w:tabs>
        <w:tab w:val="right" w:leader="hyphen" w:pos="9061"/>
      </w:tabs>
      <w:adjustRightInd w:val="0"/>
      <w:snapToGrid w:val="0"/>
      <w:spacing w:line="360" w:lineRule="auto"/>
      <w:ind w:left="567" w:firstLine="200" w:firstLineChars="200"/>
    </w:pPr>
    <w:rPr>
      <w:iCs/>
      <w:kern w:val="0"/>
      <w:sz w:val="24"/>
      <w:lang w:eastAsia="en-US" w:bidi="en-US"/>
    </w:rPr>
  </w:style>
  <w:style w:type="paragraph" w:customStyle="1" w:styleId="275">
    <w:name w:val="目录 51"/>
    <w:basedOn w:val="1"/>
    <w:next w:val="1"/>
    <w:qFormat/>
    <w:locked/>
    <w:uiPriority w:val="39"/>
    <w:pPr>
      <w:widowControl/>
      <w:adjustRightInd w:val="0"/>
      <w:snapToGrid w:val="0"/>
      <w:spacing w:line="360" w:lineRule="auto"/>
      <w:ind w:left="1120" w:firstLine="200" w:firstLineChars="200"/>
      <w:jc w:val="left"/>
    </w:pPr>
    <w:rPr>
      <w:rFonts w:ascii="Calibri" w:hAnsi="Calibri"/>
      <w:kern w:val="0"/>
      <w:sz w:val="18"/>
      <w:szCs w:val="18"/>
      <w:lang w:eastAsia="en-US" w:bidi="en-US"/>
    </w:rPr>
  </w:style>
  <w:style w:type="paragraph" w:customStyle="1" w:styleId="276">
    <w:name w:val="y表头"/>
    <w:basedOn w:val="36"/>
    <w:qFormat/>
    <w:uiPriority w:val="0"/>
    <w:pPr>
      <w:widowControl w:val="0"/>
      <w:tabs>
        <w:tab w:val="left" w:pos="900"/>
      </w:tabs>
      <w:adjustRightInd w:val="0"/>
      <w:snapToGrid/>
      <w:spacing w:before="0" w:after="0" w:line="360" w:lineRule="auto"/>
      <w:ind w:right="0" w:firstLine="200" w:firstLineChars="200"/>
      <w:jc w:val="center"/>
      <w:textAlignment w:val="baseline"/>
    </w:pPr>
    <w:rPr>
      <w:rFonts w:hint="eastAsia" w:ascii="宋体" w:hAnsi="宋体" w:eastAsia="楷体_GB2312"/>
      <w:b/>
      <w:kern w:val="2"/>
      <w:sz w:val="21"/>
    </w:rPr>
  </w:style>
  <w:style w:type="paragraph" w:customStyle="1" w:styleId="277">
    <w:name w:val="Char"/>
    <w:basedOn w:val="1"/>
    <w:qFormat/>
    <w:uiPriority w:val="0"/>
    <w:pPr>
      <w:spacing w:line="360" w:lineRule="auto"/>
      <w:ind w:firstLine="200" w:firstLineChars="200"/>
    </w:pPr>
    <w:rPr>
      <w:sz w:val="24"/>
      <w:szCs w:val="20"/>
    </w:rPr>
  </w:style>
  <w:style w:type="paragraph" w:customStyle="1" w:styleId="278">
    <w:name w:val="xl27"/>
    <w:basedOn w:val="1"/>
    <w:qFormat/>
    <w:uiPriority w:val="0"/>
    <w:pPr>
      <w:widowControl/>
      <w:pBdr>
        <w:bottom w:val="single" w:color="auto" w:sz="12" w:space="0"/>
      </w:pBdr>
      <w:spacing w:before="100" w:after="100" w:line="360" w:lineRule="auto"/>
      <w:ind w:firstLine="200" w:firstLineChars="200"/>
      <w:jc w:val="center"/>
    </w:pPr>
    <w:rPr>
      <w:rFonts w:ascii="宋体" w:hAnsi="宋体"/>
      <w:kern w:val="0"/>
      <w:sz w:val="24"/>
      <w:szCs w:val="20"/>
    </w:rPr>
  </w:style>
  <w:style w:type="paragraph" w:customStyle="1" w:styleId="279">
    <w:name w:val="xl67"/>
    <w:basedOn w:val="1"/>
    <w:qFormat/>
    <w:uiPriority w:val="0"/>
    <w:pPr>
      <w:widowControl/>
      <w:pBdr>
        <w:left w:val="single" w:color="auto" w:sz="4" w:space="0"/>
      </w:pBdr>
      <w:spacing w:before="100" w:beforeAutospacing="1" w:after="100" w:afterAutospacing="1" w:line="360" w:lineRule="auto"/>
      <w:ind w:firstLine="200" w:firstLineChars="200"/>
      <w:jc w:val="center"/>
    </w:pPr>
    <w:rPr>
      <w:rFonts w:hint="eastAsia" w:ascii="仿宋_GB2312" w:hAnsi="宋体" w:eastAsia="仿宋_GB2312"/>
      <w:kern w:val="0"/>
      <w:sz w:val="24"/>
    </w:rPr>
  </w:style>
  <w:style w:type="paragraph" w:customStyle="1" w:styleId="280">
    <w:name w:val="样式 列表 + 五号 加粗"/>
    <w:basedOn w:val="67"/>
    <w:qFormat/>
    <w:uiPriority w:val="0"/>
    <w:rPr>
      <w:rFonts w:ascii="Times New Roman" w:hAnsi="Times New Roman"/>
      <w:bCs/>
      <w:sz w:val="21"/>
    </w:rPr>
  </w:style>
  <w:style w:type="paragraph" w:customStyle="1" w:styleId="281">
    <w:name w:val="char"/>
    <w:basedOn w:val="1"/>
    <w:qFormat/>
    <w:uiPriority w:val="0"/>
    <w:pPr>
      <w:widowControl/>
      <w:spacing w:after="160" w:line="360" w:lineRule="auto"/>
      <w:ind w:firstLine="200" w:firstLineChars="200"/>
      <w:jc w:val="left"/>
    </w:pPr>
    <w:rPr>
      <w:rFonts w:ascii="Verdana" w:hAnsi="Verdana" w:eastAsia="仿宋_GB2312" w:cs="”“Times New Roman”“"/>
      <w:kern w:val="0"/>
      <w:sz w:val="28"/>
      <w:szCs w:val="28"/>
      <w:lang w:eastAsia="en-US"/>
    </w:rPr>
  </w:style>
  <w:style w:type="paragraph" w:customStyle="1" w:styleId="282">
    <w:name w:val="单位名称"/>
    <w:basedOn w:val="1"/>
    <w:next w:val="1"/>
    <w:qFormat/>
    <w:uiPriority w:val="0"/>
    <w:pPr>
      <w:widowControl/>
      <w:spacing w:line="360" w:lineRule="auto"/>
      <w:ind w:firstLine="200" w:firstLineChars="200"/>
      <w:jc w:val="center"/>
    </w:pPr>
    <w:rPr>
      <w:kern w:val="0"/>
      <w:sz w:val="44"/>
      <w:szCs w:val="44"/>
      <w:lang w:eastAsia="en-US" w:bidi="en-US"/>
    </w:rPr>
  </w:style>
  <w:style w:type="paragraph" w:customStyle="1" w:styleId="283">
    <w:name w:val="新表"/>
    <w:basedOn w:val="1"/>
    <w:qFormat/>
    <w:uiPriority w:val="0"/>
    <w:pPr>
      <w:spacing w:line="360" w:lineRule="exact"/>
      <w:ind w:firstLine="200" w:firstLineChars="200"/>
    </w:pPr>
    <w:rPr>
      <w:rFonts w:eastAsia="仿宋_GB2312"/>
      <w:bCs/>
      <w:kern w:val="0"/>
      <w:sz w:val="24"/>
      <w:szCs w:val="20"/>
    </w:rPr>
  </w:style>
  <w:style w:type="paragraph" w:customStyle="1" w:styleId="284">
    <w:name w:val="列出段落1"/>
    <w:basedOn w:val="1"/>
    <w:qFormat/>
    <w:uiPriority w:val="0"/>
    <w:pPr>
      <w:spacing w:line="360" w:lineRule="auto"/>
      <w:ind w:firstLine="420" w:firstLineChars="200"/>
    </w:pPr>
    <w:rPr>
      <w:sz w:val="24"/>
    </w:rPr>
  </w:style>
  <w:style w:type="paragraph" w:customStyle="1" w:styleId="285">
    <w:name w:val="标题 2+ 行距: 固定值 24 磅 Char"/>
    <w:basedOn w:val="4"/>
    <w:qFormat/>
    <w:uiPriority w:val="0"/>
    <w:pPr>
      <w:spacing w:before="260" w:after="260" w:line="480" w:lineRule="exact"/>
    </w:pPr>
    <w:rPr>
      <w:sz w:val="32"/>
    </w:rPr>
  </w:style>
  <w:style w:type="paragraph" w:customStyle="1" w:styleId="286">
    <w:name w:val="表题格式"/>
    <w:basedOn w:val="1"/>
    <w:qFormat/>
    <w:uiPriority w:val="0"/>
    <w:pPr>
      <w:spacing w:line="440" w:lineRule="exact"/>
      <w:ind w:firstLine="377" w:firstLineChars="377"/>
    </w:pPr>
    <w:rPr>
      <w:rFonts w:eastAsia="黑体"/>
      <w:kern w:val="0"/>
      <w:sz w:val="24"/>
      <w:szCs w:val="20"/>
    </w:rPr>
  </w:style>
  <w:style w:type="paragraph" w:customStyle="1" w:styleId="287">
    <w:name w:val="表文字"/>
    <w:basedOn w:val="1"/>
    <w:link w:val="889"/>
    <w:qFormat/>
    <w:uiPriority w:val="0"/>
    <w:pPr>
      <w:widowControl/>
      <w:spacing w:line="360" w:lineRule="auto"/>
      <w:ind w:firstLine="200" w:firstLineChars="200"/>
      <w:jc w:val="center"/>
    </w:pPr>
    <w:rPr>
      <w:kern w:val="0"/>
      <w:sz w:val="24"/>
      <w:szCs w:val="21"/>
    </w:rPr>
  </w:style>
  <w:style w:type="paragraph" w:customStyle="1" w:styleId="288">
    <w:name w:val="表格式"/>
    <w:basedOn w:val="67"/>
    <w:qFormat/>
    <w:uiPriority w:val="0"/>
    <w:rPr>
      <w:rFonts w:hAnsi="Times New Roman"/>
      <w:sz w:val="21"/>
    </w:rPr>
  </w:style>
  <w:style w:type="paragraph" w:customStyle="1" w:styleId="289">
    <w:name w:val="font0"/>
    <w:basedOn w:val="1"/>
    <w:qFormat/>
    <w:uiPriority w:val="0"/>
    <w:pPr>
      <w:widowControl/>
      <w:spacing w:before="100" w:beforeAutospacing="1" w:after="100" w:afterAutospacing="1" w:line="360" w:lineRule="auto"/>
      <w:ind w:firstLine="200" w:firstLineChars="200"/>
      <w:jc w:val="left"/>
    </w:pPr>
    <w:rPr>
      <w:rFonts w:hint="eastAsia" w:ascii="宋体" w:hAnsi="宋体"/>
      <w:kern w:val="0"/>
      <w:sz w:val="24"/>
    </w:rPr>
  </w:style>
  <w:style w:type="paragraph" w:customStyle="1" w:styleId="290">
    <w:name w:val="样式1"/>
    <w:basedOn w:val="63"/>
    <w:next w:val="1"/>
    <w:link w:val="493"/>
    <w:qFormat/>
    <w:uiPriority w:val="0"/>
    <w:pPr>
      <w:widowControl/>
      <w:adjustRightInd w:val="0"/>
      <w:snapToGrid w:val="0"/>
      <w:spacing w:line="360" w:lineRule="auto"/>
      <w:ind w:firstLine="200" w:firstLineChars="200"/>
      <w:jc w:val="center"/>
    </w:pPr>
    <w:rPr>
      <w:rFonts w:ascii="宋体" w:hAnsi="宋体"/>
      <w:spacing w:val="-12"/>
      <w:kern w:val="0"/>
      <w:sz w:val="24"/>
      <w:szCs w:val="28"/>
      <w:lang w:eastAsia="en-US" w:bidi="en-US"/>
    </w:rPr>
  </w:style>
  <w:style w:type="paragraph" w:customStyle="1" w:styleId="291">
    <w:name w:val="参加人员"/>
    <w:basedOn w:val="1"/>
    <w:link w:val="1486"/>
    <w:qFormat/>
    <w:uiPriority w:val="0"/>
    <w:pPr>
      <w:widowControl/>
      <w:adjustRightInd w:val="0"/>
      <w:snapToGrid w:val="0"/>
      <w:spacing w:line="360" w:lineRule="auto"/>
      <w:ind w:firstLine="200" w:firstLineChars="200"/>
    </w:pPr>
    <w:rPr>
      <w:kern w:val="0"/>
      <w:sz w:val="24"/>
      <w:lang w:eastAsia="en-US" w:bidi="en-US"/>
    </w:rPr>
  </w:style>
  <w:style w:type="paragraph" w:customStyle="1" w:styleId="292">
    <w:name w:val="tu"/>
    <w:basedOn w:val="74"/>
    <w:link w:val="1694"/>
    <w:qFormat/>
    <w:uiPriority w:val="0"/>
    <w:pPr>
      <w:ind w:left="0" w:firstLine="0"/>
      <w:jc w:val="center"/>
    </w:pPr>
    <w:rPr>
      <w:b/>
    </w:rPr>
  </w:style>
  <w:style w:type="paragraph" w:customStyle="1" w:styleId="293">
    <w:name w:val="3"/>
    <w:basedOn w:val="1"/>
    <w:next w:val="23"/>
    <w:semiHidden/>
    <w:qFormat/>
    <w:uiPriority w:val="0"/>
    <w:pPr>
      <w:widowControl/>
      <w:adjustRightInd w:val="0"/>
      <w:snapToGrid w:val="0"/>
      <w:spacing w:line="360" w:lineRule="auto"/>
      <w:ind w:firstLine="420" w:firstLineChars="200"/>
    </w:pPr>
    <w:rPr>
      <w:kern w:val="0"/>
      <w:sz w:val="24"/>
      <w:lang w:eastAsia="en-US" w:bidi="en-US"/>
    </w:rPr>
  </w:style>
  <w:style w:type="paragraph" w:customStyle="1" w:styleId="294">
    <w:name w:val="文件册号"/>
    <w:basedOn w:val="1"/>
    <w:next w:val="1"/>
    <w:qFormat/>
    <w:uiPriority w:val="0"/>
    <w:pPr>
      <w:widowControl/>
      <w:adjustRightInd w:val="0"/>
      <w:snapToGrid w:val="0"/>
      <w:spacing w:line="800" w:lineRule="atLeast"/>
      <w:ind w:firstLine="200" w:firstLineChars="200"/>
      <w:jc w:val="center"/>
    </w:pPr>
    <w:rPr>
      <w:kern w:val="0"/>
      <w:sz w:val="52"/>
      <w:szCs w:val="52"/>
      <w:lang w:eastAsia="en-US" w:bidi="en-US"/>
    </w:rPr>
  </w:style>
  <w:style w:type="paragraph" w:customStyle="1" w:styleId="295">
    <w:name w:val="6"/>
    <w:basedOn w:val="1"/>
    <w:next w:val="23"/>
    <w:qFormat/>
    <w:uiPriority w:val="0"/>
    <w:pPr>
      <w:widowControl/>
      <w:adjustRightInd w:val="0"/>
      <w:snapToGrid w:val="0"/>
      <w:spacing w:line="480" w:lineRule="atLeast"/>
      <w:ind w:firstLine="420" w:firstLineChars="200"/>
    </w:pPr>
    <w:rPr>
      <w:kern w:val="0"/>
      <w:sz w:val="24"/>
      <w:lang w:eastAsia="en-US" w:bidi="en-US"/>
    </w:rPr>
  </w:style>
  <w:style w:type="paragraph" w:customStyle="1" w:styleId="296">
    <w:name w:val="文件名称"/>
    <w:basedOn w:val="1"/>
    <w:next w:val="1"/>
    <w:qFormat/>
    <w:uiPriority w:val="0"/>
    <w:pPr>
      <w:widowControl/>
      <w:adjustRightInd w:val="0"/>
      <w:snapToGrid w:val="0"/>
      <w:spacing w:beforeLines="100" w:line="360" w:lineRule="auto"/>
      <w:ind w:firstLine="200" w:firstLineChars="200"/>
      <w:jc w:val="center"/>
    </w:pPr>
    <w:rPr>
      <w:rFonts w:ascii="黑体" w:eastAsia="黑体"/>
      <w:kern w:val="0"/>
      <w:sz w:val="84"/>
      <w:szCs w:val="84"/>
      <w:lang w:eastAsia="en-US" w:bidi="en-US"/>
    </w:rPr>
  </w:style>
  <w:style w:type="paragraph" w:customStyle="1" w:styleId="297">
    <w:name w:val="样式 标题 3 + 行距: 最小值 25 磅"/>
    <w:basedOn w:val="5"/>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298">
    <w:name w:val="样式 标题 3 + 左侧:  0 毫米 首行缩进:  0 毫米 行距: 最小值 25 磅"/>
    <w:basedOn w:val="5"/>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299">
    <w:name w:val="xl24"/>
    <w:basedOn w:val="1"/>
    <w:qFormat/>
    <w:uiPriority w:val="0"/>
    <w:pPr>
      <w:widowControl/>
      <w:pBdr>
        <w:left w:val="single" w:color="auto" w:sz="4" w:space="0"/>
        <w:bottom w:val="single" w:color="auto" w:sz="4" w:space="0"/>
        <w:right w:val="single" w:color="auto" w:sz="4" w:space="0"/>
      </w:pBdr>
      <w:adjustRightInd w:val="0"/>
      <w:snapToGrid w:val="0"/>
      <w:spacing w:before="100" w:beforeAutospacing="1" w:after="100" w:afterAutospacing="1" w:line="500" w:lineRule="atLeast"/>
      <w:ind w:firstLine="200" w:firstLineChars="200"/>
      <w:textAlignment w:val="top"/>
    </w:pPr>
    <w:rPr>
      <w:kern w:val="0"/>
      <w:sz w:val="24"/>
      <w:szCs w:val="28"/>
      <w:lang w:eastAsia="en-US" w:bidi="en-US"/>
    </w:rPr>
  </w:style>
  <w:style w:type="paragraph" w:customStyle="1" w:styleId="300">
    <w:name w:val="样式 标题 3 + 字距调整二号 行距: 最小值 25 磅"/>
    <w:basedOn w:val="5"/>
    <w:qFormat/>
    <w:uiPriority w:val="0"/>
    <w:pPr>
      <w:keepLines w:val="0"/>
      <w:widowControl/>
      <w:tabs>
        <w:tab w:val="left" w:pos="0"/>
      </w:tabs>
      <w:adjustRightInd w:val="0"/>
      <w:snapToGrid w:val="0"/>
      <w:spacing w:before="100" w:beforeAutospacing="1" w:after="100" w:afterAutospacing="1" w:line="360" w:lineRule="auto"/>
    </w:pPr>
    <w:rPr>
      <w:rFonts w:cs="宋体"/>
      <w:kern w:val="44"/>
      <w:sz w:val="24"/>
      <w:szCs w:val="26"/>
      <w:lang w:eastAsia="en-US" w:bidi="en-US"/>
    </w:rPr>
  </w:style>
  <w:style w:type="paragraph" w:customStyle="1" w:styleId="301">
    <w:name w:val="样式2"/>
    <w:basedOn w:val="5"/>
    <w:qFormat/>
    <w:uiPriority w:val="0"/>
    <w:pPr>
      <w:keepLines w:val="0"/>
      <w:widowControl/>
      <w:adjustRightInd w:val="0"/>
      <w:snapToGrid w:val="0"/>
      <w:spacing w:before="100" w:beforeAutospacing="1" w:after="100" w:afterAutospacing="1" w:line="500" w:lineRule="atLeast"/>
      <w:jc w:val="left"/>
    </w:pPr>
    <w:rPr>
      <w:color w:val="000000"/>
      <w:kern w:val="0"/>
      <w:sz w:val="24"/>
      <w:szCs w:val="26"/>
      <w:lang w:eastAsia="en-US" w:bidi="en-US"/>
    </w:rPr>
  </w:style>
  <w:style w:type="paragraph" w:customStyle="1" w:styleId="302">
    <w:name w:val="样式 标题 3 + 黑色 行距: 最小值 25 磅"/>
    <w:basedOn w:val="5"/>
    <w:qFormat/>
    <w:uiPriority w:val="0"/>
    <w:pPr>
      <w:keepLines w:val="0"/>
      <w:widowControl/>
      <w:adjustRightInd w:val="0"/>
      <w:snapToGrid w:val="0"/>
      <w:spacing w:before="100" w:beforeAutospacing="1" w:after="100" w:afterAutospacing="1" w:line="360" w:lineRule="auto"/>
    </w:pPr>
    <w:rPr>
      <w:rFonts w:cs="宋体"/>
      <w:color w:val="000000"/>
      <w:kern w:val="0"/>
      <w:sz w:val="24"/>
      <w:szCs w:val="26"/>
      <w:lang w:eastAsia="en-US" w:bidi="en-US"/>
    </w:rPr>
  </w:style>
  <w:style w:type="paragraph" w:customStyle="1" w:styleId="303">
    <w:name w:val="样式6"/>
    <w:basedOn w:val="1"/>
    <w:qFormat/>
    <w:uiPriority w:val="0"/>
    <w:pPr>
      <w:widowControl/>
      <w:adjustRightInd w:val="0"/>
      <w:snapToGrid w:val="0"/>
      <w:spacing w:before="360" w:line="360" w:lineRule="auto"/>
      <w:ind w:firstLine="200" w:firstLineChars="200"/>
      <w:jc w:val="center"/>
    </w:pPr>
    <w:rPr>
      <w:rFonts w:ascii="宋体" w:hAnsi="宋体"/>
      <w:b/>
      <w:kern w:val="0"/>
      <w:sz w:val="28"/>
      <w:szCs w:val="28"/>
      <w:lang w:eastAsia="en-US" w:bidi="en-US"/>
    </w:rPr>
  </w:style>
  <w:style w:type="paragraph" w:customStyle="1" w:styleId="304">
    <w:name w:val="样式 标题 3 + 左侧:  0 毫米 悬挂缩进: 7.09 字符 行距: 最小值 25 磅"/>
    <w:basedOn w:val="5"/>
    <w:qFormat/>
    <w:uiPriority w:val="0"/>
    <w:pPr>
      <w:keepLines w:val="0"/>
      <w:widowControl/>
      <w:adjustRightInd w:val="0"/>
      <w:snapToGrid w:val="0"/>
      <w:spacing w:before="100" w:beforeAutospacing="1" w:after="100" w:afterAutospacing="1" w:line="360" w:lineRule="auto"/>
      <w:ind w:left="709" w:hanging="709"/>
    </w:pPr>
    <w:rPr>
      <w:rFonts w:cs="宋体"/>
      <w:kern w:val="0"/>
      <w:sz w:val="24"/>
      <w:szCs w:val="26"/>
      <w:lang w:eastAsia="en-US" w:bidi="en-US"/>
    </w:rPr>
  </w:style>
  <w:style w:type="paragraph" w:customStyle="1" w:styleId="305">
    <w:name w:val="样式 标题 3 + 左侧:  0 毫米 首行缩进:  0 毫米 行距: 最小值 25 磅1"/>
    <w:basedOn w:val="5"/>
    <w:qFormat/>
    <w:uiPriority w:val="0"/>
    <w:pPr>
      <w:keepLines w:val="0"/>
      <w:widowControl/>
      <w:adjustRightInd w:val="0"/>
      <w:snapToGrid w:val="0"/>
      <w:spacing w:before="100" w:beforeAutospacing="1" w:after="100" w:afterAutospacing="1" w:line="360" w:lineRule="auto"/>
    </w:pPr>
    <w:rPr>
      <w:rFonts w:cs="宋体"/>
      <w:sz w:val="24"/>
      <w:szCs w:val="26"/>
      <w:lang w:eastAsia="en-US" w:bidi="en-US"/>
    </w:rPr>
  </w:style>
  <w:style w:type="paragraph" w:customStyle="1" w:styleId="306">
    <w:name w:val="样式 标题 3 + 左侧:  0 毫米 首行缩进:  0 毫米 行距: 最小值 25 磅2"/>
    <w:basedOn w:val="5"/>
    <w:qFormat/>
    <w:uiPriority w:val="0"/>
    <w:pPr>
      <w:keepLines w:val="0"/>
      <w:widowControl/>
      <w:adjustRightInd w:val="0"/>
      <w:snapToGrid w:val="0"/>
      <w:spacing w:before="100" w:beforeAutospacing="1" w:after="100" w:afterAutospacing="1" w:line="360" w:lineRule="auto"/>
    </w:pPr>
    <w:rPr>
      <w:rFonts w:cs="宋体"/>
      <w:kern w:val="0"/>
      <w:sz w:val="24"/>
      <w:szCs w:val="26"/>
      <w:lang w:eastAsia="en-US" w:bidi="en-US"/>
    </w:rPr>
  </w:style>
  <w:style w:type="paragraph" w:customStyle="1" w:styleId="307">
    <w:name w:val="样式 行距: 最小值 25 磅"/>
    <w:basedOn w:val="1"/>
    <w:qFormat/>
    <w:uiPriority w:val="0"/>
    <w:pPr>
      <w:widowControl/>
      <w:tabs>
        <w:tab w:val="left" w:pos="425"/>
      </w:tabs>
      <w:adjustRightInd w:val="0"/>
      <w:snapToGrid w:val="0"/>
      <w:spacing w:line="360" w:lineRule="auto"/>
      <w:ind w:left="425" w:hanging="425" w:firstLineChars="200"/>
    </w:pPr>
    <w:rPr>
      <w:rFonts w:cs="宋体"/>
      <w:kern w:val="0"/>
      <w:sz w:val="24"/>
      <w:lang w:eastAsia="en-US" w:bidi="en-US"/>
    </w:rPr>
  </w:style>
  <w:style w:type="paragraph" w:customStyle="1" w:styleId="308">
    <w:name w:val="4"/>
    <w:basedOn w:val="1"/>
    <w:next w:val="23"/>
    <w:qFormat/>
    <w:uiPriority w:val="0"/>
    <w:pPr>
      <w:widowControl/>
      <w:adjustRightInd w:val="0"/>
      <w:snapToGrid w:val="0"/>
      <w:spacing w:line="560" w:lineRule="exact"/>
      <w:ind w:firstLine="420" w:firstLineChars="200"/>
    </w:pPr>
    <w:rPr>
      <w:kern w:val="0"/>
      <w:sz w:val="24"/>
      <w:lang w:eastAsia="en-US" w:bidi="en-US"/>
    </w:rPr>
  </w:style>
  <w:style w:type="paragraph" w:customStyle="1" w:styleId="309">
    <w:name w:val="样式 标题 4 + 行距: 最小值 25 磅"/>
    <w:basedOn w:val="6"/>
    <w:qFormat/>
    <w:uiPriority w:val="0"/>
    <w:pPr>
      <w:keepLines w:val="0"/>
      <w:widowControl/>
      <w:tabs>
        <w:tab w:val="left" w:pos="864"/>
      </w:tabs>
      <w:adjustRightInd w:val="0"/>
      <w:snapToGrid w:val="0"/>
      <w:spacing w:before="240" w:after="60" w:line="500" w:lineRule="atLeast"/>
    </w:pPr>
    <w:rPr>
      <w:rFonts w:ascii="Times New Roman" w:hAnsi="Times New Roman" w:eastAsia="宋体" w:cs="宋体"/>
      <w:iCs/>
      <w:kern w:val="0"/>
      <w:sz w:val="24"/>
      <w:szCs w:val="28"/>
      <w:lang w:eastAsia="en-US" w:bidi="en-US"/>
    </w:rPr>
  </w:style>
  <w:style w:type="paragraph" w:customStyle="1" w:styleId="310">
    <w:name w:val="参加人员名单"/>
    <w:basedOn w:val="1"/>
    <w:next w:val="1"/>
    <w:qFormat/>
    <w:uiPriority w:val="0"/>
    <w:pPr>
      <w:widowControl/>
      <w:adjustRightInd w:val="0"/>
      <w:snapToGrid w:val="0"/>
      <w:spacing w:line="360" w:lineRule="auto"/>
      <w:ind w:firstLine="200" w:firstLineChars="200"/>
      <w:jc w:val="center"/>
      <w:outlineLvl w:val="0"/>
    </w:pPr>
    <w:rPr>
      <w:kern w:val="0"/>
      <w:sz w:val="32"/>
      <w:szCs w:val="32"/>
      <w:lang w:eastAsia="en-US" w:bidi="en-US"/>
    </w:rPr>
  </w:style>
  <w:style w:type="paragraph" w:customStyle="1" w:styleId="311">
    <w:name w:val="文件编号"/>
    <w:basedOn w:val="1"/>
    <w:next w:val="1"/>
    <w:qFormat/>
    <w:uiPriority w:val="0"/>
    <w:pPr>
      <w:widowControl/>
      <w:adjustRightInd w:val="0"/>
      <w:snapToGrid w:val="0"/>
      <w:spacing w:line="360" w:lineRule="auto"/>
      <w:ind w:firstLine="200" w:firstLineChars="200"/>
      <w:jc w:val="center"/>
    </w:pPr>
    <w:rPr>
      <w:rFonts w:ascii="黑体" w:eastAsia="黑体"/>
      <w:kern w:val="0"/>
      <w:sz w:val="44"/>
      <w:szCs w:val="44"/>
      <w:lang w:eastAsia="en-US" w:bidi="en-US"/>
    </w:rPr>
  </w:style>
  <w:style w:type="paragraph" w:customStyle="1" w:styleId="312">
    <w:name w:val="项目名称"/>
    <w:basedOn w:val="1"/>
    <w:next w:val="1"/>
    <w:qFormat/>
    <w:uiPriority w:val="0"/>
    <w:pPr>
      <w:widowControl/>
      <w:adjustRightInd w:val="0"/>
      <w:snapToGrid w:val="0"/>
      <w:spacing w:line="800" w:lineRule="atLeast"/>
      <w:ind w:firstLine="200" w:firstLineChars="200"/>
      <w:jc w:val="center"/>
      <w:outlineLvl w:val="0"/>
    </w:pPr>
    <w:rPr>
      <w:rFonts w:ascii="黑体" w:eastAsia="黑体"/>
      <w:kern w:val="0"/>
      <w:sz w:val="52"/>
      <w:szCs w:val="52"/>
      <w:lang w:eastAsia="en-US" w:bidi="en-US"/>
    </w:rPr>
  </w:style>
  <w:style w:type="paragraph" w:customStyle="1" w:styleId="313">
    <w:name w:val="主要负责人"/>
    <w:basedOn w:val="1"/>
    <w:next w:val="1"/>
    <w:qFormat/>
    <w:uiPriority w:val="0"/>
    <w:pPr>
      <w:widowControl/>
      <w:adjustRightInd w:val="0"/>
      <w:snapToGrid w:val="0"/>
      <w:spacing w:line="360" w:lineRule="auto"/>
      <w:ind w:firstLine="200" w:firstLineChars="200"/>
      <w:jc w:val="center"/>
    </w:pPr>
    <w:rPr>
      <w:kern w:val="0"/>
      <w:sz w:val="36"/>
      <w:szCs w:val="36"/>
      <w:lang w:eastAsia="en-US" w:bidi="en-US"/>
    </w:rPr>
  </w:style>
  <w:style w:type="paragraph" w:customStyle="1" w:styleId="314">
    <w:name w:val="Default"/>
    <w:basedOn w:val="315"/>
    <w:next w:val="290"/>
    <w:qFormat/>
    <w:uiPriority w:val="0"/>
    <w:pPr>
      <w:widowControl w:val="0"/>
      <w:autoSpaceDE w:val="0"/>
      <w:autoSpaceDN w:val="0"/>
      <w:adjustRightInd w:val="0"/>
      <w:spacing w:after="200" w:line="276" w:lineRule="auto"/>
    </w:pPr>
    <w:rPr>
      <w:rFonts w:ascii="仿宋_GB2312" w:hAnsi="Times New Roman" w:eastAsia="仿宋_GB2312" w:cs="仿宋_GB2312"/>
      <w:color w:val="000000"/>
      <w:sz w:val="24"/>
      <w:szCs w:val="24"/>
      <w:lang w:val="en-US" w:eastAsia="zh-CN" w:bidi="ar-SA"/>
    </w:rPr>
  </w:style>
  <w:style w:type="paragraph" w:customStyle="1" w:styleId="315">
    <w:name w:val="标题 段落4级"/>
    <w:basedOn w:val="316"/>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16">
    <w:name w:val="正文 文本"/>
    <w:link w:val="839"/>
    <w:qFormat/>
    <w:uiPriority w:val="0"/>
    <w:pPr>
      <w:widowControl w:val="0"/>
      <w:snapToGrid w:val="0"/>
      <w:ind w:firstLine="200" w:firstLineChars="200"/>
      <w:jc w:val="both"/>
    </w:pPr>
    <w:rPr>
      <w:rFonts w:eastAsia="仿宋_GB2312" w:asciiTheme="minorHAnsi" w:hAnsiTheme="minorHAnsi" w:cstheme="minorBidi"/>
      <w:kern w:val="2"/>
      <w:sz w:val="28"/>
      <w:szCs w:val="24"/>
      <w:lang w:val="en-US" w:eastAsia="zh-CN" w:bidi="ar-SA"/>
    </w:rPr>
  </w:style>
  <w:style w:type="paragraph" w:customStyle="1" w:styleId="317">
    <w:name w:val="正文文字缩进2字符"/>
    <w:basedOn w:val="1"/>
    <w:next w:val="37"/>
    <w:qFormat/>
    <w:uiPriority w:val="0"/>
    <w:pPr>
      <w:widowControl/>
      <w:tabs>
        <w:tab w:val="left" w:pos="360"/>
        <w:tab w:val="center" w:pos="630"/>
      </w:tabs>
      <w:adjustRightInd w:val="0"/>
      <w:snapToGrid w:val="0"/>
      <w:spacing w:line="480" w:lineRule="exact"/>
      <w:ind w:firstLine="567" w:firstLineChars="200"/>
    </w:pPr>
    <w:rPr>
      <w:rFonts w:ascii="宋体"/>
      <w:spacing w:val="6"/>
      <w:kern w:val="0"/>
      <w:sz w:val="24"/>
      <w:lang w:eastAsia="en-US" w:bidi="en-US"/>
    </w:rPr>
  </w:style>
  <w:style w:type="paragraph" w:customStyle="1" w:styleId="318">
    <w:name w:val="Char Char Char2"/>
    <w:basedOn w:val="1"/>
    <w:qFormat/>
    <w:uiPriority w:val="0"/>
    <w:pPr>
      <w:widowControl/>
      <w:adjustRightInd w:val="0"/>
      <w:snapToGrid w:val="0"/>
      <w:spacing w:line="360" w:lineRule="auto"/>
      <w:ind w:firstLine="200" w:firstLineChars="200"/>
    </w:pPr>
    <w:rPr>
      <w:kern w:val="0"/>
      <w:sz w:val="24"/>
      <w:lang w:eastAsia="en-US" w:bidi="en-US"/>
    </w:rPr>
  </w:style>
  <w:style w:type="paragraph" w:customStyle="1" w:styleId="319">
    <w:name w:val="xl39"/>
    <w:basedOn w:val="1"/>
    <w:qFormat/>
    <w:uiPriority w:val="0"/>
    <w:pPr>
      <w:widowControl/>
      <w:pBdr>
        <w:bottom w:val="single" w:color="auto" w:sz="4" w:space="0"/>
      </w:pBdr>
      <w:adjustRightInd w:val="0"/>
      <w:snapToGrid w:val="0"/>
      <w:spacing w:before="100" w:beforeAutospacing="1" w:after="100" w:afterAutospacing="1" w:line="360" w:lineRule="auto"/>
      <w:ind w:firstLine="200" w:firstLineChars="200"/>
      <w:jc w:val="center"/>
    </w:pPr>
    <w:rPr>
      <w:rFonts w:ascii="宋体" w:hAnsi="宋体"/>
      <w:kern w:val="0"/>
      <w:sz w:val="24"/>
      <w:lang w:eastAsia="en-US" w:bidi="en-US"/>
    </w:rPr>
  </w:style>
  <w:style w:type="paragraph" w:customStyle="1" w:styleId="320">
    <w:name w:val="图文框"/>
    <w:basedOn w:val="1"/>
    <w:link w:val="946"/>
    <w:qFormat/>
    <w:uiPriority w:val="0"/>
    <w:pPr>
      <w:widowControl/>
      <w:adjustRightInd w:val="0"/>
      <w:snapToGrid w:val="0"/>
      <w:spacing w:line="240" w:lineRule="exact"/>
      <w:ind w:firstLine="200" w:firstLineChars="200"/>
      <w:jc w:val="center"/>
    </w:pPr>
    <w:rPr>
      <w:rFonts w:ascii="宋体" w:hAnsi="宋体"/>
      <w:kern w:val="0"/>
      <w:sz w:val="24"/>
      <w:lang w:eastAsia="en-US" w:bidi="en-US"/>
    </w:rPr>
  </w:style>
  <w:style w:type="paragraph" w:customStyle="1" w:styleId="321">
    <w:name w:val="Char4"/>
    <w:basedOn w:val="1"/>
    <w:link w:val="890"/>
    <w:qFormat/>
    <w:uiPriority w:val="0"/>
    <w:pPr>
      <w:widowControl/>
      <w:adjustRightInd w:val="0"/>
      <w:snapToGrid w:val="0"/>
      <w:spacing w:line="360" w:lineRule="auto"/>
      <w:ind w:firstLine="200" w:firstLineChars="200"/>
    </w:pPr>
    <w:rPr>
      <w:kern w:val="0"/>
      <w:sz w:val="24"/>
      <w:lang w:eastAsia="en-US" w:bidi="en-US"/>
    </w:rPr>
  </w:style>
  <w:style w:type="paragraph" w:customStyle="1" w:styleId="322">
    <w:name w:val="font5"/>
    <w:basedOn w:val="1"/>
    <w:qFormat/>
    <w:uiPriority w:val="0"/>
    <w:pPr>
      <w:widowControl/>
      <w:adjustRightInd w:val="0"/>
      <w:snapToGrid w:val="0"/>
      <w:spacing w:before="100" w:beforeAutospacing="1" w:after="100" w:afterAutospacing="1" w:line="360" w:lineRule="auto"/>
      <w:ind w:firstLine="200" w:firstLineChars="200"/>
      <w:jc w:val="left"/>
    </w:pPr>
    <w:rPr>
      <w:rFonts w:hint="eastAsia" w:ascii="宋体" w:hAnsi="宋体"/>
      <w:kern w:val="0"/>
      <w:sz w:val="18"/>
      <w:szCs w:val="18"/>
      <w:lang w:eastAsia="en-US" w:bidi="en-US"/>
    </w:rPr>
  </w:style>
  <w:style w:type="paragraph" w:customStyle="1" w:styleId="323">
    <w:name w:val="表格内容"/>
    <w:basedOn w:val="1"/>
    <w:link w:val="513"/>
    <w:qFormat/>
    <w:uiPriority w:val="0"/>
    <w:pPr>
      <w:widowControl/>
      <w:overflowPunct w:val="0"/>
      <w:adjustRightInd w:val="0"/>
      <w:snapToGrid w:val="0"/>
      <w:spacing w:line="200" w:lineRule="atLeast"/>
      <w:ind w:firstLine="200" w:firstLineChars="200"/>
      <w:jc w:val="center"/>
      <w:textAlignment w:val="baseline"/>
    </w:pPr>
    <w:rPr>
      <w:rFonts w:ascii="Arial" w:hAnsi="Arial" w:eastAsia="仿宋_GB2312"/>
      <w:kern w:val="0"/>
      <w:sz w:val="24"/>
      <w:lang w:eastAsia="en-US" w:bidi="en-US"/>
    </w:rPr>
  </w:style>
  <w:style w:type="paragraph" w:customStyle="1" w:styleId="324">
    <w:name w:val="Char Char Char Char Char Char Char Char Char1 Char Char Char Char"/>
    <w:basedOn w:val="1"/>
    <w:qFormat/>
    <w:uiPriority w:val="0"/>
    <w:pPr>
      <w:widowControl/>
      <w:adjustRightInd w:val="0"/>
      <w:snapToGrid w:val="0"/>
      <w:spacing w:line="360" w:lineRule="auto"/>
      <w:ind w:firstLine="200" w:firstLineChars="200"/>
    </w:pPr>
    <w:rPr>
      <w:kern w:val="0"/>
      <w:sz w:val="24"/>
      <w:szCs w:val="21"/>
      <w:lang w:eastAsia="en-US" w:bidi="en-US"/>
    </w:rPr>
  </w:style>
  <w:style w:type="paragraph" w:customStyle="1" w:styleId="325">
    <w:name w:val="默认段落字体 Para Char Char Char Char"/>
    <w:basedOn w:val="1"/>
    <w:qFormat/>
    <w:uiPriority w:val="0"/>
    <w:pPr>
      <w:widowControl/>
      <w:adjustRightInd w:val="0"/>
      <w:snapToGrid w:val="0"/>
      <w:spacing w:line="360" w:lineRule="auto"/>
      <w:ind w:firstLine="200" w:firstLineChars="200"/>
    </w:pPr>
    <w:rPr>
      <w:kern w:val="0"/>
      <w:sz w:val="24"/>
      <w:lang w:eastAsia="en-US" w:bidi="en-US"/>
    </w:rPr>
  </w:style>
  <w:style w:type="paragraph" w:customStyle="1" w:styleId="326">
    <w:name w:val="1 Char"/>
    <w:basedOn w:val="1"/>
    <w:qFormat/>
    <w:uiPriority w:val="0"/>
    <w:pPr>
      <w:widowControl/>
      <w:adjustRightInd w:val="0"/>
      <w:snapToGrid w:val="0"/>
      <w:spacing w:line="360" w:lineRule="auto"/>
      <w:ind w:firstLine="200" w:firstLineChars="200"/>
    </w:pPr>
    <w:rPr>
      <w:kern w:val="0"/>
      <w:sz w:val="24"/>
      <w:lang w:eastAsia="en-US" w:bidi="en-US"/>
    </w:rPr>
  </w:style>
  <w:style w:type="paragraph" w:customStyle="1" w:styleId="327">
    <w:name w:val="图文字"/>
    <w:basedOn w:val="1"/>
    <w:qFormat/>
    <w:uiPriority w:val="0"/>
    <w:pPr>
      <w:widowControl/>
      <w:adjustRightInd w:val="0"/>
      <w:snapToGrid w:val="0"/>
      <w:spacing w:line="400" w:lineRule="exact"/>
      <w:ind w:firstLine="200" w:firstLineChars="200"/>
      <w:jc w:val="center"/>
    </w:pPr>
    <w:rPr>
      <w:rFonts w:ascii="宋体" w:hAnsi="宋体"/>
      <w:kern w:val="44"/>
      <w:sz w:val="24"/>
      <w:lang w:eastAsia="en-US" w:bidi="en-US"/>
    </w:rPr>
  </w:style>
  <w:style w:type="paragraph" w:customStyle="1" w:styleId="328">
    <w:name w:val="正文仿宋"/>
    <w:basedOn w:val="1"/>
    <w:qFormat/>
    <w:uiPriority w:val="0"/>
    <w:pPr>
      <w:widowControl/>
      <w:adjustRightInd w:val="0"/>
      <w:snapToGrid w:val="0"/>
      <w:spacing w:line="312" w:lineRule="atLeast"/>
      <w:ind w:firstLine="200" w:firstLineChars="200"/>
      <w:jc w:val="left"/>
      <w:textAlignment w:val="baseline"/>
    </w:pPr>
    <w:rPr>
      <w:rFonts w:ascii="仿宋体" w:eastAsia="仿宋体"/>
      <w:kern w:val="0"/>
      <w:sz w:val="24"/>
      <w:lang w:eastAsia="en-US" w:bidi="en-US"/>
    </w:rPr>
  </w:style>
  <w:style w:type="paragraph" w:customStyle="1" w:styleId="329">
    <w:name w:val="Char Char Char Char"/>
    <w:basedOn w:val="1"/>
    <w:qFormat/>
    <w:uiPriority w:val="0"/>
    <w:pPr>
      <w:widowControl/>
      <w:adjustRightInd w:val="0"/>
      <w:snapToGrid w:val="0"/>
      <w:spacing w:line="360" w:lineRule="auto"/>
      <w:ind w:firstLine="200" w:firstLineChars="200"/>
    </w:pPr>
    <w:rPr>
      <w:kern w:val="0"/>
      <w:sz w:val="24"/>
      <w:szCs w:val="21"/>
      <w:lang w:eastAsia="en-US" w:bidi="en-US"/>
    </w:rPr>
  </w:style>
  <w:style w:type="paragraph" w:customStyle="1" w:styleId="330">
    <w:name w:val="样式 13.5 磅 首行缩进:  2 字符"/>
    <w:basedOn w:val="1"/>
    <w:qFormat/>
    <w:uiPriority w:val="0"/>
    <w:pPr>
      <w:widowControl/>
      <w:adjustRightInd w:val="0"/>
      <w:snapToGrid w:val="0"/>
      <w:spacing w:line="360" w:lineRule="auto"/>
      <w:ind w:firstLine="200" w:firstLineChars="200"/>
      <w:jc w:val="center"/>
    </w:pPr>
    <w:rPr>
      <w:rFonts w:cs="宋体"/>
      <w:kern w:val="10"/>
      <w:sz w:val="24"/>
      <w:lang w:eastAsia="en-US" w:bidi="en-US"/>
    </w:rPr>
  </w:style>
  <w:style w:type="paragraph" w:customStyle="1" w:styleId="331">
    <w:name w:val="Char41"/>
    <w:basedOn w:val="1"/>
    <w:qFormat/>
    <w:uiPriority w:val="0"/>
    <w:pPr>
      <w:widowControl/>
      <w:adjustRightInd w:val="0"/>
      <w:snapToGrid w:val="0"/>
      <w:spacing w:line="360" w:lineRule="auto"/>
      <w:ind w:firstLine="200" w:firstLineChars="200"/>
    </w:pPr>
    <w:rPr>
      <w:kern w:val="0"/>
      <w:sz w:val="24"/>
      <w:lang w:eastAsia="en-US" w:bidi="en-US"/>
    </w:rPr>
  </w:style>
  <w:style w:type="paragraph" w:customStyle="1" w:styleId="332">
    <w:name w:val="表头1"/>
    <w:basedOn w:val="47"/>
    <w:link w:val="530"/>
    <w:qFormat/>
    <w:uiPriority w:val="0"/>
    <w:pPr>
      <w:widowControl/>
      <w:adjustRightInd w:val="0"/>
      <w:snapToGrid w:val="0"/>
      <w:jc w:val="center"/>
      <w:textAlignment w:val="baseline"/>
    </w:pPr>
    <w:rPr>
      <w:rFonts w:ascii="Times New Roman" w:hAnsi="Times New Roman"/>
      <w:b/>
      <w:color w:val="000000"/>
      <w:kern w:val="0"/>
      <w:szCs w:val="20"/>
      <w:lang w:eastAsia="en-US" w:bidi="en-US"/>
    </w:rPr>
  </w:style>
  <w:style w:type="paragraph" w:customStyle="1" w:styleId="333">
    <w:name w:val="Char Char Char Char Char Char Char Char Char1 Char Char Char Char Char Char1 Char"/>
    <w:basedOn w:val="1"/>
    <w:qFormat/>
    <w:uiPriority w:val="0"/>
    <w:pPr>
      <w:widowControl/>
      <w:adjustRightInd w:val="0"/>
      <w:snapToGrid w:val="0"/>
      <w:spacing w:line="360" w:lineRule="auto"/>
      <w:ind w:firstLine="200" w:firstLineChars="200"/>
    </w:pPr>
    <w:rPr>
      <w:kern w:val="0"/>
      <w:sz w:val="24"/>
      <w:szCs w:val="21"/>
      <w:lang w:eastAsia="en-US" w:bidi="en-US"/>
    </w:rPr>
  </w:style>
  <w:style w:type="paragraph" w:customStyle="1" w:styleId="334">
    <w:name w:val="表格001"/>
    <w:basedOn w:val="1"/>
    <w:link w:val="1667"/>
    <w:qFormat/>
    <w:uiPriority w:val="0"/>
    <w:pPr>
      <w:widowControl/>
      <w:adjustRightInd w:val="0"/>
      <w:snapToGrid w:val="0"/>
      <w:spacing w:line="360" w:lineRule="exact"/>
      <w:ind w:firstLine="200" w:firstLineChars="200"/>
      <w:jc w:val="center"/>
    </w:pPr>
    <w:rPr>
      <w:rFonts w:ascii="Arial" w:hAnsi="Arial"/>
      <w:kern w:val="0"/>
      <w:sz w:val="24"/>
      <w:lang w:eastAsia="en-US" w:bidi="en-US"/>
    </w:rPr>
  </w:style>
  <w:style w:type="paragraph" w:customStyle="1" w:styleId="335">
    <w:name w:val="xl26"/>
    <w:basedOn w:val="1"/>
    <w:qFormat/>
    <w:uiPriority w:val="0"/>
    <w:pPr>
      <w:widowControl/>
      <w:adjustRightInd w:val="0"/>
      <w:snapToGrid w:val="0"/>
      <w:spacing w:before="100" w:beforeAutospacing="1" w:after="100" w:afterAutospacing="1" w:line="360" w:lineRule="auto"/>
      <w:ind w:firstLine="200" w:firstLineChars="200"/>
      <w:jc w:val="center"/>
    </w:pPr>
    <w:rPr>
      <w:rFonts w:ascii="Arial Unicode MS" w:hAnsi="Arial Unicode MS" w:eastAsia="Arial Unicode MS" w:cs="Arial Unicode MS"/>
      <w:color w:val="000000"/>
      <w:kern w:val="0"/>
      <w:sz w:val="24"/>
      <w:szCs w:val="21"/>
      <w:lang w:eastAsia="en-US" w:bidi="en-US"/>
    </w:rPr>
  </w:style>
  <w:style w:type="paragraph" w:customStyle="1" w:styleId="336">
    <w:name w:val="表题"/>
    <w:basedOn w:val="67"/>
    <w:qFormat/>
    <w:uiPriority w:val="0"/>
    <w:pPr>
      <w:widowControl/>
      <w:adjustRightInd w:val="0"/>
      <w:snapToGrid w:val="0"/>
      <w:spacing w:beforeLines="50" w:line="480" w:lineRule="exact"/>
    </w:pPr>
    <w:rPr>
      <w:rFonts w:ascii="Times New Roman" w:hAnsi="Times New Roman" w:eastAsia="黑体"/>
      <w:kern w:val="0"/>
      <w:sz w:val="28"/>
      <w:szCs w:val="24"/>
      <w:lang w:eastAsia="en-US" w:bidi="en-US"/>
    </w:rPr>
  </w:style>
  <w:style w:type="paragraph" w:customStyle="1" w:styleId="337">
    <w:name w:val="标题1"/>
    <w:basedOn w:val="1"/>
    <w:next w:val="1"/>
    <w:qFormat/>
    <w:uiPriority w:val="0"/>
    <w:pPr>
      <w:widowControl/>
      <w:tabs>
        <w:tab w:val="left" w:pos="9193"/>
        <w:tab w:val="left" w:pos="9827"/>
      </w:tabs>
      <w:adjustRightInd w:val="0"/>
      <w:snapToGrid w:val="0"/>
      <w:spacing w:line="700" w:lineRule="atLeast"/>
      <w:ind w:firstLine="200" w:firstLineChars="200"/>
      <w:jc w:val="center"/>
    </w:pPr>
    <w:rPr>
      <w:rFonts w:ascii="方正小标宋_GBK"/>
      <w:kern w:val="0"/>
      <w:sz w:val="44"/>
      <w:lang w:eastAsia="en-US" w:bidi="en-US"/>
    </w:rPr>
  </w:style>
  <w:style w:type="paragraph" w:customStyle="1" w:styleId="338">
    <w:name w:val="默认段落字体 Para Char"/>
    <w:basedOn w:val="1"/>
    <w:qFormat/>
    <w:uiPriority w:val="0"/>
    <w:pPr>
      <w:widowControl/>
      <w:adjustRightInd w:val="0"/>
      <w:snapToGrid w:val="0"/>
      <w:spacing w:line="360" w:lineRule="auto"/>
      <w:ind w:firstLine="200" w:firstLineChars="200"/>
    </w:pPr>
    <w:rPr>
      <w:kern w:val="0"/>
      <w:sz w:val="24"/>
      <w:lang w:eastAsia="en-US" w:bidi="en-US"/>
    </w:rPr>
  </w:style>
  <w:style w:type="paragraph" w:customStyle="1" w:styleId="339">
    <w:name w:val="目录"/>
    <w:next w:val="1"/>
    <w:qFormat/>
    <w:uiPriority w:val="0"/>
    <w:pPr>
      <w:spacing w:after="200" w:line="400" w:lineRule="exact"/>
    </w:pPr>
    <w:rPr>
      <w:rFonts w:ascii="Times New Roman" w:hAnsi="Times New Roman" w:eastAsia="宋体" w:cs="Times New Roman"/>
      <w:sz w:val="22"/>
      <w:szCs w:val="22"/>
      <w:lang w:val="en-US" w:eastAsia="zh-CN" w:bidi="ar-SA"/>
    </w:rPr>
  </w:style>
  <w:style w:type="paragraph" w:customStyle="1" w:styleId="340">
    <w:name w:val="表号"/>
    <w:basedOn w:val="1"/>
    <w:qFormat/>
    <w:uiPriority w:val="0"/>
    <w:pPr>
      <w:widowControl/>
      <w:adjustRightInd w:val="0"/>
      <w:snapToGrid w:val="0"/>
      <w:spacing w:line="360" w:lineRule="auto"/>
      <w:ind w:firstLine="200" w:firstLineChars="200"/>
    </w:pPr>
    <w:rPr>
      <w:kern w:val="0"/>
      <w:sz w:val="24"/>
      <w:lang w:eastAsia="en-US" w:bidi="en-US"/>
    </w:rPr>
  </w:style>
  <w:style w:type="paragraph" w:customStyle="1" w:styleId="341">
    <w:name w:val="Char Char1 Char Char Char Char Char Char Char Char Char Char Char Char Char Char Char Char Char Char Char Char1 Char"/>
    <w:basedOn w:val="1"/>
    <w:qFormat/>
    <w:uiPriority w:val="0"/>
    <w:pPr>
      <w:widowControl/>
      <w:adjustRightInd w:val="0"/>
      <w:snapToGrid w:val="0"/>
      <w:spacing w:line="360" w:lineRule="auto"/>
      <w:ind w:firstLine="200" w:firstLineChars="200"/>
    </w:pPr>
    <w:rPr>
      <w:rFonts w:ascii="宋体" w:hAnsi="宋体" w:cs="宋体"/>
      <w:kern w:val="0"/>
      <w:sz w:val="24"/>
      <w:lang w:eastAsia="en-US" w:bidi="en-US"/>
    </w:rPr>
  </w:style>
  <w:style w:type="paragraph" w:customStyle="1" w:styleId="342">
    <w:name w:val="1文章"/>
    <w:basedOn w:val="1"/>
    <w:qFormat/>
    <w:uiPriority w:val="0"/>
    <w:pPr>
      <w:widowControl/>
      <w:adjustRightInd w:val="0"/>
      <w:snapToGrid w:val="0"/>
      <w:spacing w:line="420" w:lineRule="auto"/>
      <w:ind w:firstLine="454" w:firstLineChars="200"/>
      <w:outlineLvl w:val="4"/>
    </w:pPr>
    <w:rPr>
      <w:spacing w:val="4"/>
      <w:kern w:val="0"/>
      <w:sz w:val="24"/>
      <w:lang w:eastAsia="en-US" w:bidi="en-US"/>
    </w:rPr>
  </w:style>
  <w:style w:type="paragraph" w:customStyle="1" w:styleId="343">
    <w:name w:val="1表格头"/>
    <w:basedOn w:val="1"/>
    <w:qFormat/>
    <w:uiPriority w:val="0"/>
    <w:pPr>
      <w:widowControl/>
      <w:adjustRightInd w:val="0"/>
      <w:snapToGrid w:val="0"/>
      <w:spacing w:line="420" w:lineRule="auto"/>
      <w:ind w:firstLine="200" w:firstLineChars="200"/>
      <w:jc w:val="center"/>
      <w:outlineLvl w:val="3"/>
    </w:pPr>
    <w:rPr>
      <w:rFonts w:eastAsia="黑体"/>
      <w:b/>
      <w:spacing w:val="4"/>
      <w:kern w:val="0"/>
      <w:sz w:val="24"/>
      <w:lang w:eastAsia="en-US" w:bidi="en-US"/>
    </w:rPr>
  </w:style>
  <w:style w:type="paragraph" w:customStyle="1" w:styleId="344">
    <w:name w:val="xl31"/>
    <w:basedOn w:val="1"/>
    <w:qFormat/>
    <w:uiPriority w:val="0"/>
    <w:pPr>
      <w:widowControl/>
      <w:pBdr>
        <w:bottom w:val="single" w:color="auto" w:sz="4" w:space="0"/>
        <w:right w:val="single" w:color="auto" w:sz="4" w:space="0"/>
      </w:pBdr>
      <w:adjustRightInd w:val="0"/>
      <w:snapToGrid w:val="0"/>
      <w:spacing w:before="100" w:beforeAutospacing="1" w:after="100" w:afterAutospacing="1" w:line="360" w:lineRule="auto"/>
      <w:ind w:firstLine="200" w:firstLineChars="200"/>
      <w:textAlignment w:val="center"/>
    </w:pPr>
    <w:rPr>
      <w:rFonts w:ascii="Arial Unicode MS" w:hAnsi="Arial Unicode MS" w:eastAsia="Arial Unicode MS"/>
      <w:kern w:val="0"/>
      <w:sz w:val="24"/>
      <w:lang w:eastAsia="en-US" w:bidi="en-US"/>
    </w:rPr>
  </w:style>
  <w:style w:type="paragraph" w:customStyle="1" w:styleId="345">
    <w:name w:val="小四表文左齐"/>
    <w:basedOn w:val="1"/>
    <w:qFormat/>
    <w:uiPriority w:val="0"/>
    <w:pPr>
      <w:widowControl/>
      <w:adjustRightInd w:val="0"/>
      <w:snapToGrid w:val="0"/>
      <w:spacing w:line="320" w:lineRule="exact"/>
      <w:ind w:firstLine="200" w:firstLineChars="200"/>
      <w:jc w:val="center"/>
    </w:pPr>
    <w:rPr>
      <w:rFonts w:ascii="宋体" w:hAnsi="宋体"/>
      <w:kern w:val="0"/>
      <w:sz w:val="24"/>
      <w:szCs w:val="21"/>
      <w:lang w:eastAsia="en-US" w:bidi="en-US"/>
    </w:rPr>
  </w:style>
  <w:style w:type="paragraph" w:customStyle="1" w:styleId="346">
    <w:name w:val="正文段落"/>
    <w:basedOn w:val="1"/>
    <w:qFormat/>
    <w:uiPriority w:val="0"/>
    <w:pPr>
      <w:widowControl/>
      <w:autoSpaceDE w:val="0"/>
      <w:autoSpaceDN w:val="0"/>
      <w:adjustRightInd w:val="0"/>
      <w:snapToGrid w:val="0"/>
      <w:spacing w:line="500" w:lineRule="exact"/>
      <w:ind w:firstLine="200" w:firstLineChars="200"/>
      <w:textAlignment w:val="baseline"/>
    </w:pPr>
    <w:rPr>
      <w:rFonts w:ascii="宋体" w:hAnsi="Tms Rmn" w:eastAsia="仿宋_GB2312"/>
      <w:kern w:val="0"/>
      <w:sz w:val="24"/>
      <w:lang w:eastAsia="en-US" w:bidi="en-US"/>
    </w:rPr>
  </w:style>
  <w:style w:type="paragraph" w:customStyle="1" w:styleId="347">
    <w:name w:val="样式 标题 3 + 宋体 四号 黑色"/>
    <w:basedOn w:val="5"/>
    <w:qFormat/>
    <w:uiPriority w:val="0"/>
    <w:pPr>
      <w:widowControl/>
      <w:adjustRightInd w:val="0"/>
      <w:snapToGrid w:val="0"/>
      <w:spacing w:before="100" w:beforeAutospacing="1" w:after="100" w:afterAutospacing="1" w:line="460" w:lineRule="exact"/>
    </w:pPr>
    <w:rPr>
      <w:rFonts w:ascii="宋体" w:hAnsi="宋体"/>
      <w:b w:val="0"/>
      <w:bCs w:val="0"/>
      <w:color w:val="000000"/>
      <w:sz w:val="24"/>
      <w:szCs w:val="28"/>
      <w:lang w:eastAsia="en-US" w:bidi="en-US"/>
    </w:rPr>
  </w:style>
  <w:style w:type="paragraph" w:customStyle="1" w:styleId="348">
    <w:name w:val="表格编号"/>
    <w:basedOn w:val="1"/>
    <w:next w:val="1"/>
    <w:qFormat/>
    <w:uiPriority w:val="0"/>
    <w:pPr>
      <w:widowControl/>
      <w:adjustRightInd w:val="0"/>
      <w:snapToGrid w:val="0"/>
      <w:spacing w:before="300" w:after="200" w:line="360" w:lineRule="auto"/>
      <w:ind w:left="964" w:hanging="425" w:firstLineChars="200"/>
      <w:jc w:val="center"/>
    </w:pPr>
    <w:rPr>
      <w:kern w:val="0"/>
      <w:sz w:val="24"/>
      <w:lang w:eastAsia="en-US" w:bidi="en-US"/>
    </w:rPr>
  </w:style>
  <w:style w:type="paragraph" w:customStyle="1" w:styleId="349">
    <w:name w:val="样式 标题 3 + (西文) Times New Roman (中文) 宋体 小四 加粗"/>
    <w:basedOn w:val="5"/>
    <w:qFormat/>
    <w:uiPriority w:val="0"/>
    <w:pPr>
      <w:widowControl/>
      <w:tabs>
        <w:tab w:val="left" w:pos="909"/>
      </w:tabs>
      <w:adjustRightInd w:val="0"/>
      <w:snapToGrid w:val="0"/>
      <w:spacing w:beforeLines="50" w:beforeAutospacing="1" w:afterLines="50" w:afterAutospacing="1" w:line="360" w:lineRule="auto"/>
      <w:ind w:left="1021" w:hanging="1030"/>
      <w:jc w:val="left"/>
    </w:pPr>
    <w:rPr>
      <w:rFonts w:ascii="幼圆" w:eastAsia="幼圆"/>
      <w:b w:val="0"/>
      <w:bCs w:val="0"/>
      <w:snapToGrid w:val="0"/>
      <w:sz w:val="24"/>
      <w:szCs w:val="24"/>
      <w:lang w:eastAsia="en-US" w:bidi="en-US"/>
    </w:rPr>
  </w:style>
  <w:style w:type="paragraph" w:customStyle="1" w:styleId="350">
    <w:name w:val="Char4 Char Char Char Char Char1 Char Char Char Char"/>
    <w:basedOn w:val="1"/>
    <w:qFormat/>
    <w:uiPriority w:val="0"/>
    <w:pPr>
      <w:widowControl/>
      <w:adjustRightInd w:val="0"/>
      <w:snapToGrid w:val="0"/>
      <w:spacing w:line="240" w:lineRule="exact"/>
      <w:ind w:firstLine="200" w:firstLineChars="200"/>
    </w:pPr>
    <w:rPr>
      <w:kern w:val="0"/>
      <w:sz w:val="24"/>
      <w:lang w:eastAsia="en-US" w:bidi="en-US"/>
    </w:rPr>
  </w:style>
  <w:style w:type="paragraph" w:customStyle="1" w:styleId="351">
    <w:name w:val="正文3"/>
    <w:basedOn w:val="1"/>
    <w:link w:val="1541"/>
    <w:qFormat/>
    <w:uiPriority w:val="0"/>
    <w:pPr>
      <w:keepNext/>
      <w:widowControl/>
      <w:adjustRightInd w:val="0"/>
      <w:snapToGrid w:val="0"/>
      <w:spacing w:line="360" w:lineRule="auto"/>
      <w:ind w:firstLine="200" w:firstLineChars="200"/>
      <w:jc w:val="center"/>
      <w:textAlignment w:val="baseline"/>
    </w:pPr>
    <w:rPr>
      <w:kern w:val="0"/>
      <w:sz w:val="24"/>
      <w:lang w:eastAsia="en-US" w:bidi="en-US"/>
    </w:rPr>
  </w:style>
  <w:style w:type="paragraph" w:customStyle="1" w:styleId="352">
    <w:name w:val="Char Char Char Char Char Char"/>
    <w:basedOn w:val="1"/>
    <w:qFormat/>
    <w:uiPriority w:val="0"/>
    <w:pPr>
      <w:widowControl/>
      <w:adjustRightInd w:val="0"/>
      <w:snapToGrid w:val="0"/>
      <w:spacing w:line="360" w:lineRule="auto"/>
      <w:ind w:firstLine="200" w:firstLineChars="200"/>
    </w:pPr>
    <w:rPr>
      <w:kern w:val="0"/>
      <w:sz w:val="24"/>
      <w:szCs w:val="21"/>
      <w:lang w:eastAsia="en-US" w:bidi="en-US"/>
    </w:rPr>
  </w:style>
  <w:style w:type="paragraph" w:customStyle="1" w:styleId="353">
    <w:name w:val="样式5"/>
    <w:basedOn w:val="11"/>
    <w:qFormat/>
    <w:uiPriority w:val="0"/>
    <w:pPr>
      <w:widowControl/>
      <w:adjustRightInd w:val="0"/>
      <w:spacing w:line="240" w:lineRule="atLeast"/>
      <w:ind w:firstLine="200" w:firstLineChars="200"/>
    </w:pPr>
    <w:rPr>
      <w:rFonts w:eastAsia="仿宋_GB2312"/>
      <w:lang w:eastAsia="en-US" w:bidi="en-US"/>
    </w:rPr>
  </w:style>
  <w:style w:type="paragraph" w:customStyle="1" w:styleId="354">
    <w:name w:val="Char Char Char Char Char Char Char Char Char Char"/>
    <w:basedOn w:val="1"/>
    <w:qFormat/>
    <w:uiPriority w:val="0"/>
    <w:pPr>
      <w:widowControl/>
      <w:adjustRightInd w:val="0"/>
      <w:snapToGrid w:val="0"/>
      <w:spacing w:line="360" w:lineRule="auto"/>
      <w:ind w:firstLine="200" w:firstLineChars="200"/>
    </w:pPr>
    <w:rPr>
      <w:rFonts w:ascii="黑体" w:hAnsi="黑体" w:eastAsia="黑体"/>
      <w:b/>
      <w:spacing w:val="10"/>
      <w:kern w:val="0"/>
      <w:sz w:val="24"/>
      <w:lang w:eastAsia="en-US" w:bidi="en-US"/>
    </w:rPr>
  </w:style>
  <w:style w:type="paragraph" w:customStyle="1" w:styleId="355">
    <w:name w:val="表文"/>
    <w:basedOn w:val="36"/>
    <w:next w:val="23"/>
    <w:qFormat/>
    <w:uiPriority w:val="0"/>
    <w:pPr>
      <w:adjustRightInd w:val="0"/>
      <w:spacing w:before="0" w:after="0" w:line="360" w:lineRule="auto"/>
      <w:ind w:right="0" w:firstLine="200" w:firstLineChars="200"/>
      <w:jc w:val="center"/>
    </w:pPr>
    <w:rPr>
      <w:rFonts w:hAnsi="宋体"/>
      <w:sz w:val="21"/>
      <w:szCs w:val="21"/>
      <w:lang w:eastAsia="en-US" w:bidi="en-US"/>
    </w:rPr>
  </w:style>
  <w:style w:type="paragraph" w:customStyle="1" w:styleId="356">
    <w:name w:val="表字1"/>
    <w:basedOn w:val="1"/>
    <w:qFormat/>
    <w:uiPriority w:val="0"/>
    <w:pPr>
      <w:widowControl/>
      <w:adjustRightInd w:val="0"/>
      <w:snapToGrid w:val="0"/>
      <w:spacing w:line="360" w:lineRule="auto"/>
      <w:ind w:firstLine="200" w:firstLineChars="200"/>
      <w:jc w:val="center"/>
      <w:textAlignment w:val="baseline"/>
    </w:pPr>
    <w:rPr>
      <w:rFonts w:ascii="宋体"/>
      <w:kern w:val="0"/>
      <w:sz w:val="24"/>
      <w:lang w:eastAsia="en-US" w:bidi="en-US"/>
    </w:rPr>
  </w:style>
  <w:style w:type="paragraph" w:customStyle="1" w:styleId="357">
    <w:name w:val="Date1"/>
    <w:basedOn w:val="1"/>
    <w:next w:val="1"/>
    <w:qFormat/>
    <w:uiPriority w:val="0"/>
    <w:pPr>
      <w:widowControl/>
      <w:adjustRightInd w:val="0"/>
      <w:snapToGrid w:val="0"/>
      <w:spacing w:line="360" w:lineRule="auto"/>
      <w:ind w:firstLine="200" w:firstLineChars="200"/>
      <w:textAlignment w:val="baseline"/>
    </w:pPr>
    <w:rPr>
      <w:kern w:val="0"/>
      <w:sz w:val="24"/>
      <w:lang w:eastAsia="en-US" w:bidi="en-US"/>
    </w:rPr>
  </w:style>
  <w:style w:type="paragraph" w:customStyle="1" w:styleId="358">
    <w:name w:val="样式 样式 标题 4 + 黑色 左侧:  -0.01 厘米 首行缩进:  0.01 厘米 + 左侧:  0 厘米 首行缩进: ..."/>
    <w:basedOn w:val="1"/>
    <w:qFormat/>
    <w:uiPriority w:val="0"/>
    <w:pPr>
      <w:keepNext/>
      <w:keepLines/>
      <w:widowControl/>
      <w:numPr>
        <w:ilvl w:val="3"/>
        <w:numId w:val="3"/>
      </w:numPr>
      <w:tabs>
        <w:tab w:val="left" w:pos="851"/>
      </w:tabs>
      <w:adjustRightInd w:val="0"/>
      <w:snapToGrid w:val="0"/>
      <w:spacing w:line="480" w:lineRule="exact"/>
      <w:ind w:firstLine="200" w:firstLineChars="200"/>
      <w:outlineLvl w:val="3"/>
    </w:pPr>
    <w:rPr>
      <w:rFonts w:ascii="宋体" w:hAnsi="宋体" w:cs="宋体"/>
      <w:color w:val="000000"/>
      <w:kern w:val="0"/>
      <w:sz w:val="24"/>
      <w:lang w:eastAsia="en-US" w:bidi="en-US"/>
    </w:rPr>
  </w:style>
  <w:style w:type="paragraph" w:styleId="359">
    <w:name w:val="No Spacing"/>
    <w:basedOn w:val="1"/>
    <w:link w:val="1574"/>
    <w:qFormat/>
    <w:uiPriority w:val="1"/>
    <w:pPr>
      <w:widowControl/>
      <w:adjustRightInd w:val="0"/>
      <w:snapToGrid w:val="0"/>
      <w:spacing w:line="360" w:lineRule="auto"/>
      <w:ind w:firstLine="200" w:firstLineChars="200"/>
    </w:pPr>
    <w:rPr>
      <w:kern w:val="0"/>
      <w:sz w:val="24"/>
      <w:szCs w:val="32"/>
      <w:lang w:eastAsia="en-US" w:bidi="en-US"/>
    </w:rPr>
  </w:style>
  <w:style w:type="character" w:customStyle="1" w:styleId="360">
    <w:name w:val="引用 Char1"/>
    <w:qFormat/>
    <w:uiPriority w:val="99"/>
    <w:rPr>
      <w:i/>
      <w:iCs/>
      <w:color w:val="000000"/>
      <w:kern w:val="2"/>
      <w:sz w:val="21"/>
      <w:szCs w:val="24"/>
    </w:rPr>
  </w:style>
  <w:style w:type="character" w:customStyle="1" w:styleId="361">
    <w:name w:val="明显引用 Char1"/>
    <w:qFormat/>
    <w:uiPriority w:val="99"/>
    <w:rPr>
      <w:b/>
      <w:bCs/>
      <w:i/>
      <w:iCs/>
      <w:color w:val="4F81BD"/>
      <w:kern w:val="2"/>
      <w:sz w:val="21"/>
      <w:szCs w:val="24"/>
    </w:rPr>
  </w:style>
  <w:style w:type="paragraph" w:customStyle="1" w:styleId="362">
    <w:name w:val="TOC 标题1"/>
    <w:basedOn w:val="3"/>
    <w:next w:val="1"/>
    <w:qFormat/>
    <w:uiPriority w:val="39"/>
    <w:pPr>
      <w:widowControl/>
      <w:overflowPunct/>
      <w:adjustRightInd w:val="0"/>
      <w:spacing w:before="0" w:after="0" w:line="360" w:lineRule="auto"/>
      <w:ind w:left="0" w:firstLine="200" w:firstLineChars="200"/>
      <w:jc w:val="left"/>
      <w:outlineLvl w:val="9"/>
    </w:pPr>
    <w:rPr>
      <w:rFonts w:eastAsia="宋体"/>
      <w:color w:val="auto"/>
      <w:spacing w:val="-12"/>
      <w:kern w:val="32"/>
      <w:sz w:val="32"/>
      <w:szCs w:val="32"/>
      <w:lang w:eastAsia="en-US" w:bidi="en-US"/>
    </w:rPr>
  </w:style>
  <w:style w:type="paragraph" w:customStyle="1" w:styleId="363">
    <w:name w:val="表格标题新"/>
    <w:basedOn w:val="250"/>
    <w:qFormat/>
    <w:uiPriority w:val="0"/>
    <w:pPr>
      <w:spacing w:line="240" w:lineRule="auto"/>
    </w:pPr>
    <w:rPr>
      <w:b/>
      <w:snapToGrid w:val="0"/>
    </w:rPr>
  </w:style>
  <w:style w:type="paragraph" w:customStyle="1" w:styleId="364">
    <w:name w:val="表头、图件"/>
    <w:next w:val="1"/>
    <w:qFormat/>
    <w:uiPriority w:val="0"/>
    <w:pPr>
      <w:widowControl w:val="0"/>
      <w:tabs>
        <w:tab w:val="left" w:pos="8931"/>
      </w:tabs>
      <w:spacing w:line="360" w:lineRule="auto"/>
      <w:ind w:right="240" w:firstLine="480"/>
      <w:jc w:val="center"/>
    </w:pPr>
    <w:rPr>
      <w:rFonts w:ascii="楷体_GB2312" w:hAnsi="Times New Roman" w:eastAsia="楷体_GB2312" w:cs="Times New Roman"/>
      <w:b/>
      <w:bCs/>
      <w:color w:val="000000"/>
      <w:kern w:val="44"/>
      <w:sz w:val="21"/>
      <w:szCs w:val="21"/>
      <w:lang w:val="en-US" w:eastAsia="zh-CN" w:bidi="ar-SA"/>
    </w:rPr>
  </w:style>
  <w:style w:type="paragraph" w:customStyle="1" w:styleId="365">
    <w:name w:val="注释"/>
    <w:basedOn w:val="1"/>
    <w:qFormat/>
    <w:uiPriority w:val="0"/>
    <w:pPr>
      <w:spacing w:before="60" w:line="360" w:lineRule="exact"/>
      <w:ind w:firstLine="200" w:firstLineChars="200"/>
      <w:jc w:val="left"/>
    </w:pPr>
  </w:style>
  <w:style w:type="paragraph" w:customStyle="1" w:styleId="366">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367">
    <w:name w:val="列表 Char列表"/>
    <w:basedOn w:val="67"/>
    <w:next w:val="39"/>
    <w:qFormat/>
    <w:uiPriority w:val="0"/>
    <w:pPr>
      <w:spacing w:line="300" w:lineRule="auto"/>
      <w:ind w:firstLine="0" w:firstLineChars="0"/>
    </w:pPr>
    <w:rPr>
      <w:rFonts w:ascii="仿宋" w:hAnsi="仿宋" w:eastAsia="仿宋"/>
      <w:b/>
      <w:szCs w:val="24"/>
    </w:rPr>
  </w:style>
  <w:style w:type="paragraph" w:customStyle="1" w:styleId="368">
    <w:name w:val="样式 表格文字2 +"/>
    <w:basedOn w:val="180"/>
    <w:qFormat/>
    <w:uiPriority w:val="0"/>
    <w:rPr>
      <w:kern w:val="2"/>
    </w:rPr>
  </w:style>
  <w:style w:type="paragraph" w:customStyle="1" w:styleId="369">
    <w:name w:val="首行缩进"/>
    <w:basedOn w:val="1"/>
    <w:qFormat/>
    <w:uiPriority w:val="0"/>
    <w:pPr>
      <w:spacing w:line="360" w:lineRule="auto"/>
      <w:ind w:firstLine="480" w:firstLineChars="200"/>
    </w:pPr>
    <w:rPr>
      <w:sz w:val="24"/>
    </w:rPr>
  </w:style>
  <w:style w:type="paragraph" w:customStyle="1" w:styleId="370">
    <w:name w:val="font6"/>
    <w:basedOn w:val="1"/>
    <w:qFormat/>
    <w:uiPriority w:val="0"/>
    <w:pPr>
      <w:widowControl/>
      <w:spacing w:before="100" w:after="100"/>
    </w:pPr>
    <w:rPr>
      <w:rFonts w:eastAsia="Arial Unicode MS"/>
      <w:kern w:val="0"/>
      <w:sz w:val="24"/>
      <w:szCs w:val="20"/>
    </w:rPr>
  </w:style>
  <w:style w:type="paragraph" w:customStyle="1" w:styleId="371">
    <w:name w:val="样式 样式 标题 4 + 加粗 + 黑色"/>
    <w:basedOn w:val="1"/>
    <w:qFormat/>
    <w:uiPriority w:val="0"/>
    <w:pPr>
      <w:keepNext/>
      <w:keepLines/>
      <w:widowControl/>
      <w:spacing w:line="360" w:lineRule="auto"/>
      <w:ind w:left="709" w:hanging="709"/>
      <w:jc w:val="left"/>
      <w:outlineLvl w:val="3"/>
    </w:pPr>
    <w:rPr>
      <w:rFonts w:ascii="宋体" w:hAnsi="宋体" w:cs="宋体"/>
      <w:color w:val="000000"/>
      <w:kern w:val="0"/>
      <w:sz w:val="24"/>
      <w:szCs w:val="28"/>
    </w:rPr>
  </w:style>
  <w:style w:type="paragraph" w:customStyle="1" w:styleId="372">
    <w:name w:val="图表文字"/>
    <w:basedOn w:val="1"/>
    <w:link w:val="749"/>
    <w:qFormat/>
    <w:uiPriority w:val="0"/>
    <w:pPr>
      <w:widowControl/>
      <w:spacing w:line="300" w:lineRule="exact"/>
      <w:jc w:val="center"/>
    </w:pPr>
    <w:rPr>
      <w:rFonts w:ascii="宋体" w:hAnsi="宋体" w:cs="宋体"/>
      <w:bCs/>
      <w:kern w:val="0"/>
      <w:sz w:val="24"/>
      <w:szCs w:val="20"/>
    </w:rPr>
  </w:style>
  <w:style w:type="paragraph" w:customStyle="1" w:styleId="373">
    <w:name w:val="章标题"/>
    <w:next w:val="1"/>
    <w:qFormat/>
    <w:uiPriority w:val="0"/>
    <w:pPr>
      <w:spacing w:before="50" w:after="50"/>
      <w:jc w:val="both"/>
      <w:outlineLvl w:val="1"/>
    </w:pPr>
    <w:rPr>
      <w:rFonts w:ascii="黑体" w:hAnsi="Times New Roman" w:eastAsia="黑体" w:cs="Times New Roman"/>
      <w:sz w:val="21"/>
      <w:lang w:val="en-US" w:eastAsia="zh-CN" w:bidi="ar-SA"/>
    </w:rPr>
  </w:style>
  <w:style w:type="character" w:customStyle="1" w:styleId="374">
    <w:name w:val="纯文本 Char2"/>
    <w:qFormat/>
    <w:uiPriority w:val="0"/>
    <w:rPr>
      <w:rFonts w:ascii="宋体" w:hAnsi="Courier New" w:cs="Courier New"/>
      <w:szCs w:val="21"/>
    </w:rPr>
  </w:style>
  <w:style w:type="paragraph" w:customStyle="1" w:styleId="375">
    <w:name w:val="表蕊"/>
    <w:basedOn w:val="1"/>
    <w:link w:val="533"/>
    <w:qFormat/>
    <w:uiPriority w:val="0"/>
    <w:pPr>
      <w:adjustRightInd w:val="0"/>
      <w:spacing w:line="320" w:lineRule="atLeast"/>
      <w:jc w:val="left"/>
      <w:textAlignment w:val="baseline"/>
    </w:pPr>
    <w:rPr>
      <w:rFonts w:eastAsia="楷体_GB2312"/>
      <w:spacing w:val="-10"/>
      <w:szCs w:val="20"/>
    </w:rPr>
  </w:style>
  <w:style w:type="paragraph" w:customStyle="1" w:styleId="376">
    <w:name w:val="表格正文"/>
    <w:basedOn w:val="377"/>
    <w:next w:val="1"/>
    <w:link w:val="378"/>
    <w:qFormat/>
    <w:uiPriority w:val="0"/>
    <w:pPr>
      <w:snapToGrid/>
      <w:spacing w:line="240" w:lineRule="auto"/>
      <w:ind w:firstLine="0" w:firstLineChars="0"/>
    </w:pPr>
    <w:rPr>
      <w:rFonts w:ascii="Times New Roman" w:eastAsia="宋体"/>
      <w:color w:val="000000"/>
      <w:spacing w:val="12"/>
      <w:kern w:val="0"/>
      <w:sz w:val="24"/>
    </w:rPr>
  </w:style>
  <w:style w:type="paragraph" w:customStyle="1" w:styleId="377">
    <w:name w:val="表格加粗"/>
    <w:basedOn w:val="1"/>
    <w:next w:val="1"/>
    <w:qFormat/>
    <w:uiPriority w:val="0"/>
    <w:pPr>
      <w:spacing w:line="400" w:lineRule="exact"/>
      <w:ind w:firstLine="0" w:firstLineChars="0"/>
      <w:jc w:val="center"/>
    </w:pPr>
    <w:rPr>
      <w:b/>
      <w:sz w:val="21"/>
      <w:szCs w:val="21"/>
    </w:rPr>
  </w:style>
  <w:style w:type="character" w:customStyle="1" w:styleId="378">
    <w:name w:val="表格正文 Char"/>
    <w:link w:val="376"/>
    <w:qFormat/>
    <w:uiPriority w:val="0"/>
    <w:rPr>
      <w:color w:val="000000"/>
      <w:spacing w:val="12"/>
      <w:sz w:val="24"/>
    </w:rPr>
  </w:style>
  <w:style w:type="character" w:customStyle="1" w:styleId="379">
    <w:name w:val="题注 字符"/>
    <w:qFormat/>
    <w:uiPriority w:val="0"/>
    <w:rPr>
      <w:rFonts w:ascii="Cambria" w:hAnsi="Cambria" w:eastAsia="黑体"/>
      <w:kern w:val="2"/>
    </w:rPr>
  </w:style>
  <w:style w:type="table" w:customStyle="1" w:styleId="380">
    <w:name w:val="Table Normal"/>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381">
    <w:name w:val="Char Char Char Char3"/>
    <w:basedOn w:val="1"/>
    <w:qFormat/>
    <w:uiPriority w:val="0"/>
  </w:style>
  <w:style w:type="paragraph" w:customStyle="1" w:styleId="382">
    <w:name w:val="列出段落12"/>
    <w:basedOn w:val="1"/>
    <w:link w:val="383"/>
    <w:qFormat/>
    <w:uiPriority w:val="0"/>
    <w:pPr>
      <w:spacing w:line="500" w:lineRule="exact"/>
      <w:ind w:firstLine="420" w:firstLineChars="200"/>
    </w:pPr>
    <w:rPr>
      <w:rFonts w:eastAsia="仿宋_GB2312"/>
      <w:color w:val="000000"/>
      <w:sz w:val="28"/>
      <w:lang w:val="zh-CN"/>
    </w:rPr>
  </w:style>
  <w:style w:type="character" w:customStyle="1" w:styleId="383">
    <w:name w:val="列出段落 字符"/>
    <w:link w:val="382"/>
    <w:qFormat/>
    <w:uiPriority w:val="0"/>
    <w:rPr>
      <w:rFonts w:eastAsia="仿宋_GB2312"/>
      <w:color w:val="000000"/>
      <w:kern w:val="2"/>
      <w:sz w:val="28"/>
      <w:szCs w:val="24"/>
    </w:rPr>
  </w:style>
  <w:style w:type="paragraph" w:customStyle="1" w:styleId="384">
    <w:name w:val="样式 标题 3标题 3 Char标题 3 Char Char Char Char Char Char Char Char C...1"/>
    <w:basedOn w:val="5"/>
    <w:qFormat/>
    <w:uiPriority w:val="0"/>
    <w:pPr>
      <w:widowControl/>
      <w:numPr>
        <w:numId w:val="0"/>
      </w:numPr>
      <w:tabs>
        <w:tab w:val="left" w:pos="576"/>
      </w:tabs>
      <w:spacing w:before="0" w:after="0" w:line="360" w:lineRule="auto"/>
      <w:ind w:left="576" w:hanging="360"/>
      <w:jc w:val="left"/>
    </w:pPr>
    <w:rPr>
      <w:rFonts w:ascii="宋体" w:hAnsi="宋体" w:cs="Calibri"/>
      <w:sz w:val="24"/>
      <w:szCs w:val="20"/>
      <w:lang w:val="en-US"/>
    </w:rPr>
  </w:style>
  <w:style w:type="character" w:customStyle="1" w:styleId="385">
    <w:name w:val="表格文字 Char Char"/>
    <w:qFormat/>
    <w:uiPriority w:val="0"/>
    <w:rPr>
      <w:rFonts w:ascii="仿宋" w:hAnsi="仿宋" w:eastAsia="仿宋" w:cs="Times New Roman"/>
      <w:kern w:val="44"/>
      <w:sz w:val="21"/>
      <w:szCs w:val="22"/>
    </w:rPr>
  </w:style>
  <w:style w:type="paragraph" w:customStyle="1" w:styleId="386">
    <w:name w:val="表格标题"/>
    <w:basedOn w:val="1"/>
    <w:qFormat/>
    <w:uiPriority w:val="0"/>
    <w:pPr>
      <w:widowControl/>
      <w:spacing w:beforeLines="50" w:line="400" w:lineRule="exact"/>
      <w:jc w:val="center"/>
    </w:pPr>
    <w:rPr>
      <w:rFonts w:ascii="宋体" w:hAnsi="宋体"/>
      <w:b/>
      <w:kern w:val="0"/>
      <w:sz w:val="24"/>
      <w:szCs w:val="22"/>
    </w:rPr>
  </w:style>
  <w:style w:type="character" w:customStyle="1" w:styleId="387">
    <w:name w:val="Char Char7"/>
    <w:qFormat/>
    <w:uiPriority w:val="0"/>
    <w:rPr>
      <w:rFonts w:eastAsia="宋体"/>
      <w:kern w:val="2"/>
      <w:sz w:val="21"/>
      <w:szCs w:val="24"/>
      <w:lang w:val="en-US" w:eastAsia="zh-CN" w:bidi="ar-SA"/>
    </w:rPr>
  </w:style>
  <w:style w:type="character" w:customStyle="1" w:styleId="388">
    <w:name w:val="Body Text 21 Char Char Char"/>
    <w:qFormat/>
    <w:uiPriority w:val="0"/>
    <w:rPr>
      <w:rFonts w:ascii="仿宋_GB2312" w:eastAsia="仿宋体"/>
      <w:kern w:val="2"/>
      <w:sz w:val="24"/>
      <w:lang w:val="en-US" w:eastAsia="zh-CN" w:bidi="ar-SA"/>
    </w:rPr>
  </w:style>
  <w:style w:type="character" w:customStyle="1" w:styleId="389">
    <w:name w:val="正文文本首行缩进 字符"/>
    <w:basedOn w:val="173"/>
    <w:link w:val="88"/>
    <w:qFormat/>
    <w:uiPriority w:val="0"/>
    <w:rPr>
      <w:rFonts w:ascii="宋体" w:hAnsi="宋体" w:cs="宋体"/>
      <w:sz w:val="28"/>
    </w:rPr>
  </w:style>
  <w:style w:type="character" w:customStyle="1" w:styleId="390">
    <w:name w:val="正文文本 3 字符"/>
    <w:basedOn w:val="135"/>
    <w:link w:val="33"/>
    <w:qFormat/>
    <w:uiPriority w:val="99"/>
    <w:rPr>
      <w:rFonts w:ascii="宋体" w:hAnsi="宋体" w:cs="宋体"/>
      <w:b/>
      <w:bCs/>
      <w:sz w:val="24"/>
      <w:szCs w:val="24"/>
    </w:rPr>
  </w:style>
  <w:style w:type="character" w:customStyle="1" w:styleId="391">
    <w:name w:val="HTML 地址 字符"/>
    <w:basedOn w:val="135"/>
    <w:qFormat/>
    <w:uiPriority w:val="99"/>
    <w:rPr>
      <w:i/>
      <w:iCs/>
      <w:kern w:val="2"/>
      <w:sz w:val="21"/>
      <w:szCs w:val="24"/>
    </w:rPr>
  </w:style>
  <w:style w:type="character" w:customStyle="1" w:styleId="392">
    <w:name w:val="签名 字符"/>
    <w:basedOn w:val="135"/>
    <w:link w:val="59"/>
    <w:qFormat/>
    <w:uiPriority w:val="0"/>
    <w:rPr>
      <w:kern w:val="2"/>
      <w:sz w:val="21"/>
      <w:szCs w:val="24"/>
    </w:rPr>
  </w:style>
  <w:style w:type="character" w:customStyle="1" w:styleId="393">
    <w:name w:val="标题 1 字符"/>
    <w:link w:val="3"/>
    <w:qFormat/>
    <w:uiPriority w:val="9"/>
    <w:rPr>
      <w:rFonts w:eastAsia="黑体"/>
      <w:b/>
      <w:bCs/>
      <w:color w:val="000000"/>
      <w:kern w:val="44"/>
      <w:sz w:val="30"/>
      <w:szCs w:val="30"/>
    </w:rPr>
  </w:style>
  <w:style w:type="character" w:customStyle="1" w:styleId="394">
    <w:name w:val="列表 字符"/>
    <w:link w:val="67"/>
    <w:qFormat/>
    <w:uiPriority w:val="0"/>
    <w:rPr>
      <w:rFonts w:ascii="宋体" w:hAnsi="宋体"/>
      <w:kern w:val="2"/>
      <w:sz w:val="24"/>
    </w:rPr>
  </w:style>
  <w:style w:type="character" w:customStyle="1" w:styleId="395">
    <w:name w:val="Char Char1"/>
    <w:qFormat/>
    <w:uiPriority w:val="0"/>
    <w:rPr>
      <w:rFonts w:ascii="仿宋_GB2312" w:eastAsia="仿宋_GB2312"/>
      <w:kern w:val="2"/>
      <w:sz w:val="21"/>
      <w:lang w:val="en-US" w:eastAsia="zh-CN" w:bidi="ar-SA"/>
    </w:rPr>
  </w:style>
  <w:style w:type="character" w:customStyle="1" w:styleId="396">
    <w:name w:val="ppx_h1"/>
    <w:qFormat/>
    <w:uiPriority w:val="0"/>
    <w:rPr>
      <w:rFonts w:hint="default" w:ascii="ˎ̥" w:hAnsi="ˎ̥"/>
      <w:color w:val="000000"/>
      <w:sz w:val="22"/>
      <w:szCs w:val="22"/>
      <w:u w:val="none"/>
    </w:rPr>
  </w:style>
  <w:style w:type="character" w:customStyle="1" w:styleId="397">
    <w:name w:val="blue1"/>
    <w:qFormat/>
    <w:uiPriority w:val="0"/>
    <w:rPr>
      <w:color w:val="000066"/>
      <w:sz w:val="18"/>
      <w:szCs w:val="18"/>
      <w:u w:val="none"/>
    </w:rPr>
  </w:style>
  <w:style w:type="character" w:customStyle="1" w:styleId="398">
    <w:name w:val="pp11"/>
    <w:qFormat/>
    <w:uiPriority w:val="0"/>
    <w:rPr>
      <w:rFonts w:hint="eastAsia" w:ascii="宋体" w:hAnsi="宋体" w:eastAsia="宋体"/>
      <w:sz w:val="18"/>
      <w:szCs w:val="18"/>
    </w:rPr>
  </w:style>
  <w:style w:type="character" w:customStyle="1" w:styleId="399">
    <w:name w:val="标题 2 Char Char Char Char Char"/>
    <w:qFormat/>
    <w:uiPriority w:val="0"/>
    <w:rPr>
      <w:rFonts w:eastAsia="宋体"/>
      <w:bCs/>
      <w:kern w:val="2"/>
      <w:sz w:val="28"/>
      <w:szCs w:val="32"/>
      <w:lang w:val="en-US" w:eastAsia="zh-CN" w:bidi="ar-SA"/>
    </w:rPr>
  </w:style>
  <w:style w:type="character" w:customStyle="1" w:styleId="400">
    <w:name w:val="zhou11"/>
    <w:qFormat/>
    <w:uiPriority w:val="0"/>
    <w:rPr>
      <w:color w:val="000000"/>
      <w:sz w:val="21"/>
      <w:szCs w:val="21"/>
    </w:rPr>
  </w:style>
  <w:style w:type="character" w:customStyle="1" w:styleId="401">
    <w:name w:val="s221"/>
    <w:qFormat/>
    <w:uiPriority w:val="0"/>
    <w:rPr>
      <w:rFonts w:hint="default"/>
      <w:color w:val="000000"/>
      <w:sz w:val="18"/>
      <w:szCs w:val="18"/>
      <w:u w:val="none"/>
    </w:rPr>
  </w:style>
  <w:style w:type="character" w:customStyle="1" w:styleId="402">
    <w:name w:val="样式 标题 4 + 黑色 Char Char"/>
    <w:qFormat/>
    <w:uiPriority w:val="0"/>
    <w:rPr>
      <w:rFonts w:eastAsia="宋体"/>
      <w:bCs/>
      <w:color w:val="000000"/>
      <w:sz w:val="24"/>
      <w:lang w:val="en-US" w:eastAsia="zh-CN" w:bidi="ar-SA"/>
    </w:rPr>
  </w:style>
  <w:style w:type="character" w:customStyle="1" w:styleId="403">
    <w:name w:val="unnamed11"/>
    <w:qFormat/>
    <w:uiPriority w:val="0"/>
    <w:rPr>
      <w:rFonts w:hint="eastAsia" w:ascii="宋体" w:hAnsi="宋体" w:eastAsia="宋体"/>
      <w:color w:val="000000"/>
      <w:sz w:val="18"/>
      <w:szCs w:val="18"/>
    </w:rPr>
  </w:style>
  <w:style w:type="character" w:customStyle="1" w:styleId="404">
    <w:name w:val="m lh15"/>
    <w:qFormat/>
    <w:uiPriority w:val="0"/>
    <w:rPr>
      <w:rFonts w:eastAsia="宋体"/>
      <w:kern w:val="2"/>
      <w:sz w:val="24"/>
      <w:szCs w:val="24"/>
      <w:lang w:val="en-US" w:eastAsia="zh-CN" w:bidi="ar-SA"/>
    </w:rPr>
  </w:style>
  <w:style w:type="character" w:customStyle="1" w:styleId="405">
    <w:name w:val="dxkf1"/>
    <w:qFormat/>
    <w:uiPriority w:val="0"/>
    <w:rPr>
      <w:rFonts w:hint="default" w:ascii="ˎ̥" w:hAnsi="ˎ̥"/>
      <w:color w:val="585858"/>
      <w:sz w:val="20"/>
      <w:szCs w:val="20"/>
    </w:rPr>
  </w:style>
  <w:style w:type="character" w:customStyle="1" w:styleId="406">
    <w:name w:val="style201"/>
    <w:qFormat/>
    <w:uiPriority w:val="0"/>
    <w:rPr>
      <w:color w:val="000000"/>
      <w:sz w:val="18"/>
      <w:szCs w:val="18"/>
    </w:rPr>
  </w:style>
  <w:style w:type="character" w:customStyle="1" w:styleId="407">
    <w:name w:val="样式 标题 3标题 3 Char标题 3 Char Char Char Char Char Char Char Char C...6 Char Char"/>
    <w:link w:val="408"/>
    <w:qFormat/>
    <w:uiPriority w:val="0"/>
    <w:rPr>
      <w:color w:val="000000"/>
      <w:kern w:val="2"/>
      <w:sz w:val="24"/>
      <w:szCs w:val="32"/>
    </w:rPr>
  </w:style>
  <w:style w:type="paragraph" w:customStyle="1" w:styleId="408">
    <w:name w:val="样式 标题 3标题 3 Char标题 3 Char Char Char Char Char Char Char Char C...6"/>
    <w:basedOn w:val="5"/>
    <w:link w:val="407"/>
    <w:qFormat/>
    <w:uiPriority w:val="0"/>
    <w:pPr>
      <w:widowControl/>
      <w:numPr>
        <w:ilvl w:val="0"/>
        <w:numId w:val="0"/>
      </w:numPr>
      <w:tabs>
        <w:tab w:val="left" w:pos="720"/>
      </w:tabs>
      <w:spacing w:before="0" w:after="0" w:line="360" w:lineRule="auto"/>
      <w:ind w:left="720" w:hanging="720"/>
      <w:jc w:val="left"/>
    </w:pPr>
    <w:rPr>
      <w:b w:val="0"/>
      <w:bCs w:val="0"/>
      <w:color w:val="000000"/>
      <w:sz w:val="24"/>
      <w:lang w:val="en-US"/>
    </w:rPr>
  </w:style>
  <w:style w:type="character" w:customStyle="1" w:styleId="409">
    <w:name w:val="size9"/>
    <w:basedOn w:val="135"/>
    <w:qFormat/>
    <w:uiPriority w:val="0"/>
  </w:style>
  <w:style w:type="character" w:customStyle="1" w:styleId="410">
    <w:name w:val="样式 标题 3 + 仿宋_GB2312 四号 粉红 Char"/>
    <w:qFormat/>
    <w:uiPriority w:val="0"/>
    <w:rPr>
      <w:rFonts w:ascii="仿宋_GB2312" w:hAnsi="仿宋_GB2312" w:eastAsia="仿宋_GB2312"/>
      <w:b/>
      <w:color w:val="FF00FF"/>
      <w:kern w:val="2"/>
      <w:sz w:val="28"/>
      <w:lang w:val="en-US" w:eastAsia="zh-CN" w:bidi="ar-SA"/>
    </w:rPr>
  </w:style>
  <w:style w:type="character" w:customStyle="1" w:styleId="411">
    <w:name w:val="w231"/>
    <w:qFormat/>
    <w:uiPriority w:val="0"/>
    <w:rPr>
      <w:sz w:val="18"/>
      <w:szCs w:val="18"/>
      <w:u w:val="none"/>
    </w:rPr>
  </w:style>
  <w:style w:type="character" w:customStyle="1" w:styleId="412">
    <w:name w:val="unnamed1"/>
    <w:basedOn w:val="135"/>
    <w:qFormat/>
    <w:uiPriority w:val="0"/>
  </w:style>
  <w:style w:type="character" w:customStyle="1" w:styleId="413">
    <w:name w:val="style11"/>
    <w:basedOn w:val="135"/>
    <w:qFormat/>
    <w:uiPriority w:val="0"/>
  </w:style>
  <w:style w:type="character" w:customStyle="1" w:styleId="414">
    <w:name w:val="ft11"/>
    <w:basedOn w:val="135"/>
    <w:qFormat/>
    <w:uiPriority w:val="0"/>
  </w:style>
  <w:style w:type="character" w:customStyle="1" w:styleId="415">
    <w:name w:val="table-xiayou"/>
    <w:basedOn w:val="135"/>
    <w:qFormat/>
    <w:uiPriority w:val="0"/>
  </w:style>
  <w:style w:type="character" w:customStyle="1" w:styleId="416">
    <w:name w:val="样式 标题 3 + 宋体 非加粗 Char"/>
    <w:qFormat/>
    <w:uiPriority w:val="0"/>
    <w:rPr>
      <w:rFonts w:ascii="宋体" w:hAnsi="宋体" w:eastAsia="宋体"/>
      <w:b/>
      <w:bCs/>
      <w:kern w:val="2"/>
      <w:sz w:val="24"/>
      <w:szCs w:val="28"/>
      <w:lang w:val="en-US" w:eastAsia="zh-CN" w:bidi="ar-SA"/>
    </w:rPr>
  </w:style>
  <w:style w:type="character" w:customStyle="1" w:styleId="417">
    <w:name w:val="样式 标题 3标题 3 Char Char条标题1.1.13h33rd levelH3l3CT + 黑色 Char Char"/>
    <w:qFormat/>
    <w:uiPriority w:val="0"/>
    <w:rPr>
      <w:rFonts w:eastAsia="宋体"/>
      <w:bCs/>
      <w:color w:val="000000"/>
      <w:kern w:val="2"/>
      <w:sz w:val="24"/>
      <w:szCs w:val="24"/>
      <w:lang w:val="en-US" w:eastAsia="zh-CN" w:bidi="ar-SA"/>
    </w:rPr>
  </w:style>
  <w:style w:type="character" w:customStyle="1" w:styleId="418">
    <w:name w:val="digest1"/>
    <w:qFormat/>
    <w:uiPriority w:val="0"/>
    <w:rPr>
      <w:color w:val="393939"/>
      <w:sz w:val="20"/>
      <w:szCs w:val="20"/>
    </w:rPr>
  </w:style>
  <w:style w:type="character" w:customStyle="1" w:styleId="419">
    <w:name w:val="Body Text 21 Char Char"/>
    <w:link w:val="420"/>
    <w:qFormat/>
    <w:uiPriority w:val="0"/>
    <w:rPr>
      <w:rFonts w:ascii="仿宋_GB2312" w:eastAsia="仿宋体"/>
      <w:kern w:val="2"/>
      <w:sz w:val="24"/>
    </w:rPr>
  </w:style>
  <w:style w:type="paragraph" w:customStyle="1" w:styleId="420">
    <w:name w:val="Body Text 21"/>
    <w:basedOn w:val="1"/>
    <w:link w:val="419"/>
    <w:qFormat/>
    <w:uiPriority w:val="0"/>
    <w:pPr>
      <w:widowControl/>
      <w:adjustRightInd w:val="0"/>
      <w:jc w:val="left"/>
      <w:textAlignment w:val="baseline"/>
    </w:pPr>
    <w:rPr>
      <w:rFonts w:ascii="仿宋_GB2312" w:eastAsia="仿宋体"/>
      <w:sz w:val="24"/>
      <w:szCs w:val="20"/>
    </w:rPr>
  </w:style>
  <w:style w:type="character" w:customStyle="1" w:styleId="421">
    <w:name w:val="fontb1"/>
    <w:qFormat/>
    <w:uiPriority w:val="0"/>
    <w:rPr>
      <w:rFonts w:hint="default" w:ascii="Arial" w:hAnsi="Arial" w:cs="Arial"/>
      <w:sz w:val="18"/>
      <w:szCs w:val="18"/>
    </w:rPr>
  </w:style>
  <w:style w:type="character" w:customStyle="1" w:styleId="422">
    <w:name w:val="font101"/>
    <w:qFormat/>
    <w:uiPriority w:val="0"/>
    <w:rPr>
      <w:color w:val="333333"/>
      <w:sz w:val="21"/>
      <w:szCs w:val="21"/>
    </w:rPr>
  </w:style>
  <w:style w:type="character" w:customStyle="1" w:styleId="423">
    <w:name w:val="正文1"/>
    <w:qFormat/>
    <w:uiPriority w:val="0"/>
    <w:rPr>
      <w:rFonts w:hint="eastAsia" w:ascii="宋体" w:hAnsi="宋体" w:eastAsia="宋体"/>
      <w:sz w:val="22"/>
      <w:szCs w:val="22"/>
    </w:rPr>
  </w:style>
  <w:style w:type="character" w:customStyle="1" w:styleId="424">
    <w:name w:val="样式 标题 2标题 2 Char Char Char节节标题 1.1H2（一）Underrubrik1prop2...1 Char Char"/>
    <w:link w:val="425"/>
    <w:qFormat/>
    <w:uiPriority w:val="0"/>
    <w:rPr>
      <w:rFonts w:ascii="宋体" w:hAnsi="宋体"/>
      <w:kern w:val="2"/>
      <w:sz w:val="28"/>
      <w:szCs w:val="32"/>
    </w:rPr>
  </w:style>
  <w:style w:type="paragraph" w:customStyle="1" w:styleId="425">
    <w:name w:val="样式 标题 2标题 2 Char Char Char节节标题 1.1H2（一）Underrubrik1prop2...1"/>
    <w:basedOn w:val="4"/>
    <w:link w:val="424"/>
    <w:qFormat/>
    <w:uiPriority w:val="0"/>
    <w:pPr>
      <w:widowControl/>
      <w:numPr>
        <w:ilvl w:val="0"/>
        <w:numId w:val="0"/>
      </w:numPr>
      <w:ind w:left="578" w:hanging="578"/>
      <w:jc w:val="left"/>
    </w:pPr>
    <w:rPr>
      <w:rFonts w:ascii="宋体" w:hAnsi="宋体" w:eastAsia="宋体"/>
      <w:b w:val="0"/>
      <w:bCs w:val="0"/>
      <w:lang w:val="en-US"/>
    </w:rPr>
  </w:style>
  <w:style w:type="character" w:customStyle="1" w:styleId="426">
    <w:name w:val="样式 标题 3标题 3 Char标题 3 Char Char Char Char Char Char Char Char C...5 Char Char"/>
    <w:link w:val="427"/>
    <w:qFormat/>
    <w:uiPriority w:val="0"/>
    <w:rPr>
      <w:kern w:val="2"/>
      <w:sz w:val="24"/>
      <w:szCs w:val="32"/>
    </w:rPr>
  </w:style>
  <w:style w:type="paragraph" w:customStyle="1" w:styleId="427">
    <w:name w:val="样式 标题 3标题 3 Char标题 3 Char Char Char Char Char Char Char Char C...5"/>
    <w:basedOn w:val="5"/>
    <w:link w:val="426"/>
    <w:qFormat/>
    <w:uiPriority w:val="0"/>
    <w:pPr>
      <w:widowControl/>
      <w:numPr>
        <w:ilvl w:val="0"/>
        <w:numId w:val="0"/>
      </w:numPr>
      <w:tabs>
        <w:tab w:val="left" w:pos="720"/>
      </w:tabs>
      <w:spacing w:before="0" w:after="0" w:line="360" w:lineRule="auto"/>
      <w:ind w:left="720" w:hanging="720"/>
      <w:jc w:val="left"/>
    </w:pPr>
    <w:rPr>
      <w:b w:val="0"/>
      <w:bCs w:val="0"/>
      <w:sz w:val="24"/>
      <w:lang w:val="en-US"/>
    </w:rPr>
  </w:style>
  <w:style w:type="character" w:customStyle="1" w:styleId="428">
    <w:name w:val="z41"/>
    <w:qFormat/>
    <w:uiPriority w:val="0"/>
    <w:rPr>
      <w:color w:val="000000"/>
      <w:sz w:val="18"/>
      <w:szCs w:val="18"/>
    </w:rPr>
  </w:style>
  <w:style w:type="character" w:customStyle="1" w:styleId="429">
    <w:name w:val="style41"/>
    <w:qFormat/>
    <w:uiPriority w:val="0"/>
    <w:rPr>
      <w:b/>
      <w:bCs/>
      <w:sz w:val="21"/>
      <w:szCs w:val="21"/>
    </w:rPr>
  </w:style>
  <w:style w:type="character" w:customStyle="1" w:styleId="430">
    <w:name w:val="lh131"/>
    <w:basedOn w:val="135"/>
    <w:qFormat/>
    <w:uiPriority w:val="0"/>
  </w:style>
  <w:style w:type="paragraph" w:customStyle="1" w:styleId="431">
    <w:name w:val="样式 标题 3标题 3 Char Char条标题1.1.13h33rd levelH3l3CT + 黑色"/>
    <w:basedOn w:val="5"/>
    <w:qFormat/>
    <w:uiPriority w:val="0"/>
    <w:pPr>
      <w:widowControl/>
      <w:numPr>
        <w:ilvl w:val="0"/>
        <w:numId w:val="0"/>
      </w:numPr>
      <w:tabs>
        <w:tab w:val="left" w:pos="870"/>
        <w:tab w:val="left" w:pos="1335"/>
        <w:tab w:val="left" w:pos="1456"/>
      </w:tabs>
      <w:snapToGrid w:val="0"/>
      <w:spacing w:before="0" w:after="0" w:line="360" w:lineRule="auto"/>
      <w:ind w:left="717" w:hanging="567"/>
      <w:jc w:val="left"/>
    </w:pPr>
    <w:rPr>
      <w:rFonts w:cs="宋体"/>
      <w:b w:val="0"/>
      <w:color w:val="000000"/>
      <w:kern w:val="0"/>
      <w:sz w:val="28"/>
      <w:szCs w:val="20"/>
      <w:lang w:val="en-US"/>
    </w:rPr>
  </w:style>
  <w:style w:type="paragraph" w:customStyle="1" w:styleId="432">
    <w:name w:val="xl43"/>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1"/>
    </w:rPr>
  </w:style>
  <w:style w:type="paragraph" w:customStyle="1" w:styleId="433">
    <w:name w:val="样式 标题 4 + 黑色 行距: 固定值 25 磅"/>
    <w:basedOn w:val="6"/>
    <w:qFormat/>
    <w:uiPriority w:val="0"/>
    <w:pPr>
      <w:widowControl/>
      <w:numPr>
        <w:ilvl w:val="0"/>
        <w:numId w:val="0"/>
      </w:numPr>
      <w:adjustRightInd w:val="0"/>
      <w:snapToGrid w:val="0"/>
      <w:spacing w:before="0" w:after="0" w:line="500" w:lineRule="exact"/>
      <w:ind w:left="709" w:hanging="709"/>
      <w:jc w:val="left"/>
      <w:textAlignment w:val="baseline"/>
    </w:pPr>
    <w:rPr>
      <w:rFonts w:ascii="Times New Roman" w:hAnsi="Times New Roman" w:eastAsia="宋体" w:cs="宋体"/>
      <w:bCs/>
      <w:color w:val="000000"/>
      <w:kern w:val="0"/>
      <w:sz w:val="24"/>
      <w:lang w:val="en-US"/>
    </w:rPr>
  </w:style>
  <w:style w:type="paragraph" w:customStyle="1" w:styleId="434">
    <w:name w:val="样式 样式 左侧:  2 字符 + 首行缩进:  2 字符"/>
    <w:basedOn w:val="1"/>
    <w:qFormat/>
    <w:uiPriority w:val="0"/>
    <w:pPr>
      <w:widowControl/>
      <w:spacing w:line="360" w:lineRule="auto"/>
      <w:ind w:firstLine="560" w:firstLineChars="200"/>
      <w:jc w:val="left"/>
    </w:pPr>
    <w:rPr>
      <w:rFonts w:ascii="宋体" w:hAnsi="宋体" w:cs="宋体"/>
      <w:kern w:val="0"/>
      <w:sz w:val="28"/>
      <w:szCs w:val="28"/>
    </w:rPr>
  </w:style>
  <w:style w:type="paragraph" w:customStyle="1" w:styleId="435">
    <w:name w:val="样式 标题 1章标题 1H1Section HeadHeader1h11st levell1Heading 0...2"/>
    <w:basedOn w:val="3"/>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436">
    <w:name w:val="样式 标题 3标题 3 Char标题 3 Char Char Char Char Char Char Char Char C...3"/>
    <w:basedOn w:val="5"/>
    <w:qFormat/>
    <w:uiPriority w:val="0"/>
    <w:pPr>
      <w:widowControl/>
      <w:numPr>
        <w:numId w:val="3"/>
      </w:numPr>
      <w:tabs>
        <w:tab w:val="left" w:pos="1260"/>
      </w:tabs>
      <w:spacing w:before="0" w:after="0" w:line="360" w:lineRule="auto"/>
      <w:ind w:firstLine="0" w:firstLineChars="0"/>
      <w:jc w:val="left"/>
    </w:pPr>
    <w:rPr>
      <w:rFonts w:ascii="宋体" w:hAnsi="宋体" w:cs="宋体"/>
      <w:color w:val="000000"/>
      <w:kern w:val="0"/>
      <w:sz w:val="24"/>
      <w:szCs w:val="20"/>
      <w:lang w:val="en-US"/>
    </w:rPr>
  </w:style>
  <w:style w:type="paragraph" w:customStyle="1" w:styleId="437">
    <w:name w:val="样式 标题 3标题 3 Char标题 3 Char Char Char Char Char Char Char Char C...4"/>
    <w:basedOn w:val="5"/>
    <w:qFormat/>
    <w:uiPriority w:val="0"/>
    <w:pPr>
      <w:widowControl/>
      <w:numPr>
        <w:ilvl w:val="0"/>
        <w:numId w:val="0"/>
      </w:numPr>
      <w:tabs>
        <w:tab w:val="left" w:pos="720"/>
      </w:tabs>
      <w:spacing w:before="0" w:after="0" w:line="360" w:lineRule="auto"/>
      <w:ind w:left="720" w:hanging="720"/>
      <w:jc w:val="left"/>
    </w:pPr>
    <w:rPr>
      <w:rFonts w:ascii="宋体" w:hAnsi="宋体" w:cs="宋体"/>
      <w:b w:val="0"/>
      <w:bCs w:val="0"/>
      <w:kern w:val="0"/>
      <w:sz w:val="24"/>
      <w:lang w:val="en-US"/>
    </w:rPr>
  </w:style>
  <w:style w:type="paragraph" w:customStyle="1" w:styleId="438">
    <w:name w:val="小四宋居中1.0"/>
    <w:basedOn w:val="1"/>
    <w:next w:val="1"/>
    <w:qFormat/>
    <w:uiPriority w:val="0"/>
    <w:pPr>
      <w:widowControl/>
      <w:spacing w:line="400" w:lineRule="exact"/>
      <w:jc w:val="center"/>
    </w:pPr>
    <w:rPr>
      <w:rFonts w:ascii="宋体" w:hAnsi="宋体" w:cs="宋体"/>
      <w:kern w:val="0"/>
      <w:sz w:val="24"/>
    </w:rPr>
  </w:style>
  <w:style w:type="paragraph" w:customStyle="1" w:styleId="439">
    <w:name w:val="样式 标题 4 + 黑色 左侧:  1.52 厘米"/>
    <w:basedOn w:val="6"/>
    <w:qFormat/>
    <w:uiPriority w:val="0"/>
    <w:pPr>
      <w:widowControl/>
      <w:numPr>
        <w:ilvl w:val="0"/>
        <w:numId w:val="0"/>
      </w:numPr>
      <w:tabs>
        <w:tab w:val="left" w:pos="4660"/>
      </w:tabs>
      <w:spacing w:before="0" w:after="0" w:line="360" w:lineRule="auto"/>
      <w:ind w:left="2848" w:hanging="708"/>
      <w:jc w:val="left"/>
    </w:pPr>
    <w:rPr>
      <w:rFonts w:ascii="Times New Roman" w:hAnsi="Times New Roman" w:eastAsia="宋体" w:cs="宋体"/>
      <w:b w:val="0"/>
      <w:color w:val="000000"/>
      <w:kern w:val="0"/>
      <w:sz w:val="24"/>
      <w:lang w:val="en-US"/>
    </w:rPr>
  </w:style>
  <w:style w:type="paragraph" w:customStyle="1" w:styleId="440">
    <w:name w:val="Char1"/>
    <w:basedOn w:val="1"/>
    <w:qFormat/>
    <w:uiPriority w:val="0"/>
    <w:pPr>
      <w:widowControl/>
      <w:jc w:val="left"/>
    </w:pPr>
    <w:rPr>
      <w:rFonts w:ascii="宋体" w:hAnsi="宋体" w:cs="宋体"/>
      <w:kern w:val="0"/>
      <w:sz w:val="24"/>
      <w:szCs w:val="21"/>
    </w:rPr>
  </w:style>
  <w:style w:type="paragraph" w:customStyle="1" w:styleId="441">
    <w:name w:val="样式 标题 3标题 3 Char Char条标题1.1.13h33rd levelH3l3CT标题 3 Cha...2"/>
    <w:basedOn w:val="5"/>
    <w:qFormat/>
    <w:uiPriority w:val="0"/>
    <w:pPr>
      <w:widowControl/>
      <w:numPr>
        <w:ilvl w:val="0"/>
        <w:numId w:val="0"/>
      </w:numPr>
      <w:tabs>
        <w:tab w:val="left" w:pos="870"/>
        <w:tab w:val="left" w:pos="1335"/>
        <w:tab w:val="left" w:pos="1456"/>
      </w:tabs>
      <w:snapToGrid w:val="0"/>
      <w:spacing w:before="0" w:after="0" w:line="360" w:lineRule="auto"/>
      <w:ind w:left="717" w:hanging="567"/>
      <w:jc w:val="left"/>
    </w:pPr>
    <w:rPr>
      <w:rFonts w:cs="宋体"/>
      <w:b w:val="0"/>
      <w:bCs w:val="0"/>
      <w:kern w:val="0"/>
      <w:sz w:val="28"/>
      <w:szCs w:val="20"/>
      <w:lang w:val="en-US"/>
    </w:rPr>
  </w:style>
  <w:style w:type="paragraph" w:customStyle="1" w:styleId="442">
    <w:name w:val="一级条标题"/>
    <w:basedOn w:val="373"/>
    <w:next w:val="1"/>
    <w:qFormat/>
    <w:uiPriority w:val="0"/>
    <w:pPr>
      <w:tabs>
        <w:tab w:val="left" w:pos="360"/>
      </w:tabs>
      <w:spacing w:before="0" w:after="0"/>
      <w:ind w:left="360" w:hanging="360" w:hangingChars="200"/>
      <w:outlineLvl w:val="2"/>
    </w:pPr>
  </w:style>
  <w:style w:type="paragraph" w:customStyle="1" w:styleId="443">
    <w:name w:val="xl30"/>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rPr>
  </w:style>
  <w:style w:type="paragraph" w:customStyle="1" w:styleId="444">
    <w:name w:val="二级条标题"/>
    <w:basedOn w:val="442"/>
    <w:next w:val="1"/>
    <w:qFormat/>
    <w:uiPriority w:val="0"/>
    <w:pPr>
      <w:outlineLvl w:val="3"/>
    </w:pPr>
  </w:style>
  <w:style w:type="paragraph" w:customStyle="1" w:styleId="445">
    <w:name w:val="样式 标题 5标题 5 Char CharH5标题1.1.1.1.1 + (西文) 宋体 左侧:  0 厘米 悬挂缩进..."/>
    <w:basedOn w:val="7"/>
    <w:qFormat/>
    <w:uiPriority w:val="0"/>
    <w:pPr>
      <w:keepNext/>
      <w:keepLines/>
      <w:numPr>
        <w:ilvl w:val="0"/>
        <w:numId w:val="0"/>
      </w:numPr>
      <w:tabs>
        <w:tab w:val="left" w:pos="2284"/>
      </w:tabs>
      <w:autoSpaceDE w:val="0"/>
      <w:autoSpaceDN w:val="0"/>
      <w:snapToGrid/>
      <w:spacing w:before="0" w:after="0"/>
      <w:ind w:left="1008" w:hanging="1008"/>
      <w:jc w:val="left"/>
    </w:pPr>
    <w:rPr>
      <w:rFonts w:ascii="宋体" w:hAnsi="宋体" w:cs="宋体"/>
      <w:b w:val="0"/>
      <w:i w:val="0"/>
      <w:iCs w:val="0"/>
      <w:color w:val="000000"/>
      <w:sz w:val="24"/>
      <w:szCs w:val="20"/>
      <w:lang w:val="en-US" w:eastAsia="zh-CN" w:bidi="ar-SA"/>
    </w:rPr>
  </w:style>
  <w:style w:type="paragraph" w:customStyle="1" w:styleId="446">
    <w:name w:val="样式 标题 2标题 2 Char节节标题 1.1H2（一）Underrubrik1prop2Heading 2 ..."/>
    <w:basedOn w:val="4"/>
    <w:qFormat/>
    <w:uiPriority w:val="0"/>
    <w:pPr>
      <w:widowControl/>
      <w:numPr>
        <w:ilvl w:val="0"/>
        <w:numId w:val="0"/>
      </w:numPr>
      <w:tabs>
        <w:tab w:val="left" w:pos="576"/>
      </w:tabs>
      <w:ind w:left="567" w:hanging="567"/>
      <w:jc w:val="left"/>
    </w:pPr>
    <w:rPr>
      <w:rFonts w:ascii="Times New Roman" w:hAnsi="Times New Roman" w:eastAsia="宋体" w:cs="宋体"/>
      <w:bCs w:val="0"/>
      <w:kern w:val="0"/>
      <w:szCs w:val="30"/>
      <w:lang w:val="en-US"/>
    </w:rPr>
  </w:style>
  <w:style w:type="paragraph" w:customStyle="1" w:styleId="447">
    <w:name w:val="样式 标题 3标题 3 Char Char条标题1.1.13h33rd levelH3l3CT + 左 行距:..."/>
    <w:basedOn w:val="5"/>
    <w:qFormat/>
    <w:uiPriority w:val="0"/>
    <w:pPr>
      <w:widowControl/>
      <w:numPr>
        <w:ilvl w:val="0"/>
        <w:numId w:val="0"/>
      </w:numPr>
      <w:tabs>
        <w:tab w:val="left" w:pos="870"/>
        <w:tab w:val="left" w:pos="1335"/>
        <w:tab w:val="left" w:pos="1456"/>
      </w:tabs>
      <w:snapToGrid w:val="0"/>
      <w:spacing w:before="0" w:after="0" w:line="500" w:lineRule="exact"/>
      <w:ind w:left="717" w:hanging="567"/>
      <w:jc w:val="left"/>
    </w:pPr>
    <w:rPr>
      <w:rFonts w:cs="宋体"/>
      <w:kern w:val="0"/>
      <w:sz w:val="24"/>
      <w:szCs w:val="20"/>
      <w:lang w:val="en-US"/>
    </w:rPr>
  </w:style>
  <w:style w:type="paragraph" w:customStyle="1" w:styleId="448">
    <w:name w:val="样式 标题 1章标题 1H1Section HeadHeader1h11st levell1Heading 0...3"/>
    <w:basedOn w:val="3"/>
    <w:qFormat/>
    <w:uiPriority w:val="0"/>
    <w:pPr>
      <w:widowControl/>
      <w:overflowPunct/>
      <w:snapToGrid/>
      <w:spacing w:before="0" w:after="0" w:line="360" w:lineRule="auto"/>
      <w:ind w:left="425" w:hanging="425"/>
      <w:jc w:val="left"/>
    </w:pPr>
    <w:rPr>
      <w:rFonts w:ascii="宋体" w:hAnsi="宋体" w:eastAsia="宋体" w:cs="宋体"/>
      <w:b w:val="0"/>
      <w:kern w:val="0"/>
      <w:sz w:val="32"/>
      <w:szCs w:val="24"/>
    </w:rPr>
  </w:style>
  <w:style w:type="paragraph" w:customStyle="1" w:styleId="449">
    <w:name w:val="样式 标题 4 + 黑色"/>
    <w:basedOn w:val="6"/>
    <w:qFormat/>
    <w:uiPriority w:val="0"/>
    <w:pPr>
      <w:widowControl/>
      <w:numPr>
        <w:ilvl w:val="0"/>
        <w:numId w:val="0"/>
      </w:numPr>
      <w:adjustRightInd w:val="0"/>
      <w:snapToGrid w:val="0"/>
      <w:spacing w:before="0" w:after="0" w:line="360" w:lineRule="auto"/>
      <w:ind w:left="709" w:hanging="709"/>
      <w:jc w:val="left"/>
      <w:textAlignment w:val="baseline"/>
    </w:pPr>
    <w:rPr>
      <w:rFonts w:ascii="Times New Roman" w:hAnsi="Times New Roman" w:eastAsia="宋体" w:cs="宋体"/>
      <w:bCs/>
      <w:color w:val="000000"/>
      <w:kern w:val="0"/>
      <w:sz w:val="24"/>
      <w:lang w:val="en-US"/>
    </w:rPr>
  </w:style>
  <w:style w:type="paragraph" w:customStyle="1" w:styleId="450">
    <w:name w:val="样式 标题 5标题 5 Char CharH5标题1.1.1.1.1 + 粉红"/>
    <w:basedOn w:val="7"/>
    <w:qFormat/>
    <w:uiPriority w:val="0"/>
    <w:pPr>
      <w:keepNext/>
      <w:keepLines/>
      <w:numPr>
        <w:numId w:val="3"/>
      </w:numPr>
      <w:autoSpaceDE w:val="0"/>
      <w:autoSpaceDN w:val="0"/>
      <w:snapToGrid/>
      <w:spacing w:before="0" w:after="0"/>
      <w:ind w:firstLine="0" w:firstLineChars="0"/>
      <w:jc w:val="left"/>
    </w:pPr>
    <w:rPr>
      <w:rFonts w:ascii="宋体" w:hAnsi="宋体" w:cs="宋体"/>
      <w:b w:val="0"/>
      <w:i w:val="0"/>
      <w:iCs w:val="0"/>
      <w:color w:val="000000"/>
      <w:sz w:val="24"/>
      <w:szCs w:val="20"/>
      <w:lang w:val="en-US" w:eastAsia="zh-CN" w:bidi="ar-SA"/>
    </w:rPr>
  </w:style>
  <w:style w:type="paragraph" w:customStyle="1" w:styleId="451">
    <w:name w:val="样式 标题 1章标题 1H1Section HeadHeader1h11st levell1Heading 0...1"/>
    <w:basedOn w:val="3"/>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452">
    <w:name w:val="tt1"/>
    <w:basedOn w:val="1"/>
    <w:qFormat/>
    <w:uiPriority w:val="0"/>
    <w:pPr>
      <w:widowControl/>
      <w:spacing w:before="100" w:beforeAutospacing="1" w:after="100" w:afterAutospacing="1"/>
      <w:jc w:val="left"/>
    </w:pPr>
    <w:rPr>
      <w:rFonts w:ascii="宋体" w:hAnsi="宋体" w:cs="宋体"/>
      <w:kern w:val="0"/>
      <w:sz w:val="24"/>
    </w:rPr>
  </w:style>
  <w:style w:type="paragraph" w:customStyle="1" w:styleId="453">
    <w:name w:val="四级条标题"/>
    <w:basedOn w:val="454"/>
    <w:next w:val="1"/>
    <w:qFormat/>
    <w:uiPriority w:val="0"/>
    <w:pPr>
      <w:outlineLvl w:val="5"/>
    </w:pPr>
  </w:style>
  <w:style w:type="paragraph" w:customStyle="1" w:styleId="454">
    <w:name w:val="三级条标题"/>
    <w:basedOn w:val="444"/>
    <w:next w:val="1"/>
    <w:qFormat/>
    <w:uiPriority w:val="0"/>
    <w:pPr>
      <w:tabs>
        <w:tab w:val="clear" w:pos="360"/>
      </w:tabs>
      <w:outlineLvl w:val="4"/>
    </w:pPr>
  </w:style>
  <w:style w:type="paragraph" w:customStyle="1" w:styleId="455">
    <w:name w:val="样式 标题 3标题 3 Char标题 3 Char Char Char Char Char Char Char Char C..."/>
    <w:basedOn w:val="5"/>
    <w:qFormat/>
    <w:uiPriority w:val="0"/>
    <w:pPr>
      <w:widowControl/>
      <w:numPr>
        <w:ilvl w:val="0"/>
        <w:numId w:val="0"/>
      </w:numPr>
      <w:tabs>
        <w:tab w:val="left" w:pos="840"/>
      </w:tabs>
      <w:spacing w:before="0" w:after="0" w:line="360" w:lineRule="auto"/>
      <w:ind w:left="840" w:hanging="360"/>
      <w:jc w:val="left"/>
    </w:pPr>
    <w:rPr>
      <w:rFonts w:ascii="宋体" w:hAnsi="宋体" w:cs="宋体"/>
      <w:bCs w:val="0"/>
      <w:kern w:val="0"/>
      <w:sz w:val="24"/>
      <w:szCs w:val="20"/>
      <w:lang w:val="en-US"/>
    </w:rPr>
  </w:style>
  <w:style w:type="paragraph" w:customStyle="1" w:styleId="456">
    <w:name w:val="样式 标题 1 + 加粗"/>
    <w:basedOn w:val="3"/>
    <w:qFormat/>
    <w:uiPriority w:val="0"/>
    <w:pPr>
      <w:widowControl/>
      <w:tabs>
        <w:tab w:val="left" w:pos="425"/>
      </w:tabs>
      <w:overflowPunct/>
      <w:snapToGrid/>
      <w:spacing w:before="0" w:after="0" w:line="360" w:lineRule="auto"/>
      <w:ind w:left="425" w:hanging="425"/>
      <w:jc w:val="left"/>
    </w:pPr>
    <w:rPr>
      <w:rFonts w:ascii="宋体" w:hAnsi="宋体" w:eastAsia="宋体" w:cs="宋体"/>
      <w:b w:val="0"/>
      <w:color w:val="auto"/>
      <w:kern w:val="0"/>
      <w:sz w:val="28"/>
    </w:rPr>
  </w:style>
  <w:style w:type="paragraph" w:customStyle="1" w:styleId="457">
    <w:name w:val="样式 标题 3标题 3 Char Char条标题1.1.13h33rd levelH3l3CT标题 3 Cha...1"/>
    <w:basedOn w:val="5"/>
    <w:qFormat/>
    <w:uiPriority w:val="0"/>
    <w:pPr>
      <w:widowControl/>
      <w:numPr>
        <w:ilvl w:val="0"/>
        <w:numId w:val="0"/>
      </w:numPr>
      <w:tabs>
        <w:tab w:val="left" w:pos="870"/>
        <w:tab w:val="left" w:pos="1335"/>
        <w:tab w:val="left" w:pos="1456"/>
      </w:tabs>
      <w:snapToGrid w:val="0"/>
      <w:spacing w:before="0" w:after="0" w:line="360" w:lineRule="auto"/>
      <w:ind w:left="717" w:hanging="567"/>
      <w:jc w:val="left"/>
    </w:pPr>
    <w:rPr>
      <w:rFonts w:cs="宋体"/>
      <w:b w:val="0"/>
      <w:bCs w:val="0"/>
      <w:color w:val="000000"/>
      <w:kern w:val="0"/>
      <w:sz w:val="28"/>
      <w:szCs w:val="20"/>
      <w:lang w:val="en-US"/>
    </w:rPr>
  </w:style>
  <w:style w:type="paragraph" w:customStyle="1" w:styleId="458">
    <w:name w:val="默认段落字体 Para Char Char Char Char Char Char Char Char Char Char Char Char Char"/>
    <w:basedOn w:val="1"/>
    <w:qFormat/>
    <w:uiPriority w:val="0"/>
    <w:pPr>
      <w:widowControl/>
      <w:jc w:val="left"/>
    </w:pPr>
    <w:rPr>
      <w:rFonts w:ascii="宋体" w:hAnsi="宋体" w:cs="宋体"/>
      <w:kern w:val="0"/>
      <w:sz w:val="24"/>
    </w:rPr>
  </w:style>
  <w:style w:type="paragraph" w:customStyle="1" w:styleId="459">
    <w:name w:val="默认段落字体 Para Char Char Char Char Char Char Char Char Char Char"/>
    <w:basedOn w:val="1"/>
    <w:qFormat/>
    <w:uiPriority w:val="0"/>
    <w:pPr>
      <w:widowControl/>
      <w:jc w:val="left"/>
    </w:pPr>
    <w:rPr>
      <w:rFonts w:ascii="宋体" w:hAnsi="宋体" w:cs="宋体"/>
      <w:kern w:val="0"/>
      <w:sz w:val="24"/>
    </w:rPr>
  </w:style>
  <w:style w:type="paragraph" w:customStyle="1" w:styleId="460">
    <w:name w:val="样式 标题 1章标题 1H1Section HeadHeader1h11st levell1Heading 0..."/>
    <w:basedOn w:val="3"/>
    <w:qFormat/>
    <w:uiPriority w:val="0"/>
    <w:pPr>
      <w:widowControl/>
      <w:tabs>
        <w:tab w:val="left" w:pos="425"/>
      </w:tabs>
      <w:overflowPunct/>
      <w:snapToGrid/>
      <w:spacing w:before="0" w:after="0" w:line="500" w:lineRule="exact"/>
      <w:ind w:left="425" w:hanging="425"/>
      <w:jc w:val="left"/>
    </w:pPr>
    <w:rPr>
      <w:rFonts w:ascii="宋体" w:hAnsi="宋体" w:eastAsia="宋体" w:cs="宋体"/>
      <w:b w:val="0"/>
      <w:bCs w:val="0"/>
      <w:kern w:val="0"/>
      <w:sz w:val="28"/>
      <w:szCs w:val="24"/>
    </w:rPr>
  </w:style>
  <w:style w:type="paragraph" w:customStyle="1" w:styleId="461">
    <w:name w:val="五级条标题"/>
    <w:basedOn w:val="453"/>
    <w:next w:val="1"/>
    <w:qFormat/>
    <w:uiPriority w:val="0"/>
    <w:pPr>
      <w:outlineLvl w:val="6"/>
    </w:pPr>
  </w:style>
  <w:style w:type="paragraph" w:customStyle="1" w:styleId="462">
    <w:name w:val="样式 标题 3标题 3 Char Char条标题1.1.13h33rd levelH3l3CT标题 3 Cha..."/>
    <w:basedOn w:val="5"/>
    <w:qFormat/>
    <w:uiPriority w:val="0"/>
    <w:pPr>
      <w:widowControl/>
      <w:numPr>
        <w:ilvl w:val="0"/>
        <w:numId w:val="0"/>
      </w:numPr>
      <w:tabs>
        <w:tab w:val="left" w:pos="870"/>
        <w:tab w:val="left" w:pos="1335"/>
        <w:tab w:val="left" w:pos="1456"/>
      </w:tabs>
      <w:snapToGrid w:val="0"/>
      <w:spacing w:before="120" w:after="120" w:line="360" w:lineRule="auto"/>
      <w:ind w:left="717" w:hanging="567"/>
      <w:jc w:val="left"/>
    </w:pPr>
    <w:rPr>
      <w:rFonts w:cs="宋体"/>
      <w:b w:val="0"/>
      <w:kern w:val="0"/>
      <w:sz w:val="28"/>
      <w:szCs w:val="20"/>
      <w:lang w:val="en-US"/>
    </w:rPr>
  </w:style>
  <w:style w:type="paragraph" w:customStyle="1" w:styleId="463">
    <w:name w:val="xl29"/>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s="宋体"/>
      <w:color w:val="000000"/>
      <w:kern w:val="0"/>
      <w:sz w:val="24"/>
    </w:rPr>
  </w:style>
  <w:style w:type="paragraph" w:customStyle="1" w:styleId="464">
    <w:name w:val="样式 标题 5标题 5 Char CharH5标题1.1.1.1.1 + 黑色 左侧:  0 厘米 悬挂缩进: 10...."/>
    <w:basedOn w:val="7"/>
    <w:qFormat/>
    <w:uiPriority w:val="0"/>
    <w:pPr>
      <w:keepNext/>
      <w:keepLines/>
      <w:numPr>
        <w:ilvl w:val="0"/>
        <w:numId w:val="0"/>
      </w:numPr>
      <w:tabs>
        <w:tab w:val="left" w:pos="2284"/>
      </w:tabs>
      <w:autoSpaceDE w:val="0"/>
      <w:autoSpaceDN w:val="0"/>
      <w:snapToGrid/>
      <w:spacing w:before="0" w:after="0"/>
      <w:ind w:left="1008" w:hanging="1008"/>
      <w:jc w:val="left"/>
    </w:pPr>
    <w:rPr>
      <w:rFonts w:ascii="宋体" w:hAnsi="宋体" w:cs="宋体"/>
      <w:b w:val="0"/>
      <w:i w:val="0"/>
      <w:iCs w:val="0"/>
      <w:color w:val="000000"/>
      <w:sz w:val="24"/>
      <w:szCs w:val="20"/>
      <w:lang w:val="en-US" w:eastAsia="zh-CN" w:bidi="ar-SA"/>
    </w:rPr>
  </w:style>
  <w:style w:type="paragraph" w:customStyle="1" w:styleId="465">
    <w:name w:val="样式 标题 2标题 2 Char标题 2 Char Char Char节节标题 1.1H2（一）Underrubr...1"/>
    <w:basedOn w:val="4"/>
    <w:qFormat/>
    <w:uiPriority w:val="0"/>
    <w:pPr>
      <w:widowControl/>
      <w:numPr>
        <w:numId w:val="3"/>
      </w:numPr>
      <w:tabs>
        <w:tab w:val="left" w:pos="741"/>
      </w:tabs>
      <w:ind w:left="741" w:firstLine="0" w:firstLineChars="0"/>
      <w:jc w:val="left"/>
    </w:pPr>
    <w:rPr>
      <w:rFonts w:ascii="Times New Roman" w:hAnsi="Times New Roman" w:eastAsia="宋体" w:cs="宋体"/>
      <w:b w:val="0"/>
      <w:bCs w:val="0"/>
      <w:color w:val="000000"/>
      <w:kern w:val="0"/>
      <w:sz w:val="30"/>
      <w:szCs w:val="28"/>
      <w:lang w:val="en-US"/>
    </w:rPr>
  </w:style>
  <w:style w:type="paragraph" w:customStyle="1" w:styleId="466">
    <w:name w:val="样式 标题 4 + 黑色 行距: 1.5 倍行距"/>
    <w:basedOn w:val="6"/>
    <w:qFormat/>
    <w:uiPriority w:val="0"/>
    <w:pPr>
      <w:widowControl/>
      <w:numPr>
        <w:ilvl w:val="0"/>
        <w:numId w:val="0"/>
      </w:numPr>
      <w:adjustRightInd w:val="0"/>
      <w:snapToGrid w:val="0"/>
      <w:spacing w:before="0" w:after="0" w:line="360" w:lineRule="auto"/>
      <w:ind w:left="709" w:hanging="709"/>
      <w:jc w:val="left"/>
      <w:textAlignment w:val="baseline"/>
    </w:pPr>
    <w:rPr>
      <w:rFonts w:ascii="Times New Roman" w:hAnsi="Times New Roman" w:eastAsia="宋体" w:cs="宋体"/>
      <w:bCs/>
      <w:color w:val="000000"/>
      <w:kern w:val="0"/>
      <w:sz w:val="24"/>
      <w:lang w:val="en-US"/>
    </w:rPr>
  </w:style>
  <w:style w:type="paragraph" w:customStyle="1" w:styleId="467">
    <w:name w:val="前言、引言标题"/>
    <w:next w:val="1"/>
    <w:qFormat/>
    <w:uiPriority w:val="0"/>
    <w:pPr>
      <w:shd w:val="clear" w:color="FFFFFF" w:fill="FFFFFF"/>
      <w:tabs>
        <w:tab w:val="left" w:pos="903"/>
      </w:tabs>
      <w:spacing w:before="640" w:after="560"/>
      <w:ind w:left="903" w:hanging="315"/>
      <w:jc w:val="center"/>
      <w:outlineLvl w:val="0"/>
    </w:pPr>
    <w:rPr>
      <w:rFonts w:ascii="黑体" w:hAnsi="Times New Roman" w:eastAsia="黑体" w:cs="Times New Roman"/>
      <w:sz w:val="32"/>
      <w:lang w:val="en-US" w:eastAsia="zh-CN" w:bidi="ar-SA"/>
    </w:rPr>
  </w:style>
  <w:style w:type="paragraph" w:customStyle="1" w:styleId="468">
    <w:name w:val="样式 标题 2标题 2 Char标题 2 Char Char Char节节标题 1.1H2（一）Underrubr...2"/>
    <w:basedOn w:val="4"/>
    <w:qFormat/>
    <w:uiPriority w:val="0"/>
    <w:pPr>
      <w:widowControl/>
      <w:numPr>
        <w:ilvl w:val="0"/>
        <w:numId w:val="0"/>
      </w:numPr>
      <w:tabs>
        <w:tab w:val="left" w:pos="741"/>
      </w:tabs>
      <w:ind w:left="741"/>
      <w:jc w:val="left"/>
    </w:pPr>
    <w:rPr>
      <w:rFonts w:ascii="宋体" w:hAnsi="宋体" w:eastAsia="宋体" w:cs="宋体"/>
      <w:b w:val="0"/>
      <w:color w:val="000000"/>
      <w:kern w:val="0"/>
      <w:sz w:val="30"/>
      <w:szCs w:val="28"/>
      <w:lang w:val="en-US"/>
    </w:rPr>
  </w:style>
  <w:style w:type="paragraph" w:customStyle="1" w:styleId="469">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470">
    <w:name w:val="四级无标题条"/>
    <w:basedOn w:val="1"/>
    <w:qFormat/>
    <w:uiPriority w:val="0"/>
    <w:pPr>
      <w:widowControl/>
      <w:jc w:val="left"/>
    </w:pPr>
    <w:rPr>
      <w:rFonts w:ascii="宋体" w:hAnsi="宋体" w:cs="宋体"/>
      <w:kern w:val="0"/>
      <w:sz w:val="24"/>
    </w:rPr>
  </w:style>
  <w:style w:type="paragraph" w:customStyle="1" w:styleId="471">
    <w:name w:val="样式 标题 3标题 3 Char标题 3 Char Char Char Char Char Char Char Char C...2"/>
    <w:basedOn w:val="5"/>
    <w:qFormat/>
    <w:uiPriority w:val="0"/>
    <w:pPr>
      <w:widowControl/>
      <w:numPr>
        <w:ilvl w:val="0"/>
        <w:numId w:val="0"/>
      </w:numPr>
      <w:tabs>
        <w:tab w:val="left" w:pos="1260"/>
      </w:tabs>
      <w:spacing w:before="0" w:after="0" w:line="360" w:lineRule="auto"/>
      <w:ind w:left="1260"/>
      <w:jc w:val="left"/>
    </w:pPr>
    <w:rPr>
      <w:rFonts w:ascii="宋体" w:hAnsi="宋体" w:cs="宋体"/>
      <w:bCs w:val="0"/>
      <w:kern w:val="0"/>
      <w:sz w:val="28"/>
      <w:szCs w:val="20"/>
      <w:lang w:val="en-US"/>
    </w:rPr>
  </w:style>
  <w:style w:type="paragraph" w:customStyle="1" w:styleId="472">
    <w:name w:val="样式 标题 2标题 2 Char Char Char节节标题 1.1H2（一）Underrubrik1prop2..."/>
    <w:basedOn w:val="4"/>
    <w:qFormat/>
    <w:uiPriority w:val="0"/>
    <w:pPr>
      <w:widowControl/>
      <w:numPr>
        <w:ilvl w:val="0"/>
        <w:numId w:val="0"/>
      </w:numPr>
      <w:ind w:left="840"/>
      <w:jc w:val="left"/>
    </w:pPr>
    <w:rPr>
      <w:rFonts w:ascii="Times New Roman" w:hAnsi="Times New Roman" w:eastAsia="宋体" w:cs="宋体"/>
      <w:b w:val="0"/>
      <w:bCs w:val="0"/>
      <w:color w:val="000000"/>
      <w:kern w:val="0"/>
      <w:szCs w:val="24"/>
      <w:lang w:val="en-US"/>
    </w:rPr>
  </w:style>
  <w:style w:type="paragraph" w:customStyle="1" w:styleId="473">
    <w:name w:val="图框"/>
    <w:basedOn w:val="1"/>
    <w:qFormat/>
    <w:uiPriority w:val="0"/>
    <w:pPr>
      <w:widowControl/>
      <w:adjustRightInd w:val="0"/>
      <w:snapToGrid w:val="0"/>
      <w:spacing w:line="240" w:lineRule="atLeast"/>
      <w:jc w:val="center"/>
    </w:pPr>
    <w:rPr>
      <w:rFonts w:ascii="宋体" w:hAnsi="宋体" w:cs="宋体"/>
      <w:bCs/>
      <w:kern w:val="0"/>
      <w:sz w:val="24"/>
    </w:rPr>
  </w:style>
  <w:style w:type="paragraph" w:customStyle="1" w:styleId="474">
    <w:name w:val="一级无标题条"/>
    <w:basedOn w:val="1"/>
    <w:qFormat/>
    <w:uiPriority w:val="0"/>
    <w:pPr>
      <w:widowControl/>
      <w:jc w:val="left"/>
    </w:pPr>
    <w:rPr>
      <w:rFonts w:ascii="宋体" w:hAnsi="宋体" w:cs="宋体"/>
      <w:kern w:val="0"/>
      <w:sz w:val="24"/>
    </w:rPr>
  </w:style>
  <w:style w:type="paragraph" w:customStyle="1" w:styleId="475">
    <w:name w:val="五级无标题条"/>
    <w:basedOn w:val="1"/>
    <w:qFormat/>
    <w:uiPriority w:val="0"/>
    <w:pPr>
      <w:widowControl/>
      <w:jc w:val="left"/>
    </w:pPr>
    <w:rPr>
      <w:rFonts w:ascii="宋体" w:hAnsi="宋体" w:cs="宋体"/>
      <w:kern w:val="0"/>
      <w:sz w:val="24"/>
    </w:rPr>
  </w:style>
  <w:style w:type="paragraph" w:customStyle="1" w:styleId="476">
    <w:name w:val="Char2"/>
    <w:basedOn w:val="1"/>
    <w:link w:val="909"/>
    <w:qFormat/>
    <w:uiPriority w:val="0"/>
    <w:pPr>
      <w:widowControl/>
      <w:jc w:val="left"/>
    </w:pPr>
    <w:rPr>
      <w:rFonts w:ascii="宋体" w:hAnsi="宋体" w:cs="宋体"/>
      <w:kern w:val="0"/>
      <w:sz w:val="24"/>
    </w:rPr>
  </w:style>
  <w:style w:type="paragraph" w:customStyle="1" w:styleId="477">
    <w:name w:val="样式 标题 2标题 2 Char标题 2 Char Char Char节节标题 1.1H2（一）Underrubr...3"/>
    <w:basedOn w:val="4"/>
    <w:qFormat/>
    <w:uiPriority w:val="0"/>
    <w:pPr>
      <w:widowControl/>
      <w:numPr>
        <w:ilvl w:val="0"/>
        <w:numId w:val="0"/>
      </w:numPr>
      <w:tabs>
        <w:tab w:val="left" w:pos="741"/>
      </w:tabs>
      <w:ind w:left="741"/>
      <w:jc w:val="left"/>
    </w:pPr>
    <w:rPr>
      <w:rFonts w:ascii="Times New Roman" w:hAnsi="Times New Roman" w:eastAsia="宋体" w:cs="宋体"/>
      <w:b w:val="0"/>
      <w:color w:val="000000"/>
      <w:kern w:val="0"/>
      <w:sz w:val="30"/>
      <w:szCs w:val="28"/>
      <w:lang w:val="en-US"/>
    </w:rPr>
  </w:style>
  <w:style w:type="paragraph" w:customStyle="1" w:styleId="478">
    <w:name w:val="样式 样式 样式 标题 4 + 加粗 + 黑色 + 宋体"/>
    <w:basedOn w:val="371"/>
    <w:qFormat/>
    <w:uiPriority w:val="0"/>
    <w:pPr>
      <w:tabs>
        <w:tab w:val="left" w:pos="3796"/>
      </w:tabs>
      <w:ind w:left="1984" w:hanging="708"/>
    </w:pPr>
  </w:style>
  <w:style w:type="paragraph" w:customStyle="1" w:styleId="479">
    <w:name w:val="样式 标题 3标题 3 Char Char条标题1.1.13h33rd levelH3l3CT + 黑色 行距..."/>
    <w:basedOn w:val="5"/>
    <w:qFormat/>
    <w:uiPriority w:val="0"/>
    <w:pPr>
      <w:widowControl/>
      <w:numPr>
        <w:ilvl w:val="0"/>
        <w:numId w:val="0"/>
      </w:numPr>
      <w:tabs>
        <w:tab w:val="left" w:pos="870"/>
        <w:tab w:val="left" w:pos="1335"/>
        <w:tab w:val="left" w:pos="1456"/>
      </w:tabs>
      <w:snapToGrid w:val="0"/>
      <w:spacing w:before="0" w:after="0" w:line="500" w:lineRule="exact"/>
      <w:ind w:left="717" w:hanging="567"/>
      <w:jc w:val="left"/>
    </w:pPr>
    <w:rPr>
      <w:rFonts w:cs="宋体"/>
      <w:color w:val="000000"/>
      <w:kern w:val="0"/>
      <w:sz w:val="24"/>
      <w:szCs w:val="20"/>
      <w:lang w:val="en-US"/>
    </w:rPr>
  </w:style>
  <w:style w:type="paragraph" w:customStyle="1" w:styleId="480">
    <w:name w:val="样式 标题 11.标题 1章标题 1H1Section HeadHeader1h11st levell1Hea..."/>
    <w:basedOn w:val="3"/>
    <w:qFormat/>
    <w:uiPriority w:val="0"/>
    <w:pPr>
      <w:keepLines/>
      <w:widowControl/>
      <w:tabs>
        <w:tab w:val="left" w:pos="425"/>
      </w:tabs>
      <w:overflowPunct/>
      <w:snapToGrid/>
      <w:spacing w:before="0" w:after="0" w:line="360" w:lineRule="auto"/>
      <w:ind w:left="425" w:hanging="425"/>
      <w:jc w:val="left"/>
    </w:pPr>
    <w:rPr>
      <w:rFonts w:ascii="宋体" w:hAnsi="宋体" w:eastAsia="宋体" w:cs="宋体"/>
      <w:b w:val="0"/>
      <w:bCs w:val="0"/>
      <w:color w:val="auto"/>
      <w:szCs w:val="24"/>
    </w:rPr>
  </w:style>
  <w:style w:type="paragraph" w:customStyle="1" w:styleId="481">
    <w:name w:val="三级无标题条"/>
    <w:basedOn w:val="1"/>
    <w:qFormat/>
    <w:uiPriority w:val="0"/>
    <w:pPr>
      <w:widowControl/>
      <w:ind w:left="435"/>
      <w:jc w:val="left"/>
    </w:pPr>
    <w:rPr>
      <w:rFonts w:ascii="宋体" w:hAnsi="宋体" w:cs="宋体"/>
      <w:kern w:val="0"/>
      <w:sz w:val="24"/>
    </w:rPr>
  </w:style>
  <w:style w:type="paragraph" w:customStyle="1" w:styleId="482">
    <w:name w:val="样式 标题 2标题 2 Char标题 2 Char Char Char节节标题 1.1H2（一）Underrubr..."/>
    <w:basedOn w:val="4"/>
    <w:qFormat/>
    <w:uiPriority w:val="0"/>
    <w:pPr>
      <w:widowControl/>
      <w:numPr>
        <w:ilvl w:val="0"/>
        <w:numId w:val="0"/>
      </w:numPr>
      <w:tabs>
        <w:tab w:val="left" w:pos="576"/>
      </w:tabs>
      <w:ind w:left="840"/>
      <w:jc w:val="left"/>
    </w:pPr>
    <w:rPr>
      <w:rFonts w:ascii="Times New Roman" w:hAnsi="Times New Roman" w:eastAsia="宋体" w:cs="宋体"/>
      <w:b w:val="0"/>
      <w:kern w:val="0"/>
      <w:sz w:val="30"/>
      <w:szCs w:val="24"/>
      <w:lang w:val="en-US"/>
    </w:rPr>
  </w:style>
  <w:style w:type="paragraph" w:customStyle="1" w:styleId="483">
    <w:name w:val="xl28"/>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color w:val="000000"/>
      <w:kern w:val="0"/>
      <w:sz w:val="24"/>
      <w:szCs w:val="21"/>
    </w:rPr>
  </w:style>
  <w:style w:type="paragraph" w:customStyle="1" w:styleId="484">
    <w:name w:val="Char3"/>
    <w:basedOn w:val="1"/>
    <w:link w:val="897"/>
    <w:qFormat/>
    <w:uiPriority w:val="0"/>
    <w:pPr>
      <w:widowControl/>
      <w:jc w:val="left"/>
    </w:pPr>
    <w:rPr>
      <w:rFonts w:ascii="宋体" w:hAnsi="宋体" w:cs="宋体"/>
      <w:kern w:val="0"/>
      <w:sz w:val="24"/>
    </w:rPr>
  </w:style>
  <w:style w:type="paragraph" w:customStyle="1" w:styleId="485">
    <w:name w:val="样式 标题 2标题 2 Char Char Char节节标题 1.1H2（一）Underrubrik1prop2...3"/>
    <w:basedOn w:val="1"/>
    <w:qFormat/>
    <w:uiPriority w:val="0"/>
    <w:pPr>
      <w:widowControl/>
      <w:jc w:val="left"/>
    </w:pPr>
    <w:rPr>
      <w:rFonts w:ascii="宋体" w:hAnsi="宋体" w:cs="宋体"/>
      <w:kern w:val="0"/>
      <w:sz w:val="28"/>
      <w:szCs w:val="20"/>
    </w:rPr>
  </w:style>
  <w:style w:type="paragraph" w:customStyle="1" w:styleId="486">
    <w:name w:val="样式 标题 4标题 4 Char + 宋体 黑色"/>
    <w:basedOn w:val="6"/>
    <w:qFormat/>
    <w:uiPriority w:val="0"/>
    <w:pPr>
      <w:widowControl/>
      <w:numPr>
        <w:ilvl w:val="0"/>
        <w:numId w:val="0"/>
      </w:numPr>
      <w:adjustRightInd w:val="0"/>
      <w:snapToGrid w:val="0"/>
      <w:spacing w:before="0" w:after="0" w:line="360" w:lineRule="auto"/>
      <w:ind w:left="709" w:hanging="709"/>
      <w:jc w:val="left"/>
      <w:textAlignment w:val="baseline"/>
    </w:pPr>
    <w:rPr>
      <w:rFonts w:ascii="宋体" w:hAnsi="宋体" w:eastAsia="宋体" w:cs="宋体"/>
      <w:b w:val="0"/>
      <w:color w:val="000000"/>
      <w:kern w:val="0"/>
      <w:sz w:val="24"/>
      <w:lang w:val="en-US"/>
    </w:rPr>
  </w:style>
  <w:style w:type="paragraph" w:customStyle="1" w:styleId="487">
    <w:name w:val="标题11"/>
    <w:basedOn w:val="1"/>
    <w:next w:val="1"/>
    <w:qFormat/>
    <w:uiPriority w:val="0"/>
    <w:pPr>
      <w:widowControl/>
      <w:tabs>
        <w:tab w:val="left" w:pos="425"/>
      </w:tabs>
      <w:ind w:left="425" w:hanging="425"/>
      <w:jc w:val="left"/>
    </w:pPr>
    <w:rPr>
      <w:rFonts w:ascii="宋体" w:hAnsi="宋体" w:cs="宋体"/>
      <w:kern w:val="0"/>
      <w:sz w:val="32"/>
      <w:szCs w:val="20"/>
    </w:rPr>
  </w:style>
  <w:style w:type="paragraph" w:customStyle="1" w:styleId="488">
    <w:name w:val="font7"/>
    <w:basedOn w:val="1"/>
    <w:qFormat/>
    <w:uiPriority w:val="0"/>
    <w:pPr>
      <w:widowControl/>
      <w:spacing w:before="100" w:beforeAutospacing="1" w:after="100" w:afterAutospacing="1"/>
      <w:jc w:val="left"/>
    </w:pPr>
    <w:rPr>
      <w:rFonts w:ascii="宋体" w:hAnsi="宋体" w:eastAsia="Arial Unicode MS" w:cs="宋体"/>
      <w:kern w:val="0"/>
      <w:sz w:val="24"/>
    </w:rPr>
  </w:style>
  <w:style w:type="paragraph" w:customStyle="1" w:styleId="48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90">
    <w:name w:val="fonts01-jianjv"/>
    <w:basedOn w:val="1"/>
    <w:qFormat/>
    <w:uiPriority w:val="0"/>
    <w:pPr>
      <w:widowControl/>
      <w:spacing w:before="100" w:beforeAutospacing="1" w:after="100" w:afterAutospacing="1" w:line="240" w:lineRule="atLeast"/>
      <w:jc w:val="left"/>
    </w:pPr>
    <w:rPr>
      <w:rFonts w:ascii="ˎ̥" w:hAnsi="ˎ̥" w:cs="宋体"/>
      <w:kern w:val="0"/>
      <w:sz w:val="18"/>
      <w:szCs w:val="18"/>
    </w:rPr>
  </w:style>
  <w:style w:type="paragraph" w:customStyle="1" w:styleId="491">
    <w:name w:val="封面正文"/>
    <w:qFormat/>
    <w:uiPriority w:val="0"/>
    <w:pPr>
      <w:jc w:val="both"/>
    </w:pPr>
    <w:rPr>
      <w:rFonts w:ascii="Times New Roman" w:hAnsi="Times New Roman" w:eastAsia="宋体" w:cs="Times New Roman"/>
      <w:lang w:val="en-US" w:eastAsia="zh-CN" w:bidi="ar-SA"/>
    </w:rPr>
  </w:style>
  <w:style w:type="paragraph" w:customStyle="1" w:styleId="492">
    <w:name w:val="样式 标题 4 + 宋体 非加粗 行距: 1.5 倍行距"/>
    <w:basedOn w:val="6"/>
    <w:qFormat/>
    <w:uiPriority w:val="0"/>
    <w:pPr>
      <w:widowControl/>
      <w:numPr>
        <w:ilvl w:val="0"/>
        <w:numId w:val="0"/>
      </w:numPr>
      <w:tabs>
        <w:tab w:val="left" w:pos="1120"/>
        <w:tab w:val="left" w:pos="2484"/>
      </w:tabs>
      <w:adjustRightInd w:val="0"/>
      <w:snapToGrid w:val="0"/>
      <w:spacing w:before="0" w:after="0" w:line="360" w:lineRule="auto"/>
      <w:ind w:left="2484" w:hanging="1674"/>
      <w:jc w:val="left"/>
      <w:textAlignment w:val="baseline"/>
    </w:pPr>
    <w:rPr>
      <w:rFonts w:ascii="宋体" w:hAnsi="宋体" w:eastAsia="宋体" w:cs="宋体"/>
      <w:b w:val="0"/>
      <w:kern w:val="0"/>
      <w:sz w:val="24"/>
      <w:lang w:val="en-US"/>
    </w:rPr>
  </w:style>
  <w:style w:type="character" w:customStyle="1" w:styleId="493">
    <w:name w:val="样式1 字符"/>
    <w:basedOn w:val="135"/>
    <w:link w:val="290"/>
    <w:qFormat/>
    <w:uiPriority w:val="0"/>
    <w:rPr>
      <w:rFonts w:ascii="宋体" w:hAnsi="宋体"/>
      <w:spacing w:val="-12"/>
      <w:sz w:val="24"/>
      <w:szCs w:val="28"/>
      <w:lang w:eastAsia="en-US" w:bidi="en-US"/>
    </w:rPr>
  </w:style>
  <w:style w:type="paragraph" w:customStyle="1" w:styleId="494">
    <w:name w:val="样式 标题 2 + Times New Roman"/>
    <w:basedOn w:val="4"/>
    <w:qFormat/>
    <w:uiPriority w:val="0"/>
    <w:pPr>
      <w:widowControl/>
      <w:numPr>
        <w:ilvl w:val="0"/>
        <w:numId w:val="0"/>
      </w:numPr>
      <w:spacing w:before="120" w:after="120" w:line="300" w:lineRule="auto"/>
      <w:ind w:left="840"/>
      <w:jc w:val="left"/>
    </w:pPr>
    <w:rPr>
      <w:rFonts w:ascii="Times New Roman" w:hAnsi="Times New Roman" w:eastAsia="仿宋_GB2312" w:cs="宋体"/>
      <w:b w:val="0"/>
      <w:kern w:val="0"/>
      <w:sz w:val="32"/>
      <w:lang w:val="en-US"/>
    </w:rPr>
  </w:style>
  <w:style w:type="paragraph" w:customStyle="1" w:styleId="495">
    <w:name w:val="二级无标题条"/>
    <w:basedOn w:val="1"/>
    <w:qFormat/>
    <w:uiPriority w:val="0"/>
    <w:pPr>
      <w:widowControl/>
      <w:jc w:val="left"/>
    </w:pPr>
    <w:rPr>
      <w:rFonts w:ascii="宋体" w:hAnsi="宋体" w:cs="宋体"/>
      <w:kern w:val="0"/>
      <w:sz w:val="24"/>
    </w:rPr>
  </w:style>
  <w:style w:type="paragraph" w:customStyle="1" w:styleId="496">
    <w:name w:val="xl25"/>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Arial Unicode MS" w:cs="宋体"/>
      <w:kern w:val="0"/>
      <w:sz w:val="24"/>
      <w:szCs w:val="21"/>
    </w:rPr>
  </w:style>
  <w:style w:type="paragraph" w:customStyle="1" w:styleId="497">
    <w:name w:val="样式 标题 3条标题1.1.13h33rd levelH3l3CT + 加粗"/>
    <w:basedOn w:val="5"/>
    <w:qFormat/>
    <w:uiPriority w:val="0"/>
    <w:pPr>
      <w:widowControl/>
      <w:numPr>
        <w:ilvl w:val="0"/>
        <w:numId w:val="0"/>
      </w:numPr>
      <w:tabs>
        <w:tab w:val="left" w:pos="720"/>
      </w:tabs>
      <w:spacing w:before="0" w:after="0" w:line="360" w:lineRule="auto"/>
      <w:ind w:left="567" w:hanging="567"/>
      <w:jc w:val="left"/>
    </w:pPr>
    <w:rPr>
      <w:rFonts w:cs="宋体"/>
      <w:kern w:val="0"/>
      <w:sz w:val="24"/>
      <w:lang w:val="en-US"/>
    </w:rPr>
  </w:style>
  <w:style w:type="paragraph" w:customStyle="1" w:styleId="498">
    <w:name w:val="样式 正文文字 + 楷体_GB2312 四号 首行缩进:  0.93 厘米"/>
    <w:basedOn w:val="36"/>
    <w:qFormat/>
    <w:uiPriority w:val="0"/>
    <w:pPr>
      <w:snapToGrid/>
      <w:spacing w:before="0" w:after="0" w:line="360" w:lineRule="auto"/>
      <w:ind w:right="0" w:firstLine="480" w:firstLineChars="200"/>
      <w:jc w:val="left"/>
    </w:pPr>
    <w:rPr>
      <w:rFonts w:ascii="宋体" w:hAnsi="宋体" w:cs="宋体"/>
      <w:sz w:val="24"/>
      <w:szCs w:val="24"/>
      <w:lang w:val="en-US"/>
    </w:rPr>
  </w:style>
  <w:style w:type="paragraph" w:customStyle="1" w:styleId="499">
    <w:name w:val="样式 标题 4 + 加粗"/>
    <w:basedOn w:val="6"/>
    <w:qFormat/>
    <w:uiPriority w:val="0"/>
    <w:pPr>
      <w:widowControl/>
      <w:numPr>
        <w:ilvl w:val="0"/>
        <w:numId w:val="0"/>
      </w:numPr>
      <w:tabs>
        <w:tab w:val="left" w:pos="864"/>
      </w:tabs>
      <w:spacing w:before="0" w:after="0" w:line="360" w:lineRule="auto"/>
      <w:ind w:left="864" w:hanging="864"/>
      <w:jc w:val="left"/>
    </w:pPr>
    <w:rPr>
      <w:rFonts w:ascii="Times New Roman" w:hAnsi="Times New Roman" w:eastAsia="宋体" w:cs="宋体"/>
      <w:b w:val="0"/>
      <w:bCs/>
      <w:kern w:val="0"/>
      <w:sz w:val="24"/>
      <w:szCs w:val="28"/>
      <w:lang w:val="en-US"/>
    </w:rPr>
  </w:style>
  <w:style w:type="paragraph" w:customStyle="1" w:styleId="500">
    <w:name w:val="样式 标题 1 + 左侧:  0 厘米 首行缩进:  0 厘米"/>
    <w:basedOn w:val="3"/>
    <w:qFormat/>
    <w:uiPriority w:val="0"/>
    <w:pPr>
      <w:widowControl/>
      <w:tabs>
        <w:tab w:val="left" w:pos="425"/>
      </w:tabs>
      <w:overflowPunct/>
      <w:snapToGrid/>
      <w:spacing w:before="0" w:after="0" w:line="360" w:lineRule="auto"/>
      <w:ind w:left="0" w:firstLine="0"/>
      <w:jc w:val="left"/>
    </w:pPr>
    <w:rPr>
      <w:rFonts w:ascii="宋体" w:hAnsi="宋体" w:eastAsia="宋体" w:cs="宋体"/>
      <w:b w:val="0"/>
      <w:bCs w:val="0"/>
      <w:color w:val="auto"/>
      <w:kern w:val="0"/>
      <w:sz w:val="32"/>
      <w:szCs w:val="24"/>
    </w:rPr>
  </w:style>
  <w:style w:type="paragraph" w:customStyle="1" w:styleId="501">
    <w:name w:val="样式 标题 4 + 宋体 加粗 左侧:  0 厘米 悬挂缩进: 8.64 字符"/>
    <w:basedOn w:val="6"/>
    <w:qFormat/>
    <w:uiPriority w:val="0"/>
    <w:pPr>
      <w:widowControl/>
      <w:numPr>
        <w:ilvl w:val="0"/>
        <w:numId w:val="0"/>
      </w:numPr>
      <w:tabs>
        <w:tab w:val="left" w:pos="2484"/>
      </w:tabs>
      <w:spacing w:before="0" w:after="0" w:line="360" w:lineRule="auto"/>
      <w:ind w:left="864" w:hanging="864"/>
      <w:jc w:val="left"/>
    </w:pPr>
    <w:rPr>
      <w:rFonts w:ascii="宋体" w:hAnsi="宋体" w:eastAsia="宋体" w:cs="宋体"/>
      <w:b w:val="0"/>
      <w:bCs/>
      <w:kern w:val="0"/>
      <w:sz w:val="24"/>
      <w:lang w:val="en-US"/>
    </w:rPr>
  </w:style>
  <w:style w:type="paragraph" w:customStyle="1" w:styleId="502">
    <w:name w:val="列出段落11"/>
    <w:basedOn w:val="1"/>
    <w:qFormat/>
    <w:uiPriority w:val="0"/>
    <w:pPr>
      <w:widowControl/>
      <w:ind w:firstLine="420" w:firstLineChars="200"/>
      <w:jc w:val="left"/>
    </w:pPr>
    <w:rPr>
      <w:rFonts w:ascii="Calibri" w:hAnsi="Calibri" w:cs="黑体"/>
      <w:kern w:val="0"/>
      <w:sz w:val="24"/>
      <w:szCs w:val="22"/>
    </w:rPr>
  </w:style>
  <w:style w:type="table" w:customStyle="1" w:styleId="503">
    <w:name w:val="表格样式1"/>
    <w:basedOn w:val="90"/>
    <w:qFormat/>
    <w:uiPriority w:val="0"/>
    <w:pPr>
      <w:jc w:val="center"/>
    </w:pPr>
    <w:rPr>
      <w:rFonts w:ascii="Calibri" w:hAnsi="Calibri" w:eastAsia="仿宋_GB2312" w:cs="Calibri"/>
    </w:rPr>
    <w:tblPr>
      <w:jc w:val="center"/>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CellMar>
        <w:left w:w="30" w:type="dxa"/>
        <w:right w:w="30" w:type="dxa"/>
      </w:tblCellMar>
    </w:tblPr>
    <w:trPr>
      <w:jc w:val="center"/>
    </w:trPr>
    <w:tcPr>
      <w:vAlign w:val="center"/>
    </w:tcPr>
    <w:tblStylePr w:type="firstRow">
      <w:rPr>
        <w:rFonts w:ascii="Times New Roman" w:hAnsi="Times New Roman" w:eastAsia="仿宋_GB2312"/>
        <w:b/>
        <w:i w:val="0"/>
        <w:sz w:val="21"/>
      </w:rPr>
      <w:tcPr>
        <w:tcBorders>
          <w:top w:val="single" w:color="auto" w:sz="12" w:space="0"/>
          <w:left w:val="single" w:color="auto" w:sz="4" w:space="0"/>
          <w:bottom w:val="single" w:color="auto" w:sz="12" w:space="0"/>
          <w:right w:val="single" w:color="auto" w:sz="4" w:space="0"/>
          <w:insideH w:val="nil"/>
          <w:insideV w:val="single" w:sz="4" w:space="0"/>
        </w:tcBorders>
      </w:tcPr>
    </w:tblStylePr>
  </w:style>
  <w:style w:type="character" w:customStyle="1" w:styleId="504">
    <w:name w:val="15"/>
    <w:basedOn w:val="135"/>
    <w:qFormat/>
    <w:uiPriority w:val="0"/>
    <w:rPr>
      <w:rFonts w:hint="default" w:ascii="Calibri" w:hAnsi="Calibri"/>
      <w:sz w:val="21"/>
      <w:szCs w:val="21"/>
    </w:rPr>
  </w:style>
  <w:style w:type="paragraph" w:customStyle="1" w:styleId="505">
    <w:name w:val="列表段落1"/>
    <w:basedOn w:val="1"/>
    <w:qFormat/>
    <w:uiPriority w:val="34"/>
    <w:pPr>
      <w:widowControl/>
      <w:ind w:firstLine="420" w:firstLineChars="200"/>
      <w:jc w:val="left"/>
    </w:pPr>
    <w:rPr>
      <w:rFonts w:ascii="宋体" w:hAnsi="宋体" w:cs="宋体"/>
      <w:kern w:val="0"/>
      <w:sz w:val="24"/>
    </w:rPr>
  </w:style>
  <w:style w:type="paragraph" w:customStyle="1" w:styleId="506">
    <w:name w:val="標題3 (11pt+arial)"/>
    <w:basedOn w:val="1"/>
    <w:qFormat/>
    <w:uiPriority w:val="0"/>
    <w:pPr>
      <w:keepNext/>
      <w:numPr>
        <w:ilvl w:val="2"/>
        <w:numId w:val="4"/>
      </w:numPr>
      <w:outlineLvl w:val="1"/>
    </w:pPr>
    <w:rPr>
      <w:rFonts w:ascii="Arial" w:hAnsi="Arial" w:eastAsia="Arial"/>
      <w:bCs/>
      <w:kern w:val="52"/>
      <w:sz w:val="22"/>
      <w:szCs w:val="48"/>
      <w:lang w:eastAsia="zh-TW"/>
    </w:rPr>
  </w:style>
  <w:style w:type="paragraph" w:customStyle="1" w:styleId="507">
    <w:name w:val="內文1 (11pt+arial)"/>
    <w:basedOn w:val="1"/>
    <w:qFormat/>
    <w:uiPriority w:val="0"/>
    <w:pPr>
      <w:numPr>
        <w:ilvl w:val="3"/>
        <w:numId w:val="4"/>
      </w:numPr>
      <w:jc w:val="left"/>
    </w:pPr>
    <w:rPr>
      <w:rFonts w:ascii="Arial" w:hAnsi="Arial" w:eastAsia="Arial"/>
      <w:sz w:val="22"/>
      <w:szCs w:val="22"/>
      <w:lang w:eastAsia="zh-TW"/>
    </w:rPr>
  </w:style>
  <w:style w:type="paragraph" w:customStyle="1" w:styleId="508">
    <w:name w:val="小标题2"/>
    <w:basedOn w:val="1"/>
    <w:qFormat/>
    <w:uiPriority w:val="0"/>
    <w:pPr>
      <w:tabs>
        <w:tab w:val="left" w:pos="5400"/>
      </w:tabs>
      <w:overflowPunct w:val="0"/>
      <w:adjustRightInd w:val="0"/>
      <w:snapToGrid w:val="0"/>
      <w:ind w:firstLine="482" w:firstLineChars="200"/>
      <w:jc w:val="center"/>
    </w:pPr>
    <w:rPr>
      <w:rFonts w:eastAsia="仿宋_GB2312"/>
      <w:b/>
      <w:sz w:val="24"/>
    </w:rPr>
  </w:style>
  <w:style w:type="character" w:customStyle="1" w:styleId="509">
    <w:name w:val="正  文 Char"/>
    <w:link w:val="510"/>
    <w:qFormat/>
    <w:uiPriority w:val="0"/>
    <w:rPr>
      <w:rFonts w:ascii="宋体" w:hAnsi="宋体"/>
      <w:color w:val="000000"/>
      <w:sz w:val="24"/>
    </w:rPr>
  </w:style>
  <w:style w:type="paragraph" w:customStyle="1" w:styleId="510">
    <w:name w:val="正  文"/>
    <w:basedOn w:val="1"/>
    <w:link w:val="509"/>
    <w:qFormat/>
    <w:uiPriority w:val="0"/>
    <w:pPr>
      <w:spacing w:line="360" w:lineRule="auto"/>
      <w:ind w:firstLine="200" w:firstLineChars="200"/>
    </w:pPr>
    <w:rPr>
      <w:rFonts w:ascii="宋体" w:hAnsi="宋体"/>
      <w:color w:val="000000"/>
      <w:kern w:val="0"/>
      <w:sz w:val="24"/>
      <w:szCs w:val="20"/>
    </w:rPr>
  </w:style>
  <w:style w:type="character" w:customStyle="1" w:styleId="511">
    <w:name w:val="正文(首行缩进) Char"/>
    <w:link w:val="512"/>
    <w:qFormat/>
    <w:uiPriority w:val="0"/>
    <w:rPr>
      <w:snapToGrid w:val="0"/>
      <w:sz w:val="24"/>
      <w:szCs w:val="24"/>
    </w:rPr>
  </w:style>
  <w:style w:type="paragraph" w:customStyle="1" w:styleId="512">
    <w:name w:val="正文(首行缩进)"/>
    <w:basedOn w:val="1"/>
    <w:link w:val="511"/>
    <w:qFormat/>
    <w:uiPriority w:val="0"/>
    <w:pPr>
      <w:adjustRightInd w:val="0"/>
      <w:snapToGrid w:val="0"/>
      <w:spacing w:line="360" w:lineRule="auto"/>
      <w:ind w:firstLine="200" w:firstLineChars="200"/>
    </w:pPr>
    <w:rPr>
      <w:snapToGrid w:val="0"/>
      <w:kern w:val="0"/>
      <w:sz w:val="24"/>
    </w:rPr>
  </w:style>
  <w:style w:type="character" w:customStyle="1" w:styleId="513">
    <w:name w:val="表格内容 Char"/>
    <w:link w:val="323"/>
    <w:qFormat/>
    <w:uiPriority w:val="0"/>
    <w:rPr>
      <w:rFonts w:ascii="Arial" w:hAnsi="Arial" w:eastAsia="仿宋_GB2312"/>
      <w:sz w:val="24"/>
      <w:szCs w:val="24"/>
      <w:lang w:eastAsia="en-US" w:bidi="en-US"/>
    </w:rPr>
  </w:style>
  <w:style w:type="paragraph" w:customStyle="1" w:styleId="514">
    <w:name w:val="Char Char Char Char1"/>
    <w:basedOn w:val="1"/>
    <w:qFormat/>
    <w:uiPriority w:val="0"/>
  </w:style>
  <w:style w:type="paragraph" w:customStyle="1" w:styleId="515">
    <w:name w:val="Char Char Char Char2"/>
    <w:basedOn w:val="1"/>
    <w:qFormat/>
    <w:uiPriority w:val="0"/>
  </w:style>
  <w:style w:type="character" w:customStyle="1" w:styleId="516">
    <w:name w:val="1 表头 Char"/>
    <w:link w:val="517"/>
    <w:qFormat/>
    <w:uiPriority w:val="0"/>
    <w:rPr>
      <w:b/>
      <w:color w:val="000000"/>
      <w:kern w:val="2"/>
      <w:sz w:val="21"/>
      <w:szCs w:val="21"/>
    </w:rPr>
  </w:style>
  <w:style w:type="paragraph" w:customStyle="1" w:styleId="517">
    <w:name w:val="1 表头"/>
    <w:basedOn w:val="1"/>
    <w:link w:val="516"/>
    <w:qFormat/>
    <w:uiPriority w:val="0"/>
    <w:pPr>
      <w:adjustRightInd w:val="0"/>
      <w:snapToGrid w:val="0"/>
      <w:jc w:val="center"/>
    </w:pPr>
    <w:rPr>
      <w:b/>
      <w:color w:val="000000"/>
      <w:szCs w:val="21"/>
    </w:rPr>
  </w:style>
  <w:style w:type="character" w:customStyle="1" w:styleId="518">
    <w:name w:val="1表格文字 Char"/>
    <w:link w:val="519"/>
    <w:qFormat/>
    <w:uiPriority w:val="0"/>
    <w:rPr>
      <w:kern w:val="2"/>
      <w:sz w:val="21"/>
      <w:szCs w:val="21"/>
    </w:rPr>
  </w:style>
  <w:style w:type="paragraph" w:customStyle="1" w:styleId="519">
    <w:name w:val="1表格文字"/>
    <w:basedOn w:val="1"/>
    <w:link w:val="518"/>
    <w:qFormat/>
    <w:uiPriority w:val="0"/>
    <w:pPr>
      <w:adjustRightInd w:val="0"/>
      <w:snapToGrid w:val="0"/>
      <w:jc w:val="center"/>
    </w:pPr>
    <w:rPr>
      <w:szCs w:val="21"/>
    </w:rPr>
  </w:style>
  <w:style w:type="character" w:customStyle="1" w:styleId="520">
    <w:name w:val="1表头文字 Char"/>
    <w:link w:val="521"/>
    <w:qFormat/>
    <w:uiPriority w:val="0"/>
    <w:rPr>
      <w:b/>
      <w:bCs/>
      <w:sz w:val="21"/>
      <w:szCs w:val="21"/>
    </w:rPr>
  </w:style>
  <w:style w:type="paragraph" w:customStyle="1" w:styleId="521">
    <w:name w:val="1表头文字"/>
    <w:basedOn w:val="1"/>
    <w:link w:val="520"/>
    <w:qFormat/>
    <w:uiPriority w:val="0"/>
    <w:pPr>
      <w:adjustRightInd w:val="0"/>
      <w:snapToGrid w:val="0"/>
      <w:jc w:val="center"/>
    </w:pPr>
    <w:rPr>
      <w:b/>
      <w:bCs/>
      <w:kern w:val="0"/>
      <w:szCs w:val="21"/>
    </w:rPr>
  </w:style>
  <w:style w:type="paragraph" w:customStyle="1" w:styleId="522">
    <w:name w:val="报告正文"/>
    <w:basedOn w:val="1"/>
    <w:link w:val="1214"/>
    <w:qFormat/>
    <w:uiPriority w:val="0"/>
    <w:pPr>
      <w:widowControl/>
      <w:snapToGrid w:val="0"/>
      <w:spacing w:line="360" w:lineRule="auto"/>
      <w:ind w:firstLine="425"/>
      <w:jc w:val="left"/>
    </w:pPr>
    <w:rPr>
      <w:rFonts w:eastAsia="仿宋_GB2312" w:cs="宋体"/>
      <w:kern w:val="0"/>
      <w:sz w:val="24"/>
      <w:szCs w:val="20"/>
    </w:rPr>
  </w:style>
  <w:style w:type="paragraph" w:customStyle="1" w:styleId="523">
    <w:name w:val="样式 样式 正文缩进正文（首行缩进两字） Char Char Char Char Char Char Char表格标题标题4文...."/>
    <w:basedOn w:val="1"/>
    <w:qFormat/>
    <w:uiPriority w:val="0"/>
    <w:pPr>
      <w:overflowPunct w:val="0"/>
      <w:adjustRightInd w:val="0"/>
      <w:snapToGrid w:val="0"/>
      <w:spacing w:line="500" w:lineRule="exact"/>
      <w:ind w:firstLine="200" w:firstLineChars="200"/>
      <w:textAlignment w:val="baseline"/>
    </w:pPr>
    <w:rPr>
      <w:rFonts w:eastAsia="仿宋_GB2312" w:cs="宋体"/>
      <w:kern w:val="0"/>
      <w:sz w:val="28"/>
      <w:szCs w:val="20"/>
    </w:rPr>
  </w:style>
  <w:style w:type="character" w:customStyle="1" w:styleId="524">
    <w:name w:val="正文缩进 Char"/>
    <w:qFormat/>
    <w:uiPriority w:val="0"/>
    <w:rPr>
      <w:rFonts w:ascii="Times New Roman" w:hAnsi="Times New Roman" w:eastAsia="宋体" w:cs="Times New Roman"/>
      <w:szCs w:val="20"/>
    </w:rPr>
  </w:style>
  <w:style w:type="paragraph" w:customStyle="1" w:styleId="525">
    <w:name w:val="*正文"/>
    <w:qFormat/>
    <w:uiPriority w:val="0"/>
    <w:pPr>
      <w:spacing w:line="360" w:lineRule="auto"/>
      <w:ind w:firstLine="200" w:firstLineChars="200"/>
      <w:jc w:val="both"/>
      <w:textAlignment w:val="baseline"/>
    </w:pPr>
    <w:rPr>
      <w:rFonts w:ascii="Times New Roman" w:hAnsi="Times New Roman" w:eastAsia="宋体" w:cs="Times New Roman"/>
      <w:color w:val="000000"/>
      <w:sz w:val="24"/>
      <w:lang w:val="en-US" w:eastAsia="zh-CN" w:bidi="ar-SA"/>
    </w:rPr>
  </w:style>
  <w:style w:type="character" w:customStyle="1" w:styleId="526">
    <w:name w:val="HTML 地址 字符1"/>
    <w:link w:val="43"/>
    <w:qFormat/>
    <w:uiPriority w:val="0"/>
    <w:rPr>
      <w:rFonts w:ascii="Arial" w:hAnsi="Arial" w:eastAsia="仿宋_GB2312" w:cstheme="minorBidi"/>
      <w:i/>
      <w:iCs/>
      <w:kern w:val="2"/>
      <w:sz w:val="24"/>
      <w:szCs w:val="22"/>
    </w:rPr>
  </w:style>
  <w:style w:type="character" w:customStyle="1" w:styleId="527">
    <w:name w:val="标题 字符1"/>
    <w:qFormat/>
    <w:uiPriority w:val="0"/>
    <w:rPr>
      <w:rFonts w:ascii="Arial" w:hAnsi="Arial" w:cs="Arial" w:eastAsiaTheme="minorEastAsia"/>
      <w:b/>
      <w:bCs/>
      <w:kern w:val="2"/>
      <w:sz w:val="32"/>
      <w:szCs w:val="32"/>
    </w:rPr>
  </w:style>
  <w:style w:type="character" w:customStyle="1" w:styleId="528">
    <w:name w:val="样式 居中 Char"/>
    <w:link w:val="529"/>
    <w:qFormat/>
    <w:uiPriority w:val="0"/>
    <w:rPr>
      <w:rFonts w:cs="宋体"/>
      <w:kern w:val="10"/>
      <w:sz w:val="24"/>
      <w:szCs w:val="24"/>
    </w:rPr>
  </w:style>
  <w:style w:type="paragraph" w:customStyle="1" w:styleId="529">
    <w:name w:val="样式 居中"/>
    <w:basedOn w:val="1"/>
    <w:link w:val="528"/>
    <w:qFormat/>
    <w:uiPriority w:val="0"/>
    <w:pPr>
      <w:ind w:left="179" w:leftChars="38" w:hanging="88"/>
      <w:jc w:val="center"/>
    </w:pPr>
    <w:rPr>
      <w:rFonts w:cs="宋体"/>
      <w:kern w:val="10"/>
      <w:sz w:val="24"/>
    </w:rPr>
  </w:style>
  <w:style w:type="character" w:customStyle="1" w:styleId="530">
    <w:name w:val="表头1 Char"/>
    <w:link w:val="332"/>
    <w:qFormat/>
    <w:uiPriority w:val="0"/>
    <w:rPr>
      <w:b/>
      <w:color w:val="000000"/>
      <w:sz w:val="21"/>
      <w:lang w:val="zh-CN" w:eastAsia="en-US" w:bidi="en-US"/>
    </w:rPr>
  </w:style>
  <w:style w:type="character" w:customStyle="1" w:styleId="531">
    <w:name w:val="宋体正文小四蓝色 Char"/>
    <w:link w:val="532"/>
    <w:qFormat/>
    <w:uiPriority w:val="0"/>
    <w:rPr>
      <w:rFonts w:hAnsi="宋体" w:eastAsia="Times New Roman"/>
      <w:color w:val="0000FF"/>
      <w:sz w:val="24"/>
      <w:szCs w:val="24"/>
    </w:rPr>
  </w:style>
  <w:style w:type="paragraph" w:customStyle="1" w:styleId="532">
    <w:name w:val="宋体正文小四蓝色"/>
    <w:link w:val="531"/>
    <w:qFormat/>
    <w:uiPriority w:val="0"/>
    <w:pPr>
      <w:spacing w:line="500" w:lineRule="exact"/>
      <w:ind w:firstLine="480" w:firstLineChars="200"/>
    </w:pPr>
    <w:rPr>
      <w:rFonts w:ascii="Times New Roman" w:hAnsi="宋体" w:eastAsia="Times New Roman" w:cs="Times New Roman"/>
      <w:color w:val="0000FF"/>
      <w:sz w:val="24"/>
      <w:szCs w:val="24"/>
      <w:lang w:val="en-US" w:eastAsia="zh-CN" w:bidi="ar-SA"/>
    </w:rPr>
  </w:style>
  <w:style w:type="character" w:customStyle="1" w:styleId="533">
    <w:name w:val="表蕊 Char1"/>
    <w:link w:val="375"/>
    <w:qFormat/>
    <w:uiPriority w:val="0"/>
    <w:rPr>
      <w:rFonts w:eastAsia="楷体_GB2312"/>
      <w:spacing w:val="-10"/>
      <w:kern w:val="2"/>
      <w:sz w:val="21"/>
    </w:rPr>
  </w:style>
  <w:style w:type="character" w:customStyle="1" w:styleId="534">
    <w:name w:val="表蕊居中 Char"/>
    <w:link w:val="535"/>
    <w:qFormat/>
    <w:locked/>
    <w:uiPriority w:val="0"/>
    <w:rPr>
      <w:rFonts w:ascii="宋体" w:hAnsi="宋体" w:eastAsia="Times New Roman"/>
      <w:spacing w:val="8"/>
      <w:szCs w:val="28"/>
    </w:rPr>
  </w:style>
  <w:style w:type="paragraph" w:customStyle="1" w:styleId="535">
    <w:name w:val="表蕊居中"/>
    <w:link w:val="534"/>
    <w:qFormat/>
    <w:uiPriority w:val="0"/>
    <w:pPr>
      <w:spacing w:line="320" w:lineRule="exact"/>
      <w:jc w:val="center"/>
    </w:pPr>
    <w:rPr>
      <w:rFonts w:ascii="宋体" w:hAnsi="宋体" w:eastAsia="Times New Roman" w:cs="Times New Roman"/>
      <w:spacing w:val="8"/>
      <w:szCs w:val="28"/>
      <w:lang w:val="en-US" w:eastAsia="zh-CN" w:bidi="ar-SA"/>
    </w:rPr>
  </w:style>
  <w:style w:type="character" w:customStyle="1" w:styleId="536">
    <w:name w:val="XYF1 Char"/>
    <w:link w:val="537"/>
    <w:qFormat/>
    <w:uiPriority w:val="0"/>
    <w:rPr>
      <w:sz w:val="24"/>
      <w:szCs w:val="24"/>
    </w:rPr>
  </w:style>
  <w:style w:type="paragraph" w:customStyle="1" w:styleId="537">
    <w:name w:val="XYF1"/>
    <w:basedOn w:val="1"/>
    <w:link w:val="536"/>
    <w:qFormat/>
    <w:uiPriority w:val="0"/>
    <w:pPr>
      <w:tabs>
        <w:tab w:val="left" w:pos="1080"/>
      </w:tabs>
      <w:spacing w:line="440" w:lineRule="exact"/>
      <w:ind w:firstLine="195" w:firstLineChars="195"/>
    </w:pPr>
    <w:rPr>
      <w:kern w:val="0"/>
      <w:sz w:val="24"/>
    </w:rPr>
  </w:style>
  <w:style w:type="character" w:customStyle="1" w:styleId="538">
    <w:name w:val="样式 表内容 + 居中 行距: 固定值 14 磅 Char"/>
    <w:link w:val="539"/>
    <w:qFormat/>
    <w:uiPriority w:val="0"/>
    <w:rPr>
      <w:rFonts w:eastAsia="楷体_GB2312"/>
    </w:rPr>
  </w:style>
  <w:style w:type="paragraph" w:customStyle="1" w:styleId="539">
    <w:name w:val="样式 表内容 + 居中 行距: 固定值 14 磅"/>
    <w:basedOn w:val="1"/>
    <w:link w:val="538"/>
    <w:qFormat/>
    <w:uiPriority w:val="0"/>
    <w:pPr>
      <w:adjustRightInd w:val="0"/>
      <w:snapToGrid w:val="0"/>
      <w:spacing w:line="280" w:lineRule="exact"/>
      <w:jc w:val="center"/>
      <w:textAlignment w:val="bottom"/>
    </w:pPr>
    <w:rPr>
      <w:rFonts w:eastAsia="楷体_GB2312"/>
      <w:kern w:val="0"/>
      <w:sz w:val="20"/>
      <w:szCs w:val="20"/>
    </w:rPr>
  </w:style>
  <w:style w:type="character" w:customStyle="1" w:styleId="540">
    <w:name w:val="表格内文字 Char"/>
    <w:qFormat/>
    <w:uiPriority w:val="0"/>
    <w:rPr>
      <w:rFonts w:eastAsia="仿宋_GB2312"/>
      <w:sz w:val="24"/>
      <w:szCs w:val="24"/>
    </w:rPr>
  </w:style>
  <w:style w:type="character" w:customStyle="1" w:styleId="541">
    <w:name w:val="正文B Char"/>
    <w:link w:val="542"/>
    <w:qFormat/>
    <w:uiPriority w:val="0"/>
    <w:rPr>
      <w:rFonts w:eastAsia="楷体_GB2312"/>
      <w:spacing w:val="8"/>
      <w:sz w:val="28"/>
    </w:rPr>
  </w:style>
  <w:style w:type="paragraph" w:customStyle="1" w:styleId="542">
    <w:name w:val="正文B"/>
    <w:basedOn w:val="1"/>
    <w:link w:val="541"/>
    <w:qFormat/>
    <w:uiPriority w:val="0"/>
    <w:pPr>
      <w:adjustRightInd w:val="0"/>
      <w:spacing w:line="390" w:lineRule="exact"/>
      <w:ind w:firstLine="601"/>
      <w:textAlignment w:val="baseline"/>
    </w:pPr>
    <w:rPr>
      <w:rFonts w:eastAsia="楷体_GB2312"/>
      <w:spacing w:val="8"/>
      <w:kern w:val="0"/>
      <w:sz w:val="28"/>
      <w:szCs w:val="20"/>
    </w:rPr>
  </w:style>
  <w:style w:type="paragraph" w:customStyle="1" w:styleId="543">
    <w:name w:val="XYF表格"/>
    <w:basedOn w:val="537"/>
    <w:qFormat/>
    <w:uiPriority w:val="0"/>
    <w:pPr>
      <w:ind w:firstLine="0" w:firstLineChars="0"/>
    </w:pPr>
  </w:style>
  <w:style w:type="paragraph" w:customStyle="1" w:styleId="544">
    <w:name w:val="样式 XYF1 + 宋体"/>
    <w:basedOn w:val="537"/>
    <w:qFormat/>
    <w:uiPriority w:val="0"/>
    <w:pPr>
      <w:spacing w:line="480" w:lineRule="exact"/>
      <w:ind w:firstLine="200" w:firstLineChars="200"/>
    </w:pPr>
    <w:rPr>
      <w:rFonts w:ascii="宋体" w:hAnsi="宋体" w:cs="宋体"/>
      <w:sz w:val="28"/>
      <w:szCs w:val="20"/>
    </w:rPr>
  </w:style>
  <w:style w:type="paragraph" w:customStyle="1" w:styleId="545">
    <w:name w:val="CJ表格标题"/>
    <w:basedOn w:val="1"/>
    <w:link w:val="546"/>
    <w:qFormat/>
    <w:uiPriority w:val="0"/>
    <w:pPr>
      <w:jc w:val="center"/>
    </w:pPr>
    <w:rPr>
      <w:b/>
      <w:sz w:val="24"/>
      <w:szCs w:val="20"/>
      <w:lang w:val="zh-CN"/>
    </w:rPr>
  </w:style>
  <w:style w:type="character" w:customStyle="1" w:styleId="546">
    <w:name w:val="CJ表格标题 Char"/>
    <w:link w:val="545"/>
    <w:qFormat/>
    <w:uiPriority w:val="0"/>
    <w:rPr>
      <w:b/>
      <w:kern w:val="2"/>
      <w:sz w:val="24"/>
      <w:lang w:val="zh-CN"/>
    </w:rPr>
  </w:style>
  <w:style w:type="paragraph" w:customStyle="1" w:styleId="547">
    <w:name w:val="7表格(治)"/>
    <w:qFormat/>
    <w:uiPriority w:val="0"/>
    <w:pPr>
      <w:jc w:val="center"/>
    </w:pPr>
    <w:rPr>
      <w:rFonts w:ascii="Times New Roman" w:hAnsi="Times New Roman" w:eastAsia="宋体" w:cs="Times New Roman"/>
      <w:sz w:val="21"/>
      <w:szCs w:val="21"/>
      <w:lang w:val="en-US" w:eastAsia="zh-CN" w:bidi="ar-SA"/>
    </w:rPr>
  </w:style>
  <w:style w:type="character" w:customStyle="1" w:styleId="548">
    <w:name w:val="正文缩进 字符1"/>
    <w:qFormat/>
    <w:uiPriority w:val="0"/>
    <w:rPr>
      <w:rFonts w:ascii="仿宋_GB2312" w:eastAsia="仿宋_GB2312"/>
      <w:sz w:val="28"/>
    </w:rPr>
  </w:style>
  <w:style w:type="character" w:customStyle="1" w:styleId="549">
    <w:name w:val="正文缩进 Char1"/>
    <w:qFormat/>
    <w:uiPriority w:val="0"/>
    <w:rPr>
      <w:rFonts w:ascii="楷体" w:eastAsia="楷体"/>
      <w:kern w:val="2"/>
      <w:sz w:val="28"/>
      <w:szCs w:val="24"/>
      <w:lang w:val="en-US" w:eastAsia="zh-CN" w:bidi="ar-SA"/>
    </w:rPr>
  </w:style>
  <w:style w:type="character" w:customStyle="1" w:styleId="550">
    <w:name w:val="Char Char71"/>
    <w:qFormat/>
    <w:uiPriority w:val="0"/>
    <w:rPr>
      <w:rFonts w:eastAsia="宋体"/>
      <w:kern w:val="2"/>
      <w:sz w:val="21"/>
      <w:szCs w:val="24"/>
      <w:lang w:val="en-US" w:eastAsia="zh-CN" w:bidi="ar-SA"/>
    </w:rPr>
  </w:style>
  <w:style w:type="paragraph" w:styleId="551">
    <w:name w:val="List Paragraph"/>
    <w:basedOn w:val="1"/>
    <w:link w:val="614"/>
    <w:qFormat/>
    <w:uiPriority w:val="34"/>
    <w:pPr>
      <w:ind w:firstLine="420" w:firstLineChars="200"/>
    </w:pPr>
  </w:style>
  <w:style w:type="paragraph" w:customStyle="1" w:styleId="552">
    <w:name w:val="表格 居中"/>
    <w:basedOn w:val="1"/>
    <w:link w:val="997"/>
    <w:qFormat/>
    <w:uiPriority w:val="0"/>
    <w:pPr>
      <w:widowControl/>
      <w:jc w:val="center"/>
    </w:pPr>
    <w:rPr>
      <w:rFonts w:ascii="宋体" w:hAnsi="宋体" w:eastAsia="仿宋_GB2312" w:cs="宋体"/>
      <w:kern w:val="0"/>
      <w:sz w:val="24"/>
      <w:szCs w:val="21"/>
    </w:rPr>
  </w:style>
  <w:style w:type="paragraph" w:customStyle="1" w:styleId="553">
    <w:name w:val="报告表格"/>
    <w:basedOn w:val="1"/>
    <w:link w:val="1434"/>
    <w:qFormat/>
    <w:uiPriority w:val="0"/>
    <w:pPr>
      <w:widowControl/>
      <w:autoSpaceDE w:val="0"/>
      <w:autoSpaceDN w:val="0"/>
      <w:adjustRightInd w:val="0"/>
      <w:spacing w:before="40" w:after="40"/>
      <w:jc w:val="center"/>
      <w:textAlignment w:val="bottom"/>
    </w:pPr>
    <w:rPr>
      <w:rFonts w:ascii="宋体" w:hAnsi="宋体" w:cs="宋体"/>
      <w:kern w:val="0"/>
      <w:sz w:val="24"/>
    </w:rPr>
  </w:style>
  <w:style w:type="paragraph" w:customStyle="1" w:styleId="554">
    <w:name w:val="正文首行缩进11"/>
    <w:basedOn w:val="36"/>
    <w:qFormat/>
    <w:locked/>
    <w:uiPriority w:val="0"/>
    <w:pPr>
      <w:adjustRightInd w:val="0"/>
      <w:spacing w:before="0" w:after="120" w:line="360" w:lineRule="auto"/>
      <w:ind w:right="0" w:firstLine="420" w:firstLineChars="100"/>
    </w:pPr>
    <w:rPr>
      <w:kern w:val="2"/>
      <w:sz w:val="28"/>
      <w:szCs w:val="24"/>
      <w:lang w:eastAsia="en-US" w:bidi="en-US"/>
    </w:rPr>
  </w:style>
  <w:style w:type="character" w:customStyle="1" w:styleId="555">
    <w:name w:val="书籍标题11"/>
    <w:qFormat/>
    <w:uiPriority w:val="33"/>
    <w:rPr>
      <w:rFonts w:ascii="Cambria" w:hAnsi="Cambria" w:eastAsia="宋体"/>
      <w:b/>
      <w:i/>
      <w:sz w:val="24"/>
      <w:szCs w:val="24"/>
    </w:rPr>
  </w:style>
  <w:style w:type="character" w:customStyle="1" w:styleId="556">
    <w:name w:val="已访问的超链接1"/>
    <w:qFormat/>
    <w:locked/>
    <w:uiPriority w:val="0"/>
    <w:rPr>
      <w:color w:val="800080"/>
      <w:u w:val="single"/>
    </w:rPr>
  </w:style>
  <w:style w:type="character" w:customStyle="1" w:styleId="557">
    <w:name w:val="不明显强调11"/>
    <w:qFormat/>
    <w:uiPriority w:val="19"/>
    <w:rPr>
      <w:i/>
      <w:color w:val="5A5A5A"/>
    </w:rPr>
  </w:style>
  <w:style w:type="character" w:customStyle="1" w:styleId="558">
    <w:name w:val="明显强调11"/>
    <w:qFormat/>
    <w:uiPriority w:val="21"/>
    <w:rPr>
      <w:b/>
      <w:i/>
      <w:sz w:val="24"/>
      <w:szCs w:val="24"/>
      <w:u w:val="single"/>
    </w:rPr>
  </w:style>
  <w:style w:type="character" w:customStyle="1" w:styleId="559">
    <w:name w:val="不明显参考11"/>
    <w:qFormat/>
    <w:uiPriority w:val="31"/>
    <w:rPr>
      <w:sz w:val="24"/>
      <w:szCs w:val="24"/>
      <w:u w:val="single"/>
    </w:rPr>
  </w:style>
  <w:style w:type="character" w:customStyle="1" w:styleId="560">
    <w:name w:val="明显参考11"/>
    <w:qFormat/>
    <w:uiPriority w:val="32"/>
    <w:rPr>
      <w:b/>
      <w:sz w:val="24"/>
      <w:u w:val="single"/>
    </w:rPr>
  </w:style>
  <w:style w:type="paragraph" w:customStyle="1" w:styleId="561">
    <w:name w:val="目录 911"/>
    <w:basedOn w:val="1"/>
    <w:next w:val="1"/>
    <w:qFormat/>
    <w:locked/>
    <w:uiPriority w:val="39"/>
    <w:pPr>
      <w:widowControl/>
      <w:adjustRightInd w:val="0"/>
      <w:snapToGrid w:val="0"/>
      <w:spacing w:line="360" w:lineRule="auto"/>
      <w:ind w:left="2240" w:firstLine="200" w:firstLineChars="200"/>
      <w:jc w:val="left"/>
    </w:pPr>
    <w:rPr>
      <w:rFonts w:ascii="Calibri" w:hAnsi="Calibri"/>
      <w:kern w:val="0"/>
      <w:sz w:val="18"/>
      <w:szCs w:val="18"/>
      <w:lang w:eastAsia="en-US" w:bidi="en-US"/>
    </w:rPr>
  </w:style>
  <w:style w:type="paragraph" w:customStyle="1" w:styleId="562">
    <w:name w:val="目录 811"/>
    <w:basedOn w:val="1"/>
    <w:next w:val="1"/>
    <w:qFormat/>
    <w:locked/>
    <w:uiPriority w:val="39"/>
    <w:pPr>
      <w:widowControl/>
      <w:adjustRightInd w:val="0"/>
      <w:snapToGrid w:val="0"/>
      <w:spacing w:line="360" w:lineRule="auto"/>
      <w:ind w:left="1960" w:firstLine="200" w:firstLineChars="200"/>
      <w:jc w:val="left"/>
    </w:pPr>
    <w:rPr>
      <w:rFonts w:ascii="Calibri" w:hAnsi="Calibri"/>
      <w:kern w:val="0"/>
      <w:sz w:val="18"/>
      <w:szCs w:val="18"/>
      <w:lang w:eastAsia="en-US" w:bidi="en-US"/>
    </w:rPr>
  </w:style>
  <w:style w:type="paragraph" w:customStyle="1" w:styleId="563">
    <w:name w:val="目录 611"/>
    <w:basedOn w:val="1"/>
    <w:next w:val="1"/>
    <w:qFormat/>
    <w:locked/>
    <w:uiPriority w:val="39"/>
    <w:pPr>
      <w:widowControl/>
      <w:adjustRightInd w:val="0"/>
      <w:snapToGrid w:val="0"/>
      <w:spacing w:line="360" w:lineRule="auto"/>
      <w:ind w:left="1400" w:firstLine="200" w:firstLineChars="200"/>
      <w:jc w:val="left"/>
    </w:pPr>
    <w:rPr>
      <w:rFonts w:ascii="Calibri" w:hAnsi="Calibri"/>
      <w:kern w:val="0"/>
      <w:sz w:val="18"/>
      <w:szCs w:val="18"/>
      <w:lang w:eastAsia="en-US" w:bidi="en-US"/>
    </w:rPr>
  </w:style>
  <w:style w:type="paragraph" w:customStyle="1" w:styleId="564">
    <w:name w:val="目录 411"/>
    <w:basedOn w:val="1"/>
    <w:next w:val="1"/>
    <w:qFormat/>
    <w:locked/>
    <w:uiPriority w:val="39"/>
    <w:pPr>
      <w:widowControl/>
      <w:adjustRightInd w:val="0"/>
      <w:snapToGrid w:val="0"/>
      <w:spacing w:line="360" w:lineRule="auto"/>
      <w:ind w:left="567" w:firstLine="200" w:firstLineChars="200"/>
    </w:pPr>
    <w:rPr>
      <w:kern w:val="0"/>
      <w:sz w:val="24"/>
      <w:szCs w:val="18"/>
      <w:lang w:eastAsia="en-US" w:bidi="en-US"/>
    </w:rPr>
  </w:style>
  <w:style w:type="paragraph" w:customStyle="1" w:styleId="565">
    <w:name w:val="目录 711"/>
    <w:basedOn w:val="1"/>
    <w:next w:val="1"/>
    <w:qFormat/>
    <w:locked/>
    <w:uiPriority w:val="39"/>
    <w:pPr>
      <w:widowControl/>
      <w:adjustRightInd w:val="0"/>
      <w:snapToGrid w:val="0"/>
      <w:spacing w:line="360" w:lineRule="auto"/>
      <w:ind w:left="1680" w:firstLine="200" w:firstLineChars="200"/>
      <w:jc w:val="left"/>
    </w:pPr>
    <w:rPr>
      <w:rFonts w:ascii="Calibri" w:hAnsi="Calibri"/>
      <w:kern w:val="0"/>
      <w:sz w:val="18"/>
      <w:szCs w:val="18"/>
      <w:lang w:eastAsia="en-US" w:bidi="en-US"/>
    </w:rPr>
  </w:style>
  <w:style w:type="paragraph" w:customStyle="1" w:styleId="566">
    <w:name w:val="目录 111"/>
    <w:basedOn w:val="1"/>
    <w:next w:val="1"/>
    <w:qFormat/>
    <w:locked/>
    <w:uiPriority w:val="0"/>
    <w:pPr>
      <w:widowControl/>
      <w:tabs>
        <w:tab w:val="right" w:leader="dot" w:pos="9061"/>
      </w:tabs>
      <w:adjustRightInd w:val="0"/>
      <w:snapToGrid w:val="0"/>
      <w:spacing w:before="100" w:beforeAutospacing="1" w:after="100" w:afterAutospacing="1" w:line="360" w:lineRule="auto"/>
      <w:ind w:firstLine="200" w:firstLineChars="200"/>
    </w:pPr>
    <w:rPr>
      <w:rFonts w:cs="宋体-18030"/>
      <w:b/>
      <w:bCs/>
      <w:caps/>
      <w:kern w:val="0"/>
      <w:sz w:val="24"/>
      <w:szCs w:val="22"/>
      <w:lang w:eastAsia="en-US" w:bidi="en-US"/>
    </w:rPr>
  </w:style>
  <w:style w:type="paragraph" w:customStyle="1" w:styleId="567">
    <w:name w:val="目录 211"/>
    <w:basedOn w:val="1"/>
    <w:next w:val="1"/>
    <w:qFormat/>
    <w:locked/>
    <w:uiPriority w:val="39"/>
    <w:pPr>
      <w:widowControl/>
      <w:tabs>
        <w:tab w:val="right" w:leader="dot" w:pos="9061"/>
      </w:tabs>
      <w:adjustRightInd w:val="0"/>
      <w:snapToGrid w:val="0"/>
      <w:spacing w:line="360" w:lineRule="auto"/>
      <w:ind w:left="200" w:leftChars="200" w:firstLine="200" w:firstLineChars="200"/>
    </w:pPr>
    <w:rPr>
      <w:smallCaps/>
      <w:kern w:val="0"/>
      <w:sz w:val="24"/>
      <w:lang w:eastAsia="en-US" w:bidi="en-US"/>
    </w:rPr>
  </w:style>
  <w:style w:type="paragraph" w:customStyle="1" w:styleId="568">
    <w:name w:val="目录 311"/>
    <w:basedOn w:val="1"/>
    <w:next w:val="1"/>
    <w:qFormat/>
    <w:locked/>
    <w:uiPriority w:val="39"/>
    <w:pPr>
      <w:widowControl/>
      <w:tabs>
        <w:tab w:val="right" w:leader="hyphen" w:pos="9061"/>
      </w:tabs>
      <w:adjustRightInd w:val="0"/>
      <w:snapToGrid w:val="0"/>
      <w:spacing w:line="360" w:lineRule="auto"/>
      <w:ind w:left="567" w:firstLine="200" w:firstLineChars="200"/>
    </w:pPr>
    <w:rPr>
      <w:iCs/>
      <w:kern w:val="0"/>
      <w:sz w:val="24"/>
      <w:lang w:eastAsia="en-US" w:bidi="en-US"/>
    </w:rPr>
  </w:style>
  <w:style w:type="paragraph" w:customStyle="1" w:styleId="569">
    <w:name w:val="目录 511"/>
    <w:basedOn w:val="1"/>
    <w:next w:val="1"/>
    <w:qFormat/>
    <w:locked/>
    <w:uiPriority w:val="39"/>
    <w:pPr>
      <w:widowControl/>
      <w:adjustRightInd w:val="0"/>
      <w:snapToGrid w:val="0"/>
      <w:spacing w:line="360" w:lineRule="auto"/>
      <w:ind w:left="1120" w:firstLine="200" w:firstLineChars="200"/>
      <w:jc w:val="left"/>
    </w:pPr>
    <w:rPr>
      <w:rFonts w:ascii="Calibri" w:hAnsi="Calibri"/>
      <w:kern w:val="0"/>
      <w:sz w:val="18"/>
      <w:szCs w:val="18"/>
      <w:lang w:eastAsia="en-US" w:bidi="en-US"/>
    </w:rPr>
  </w:style>
  <w:style w:type="paragraph" w:customStyle="1" w:styleId="570">
    <w:name w:val="TOC 标题11"/>
    <w:basedOn w:val="3"/>
    <w:next w:val="1"/>
    <w:qFormat/>
    <w:uiPriority w:val="39"/>
    <w:pPr>
      <w:widowControl/>
      <w:overflowPunct/>
      <w:adjustRightInd w:val="0"/>
      <w:spacing w:before="0" w:after="0" w:line="360" w:lineRule="auto"/>
      <w:ind w:left="0" w:firstLine="200" w:firstLineChars="200"/>
      <w:jc w:val="left"/>
      <w:outlineLvl w:val="9"/>
    </w:pPr>
    <w:rPr>
      <w:rFonts w:eastAsia="宋体"/>
      <w:color w:val="auto"/>
      <w:spacing w:val="-12"/>
      <w:kern w:val="32"/>
      <w:sz w:val="32"/>
      <w:szCs w:val="32"/>
      <w:lang w:eastAsia="en-US" w:bidi="en-US"/>
    </w:rPr>
  </w:style>
  <w:style w:type="paragraph" w:customStyle="1" w:styleId="571">
    <w:name w:val="修订1"/>
    <w:hidden/>
    <w:unhideWhenUsed/>
    <w:qFormat/>
    <w:uiPriority w:val="99"/>
    <w:rPr>
      <w:rFonts w:ascii="Times New Roman" w:hAnsi="Times New Roman" w:eastAsia="宋体" w:cs="Times New Roman"/>
      <w:kern w:val="2"/>
      <w:sz w:val="21"/>
      <w:szCs w:val="24"/>
      <w:lang w:val="en-US" w:eastAsia="zh-CN" w:bidi="ar-SA"/>
    </w:rPr>
  </w:style>
  <w:style w:type="character" w:styleId="572">
    <w:name w:val="Placeholder Text"/>
    <w:basedOn w:val="135"/>
    <w:unhideWhenUsed/>
    <w:qFormat/>
    <w:uiPriority w:val="99"/>
    <w:rPr>
      <w:color w:val="808080"/>
    </w:rPr>
  </w:style>
  <w:style w:type="table" w:customStyle="1" w:styleId="573">
    <w:name w:val="Table Normal1"/>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574">
    <w:name w:val="表图 Char"/>
    <w:link w:val="575"/>
    <w:qFormat/>
    <w:uiPriority w:val="0"/>
    <w:rPr>
      <w:color w:val="000000"/>
      <w:kern w:val="2"/>
      <w:sz w:val="21"/>
      <w:szCs w:val="22"/>
    </w:rPr>
  </w:style>
  <w:style w:type="paragraph" w:customStyle="1" w:styleId="575">
    <w:name w:val="表图"/>
    <w:basedOn w:val="1"/>
    <w:next w:val="1"/>
    <w:link w:val="574"/>
    <w:qFormat/>
    <w:uiPriority w:val="0"/>
    <w:pPr>
      <w:adjustRightInd w:val="0"/>
      <w:snapToGrid w:val="0"/>
      <w:spacing w:after="200"/>
      <w:jc w:val="center"/>
    </w:pPr>
    <w:rPr>
      <w:color w:val="000000"/>
      <w:szCs w:val="22"/>
    </w:rPr>
  </w:style>
  <w:style w:type="character" w:customStyle="1" w:styleId="576">
    <w:name w:val="cf01"/>
    <w:basedOn w:val="135"/>
    <w:qFormat/>
    <w:uiPriority w:val="0"/>
    <w:rPr>
      <w:rFonts w:hint="eastAsia" w:ascii="Microsoft YaHei UI" w:hAnsi="Microsoft YaHei UI" w:eastAsia="Microsoft YaHei UI"/>
      <w:sz w:val="18"/>
      <w:szCs w:val="18"/>
    </w:rPr>
  </w:style>
  <w:style w:type="paragraph" w:customStyle="1" w:styleId="577">
    <w:name w:val="修订2"/>
    <w:hidden/>
    <w:semiHidden/>
    <w:qFormat/>
    <w:uiPriority w:val="99"/>
    <w:rPr>
      <w:rFonts w:ascii="Times New Roman" w:hAnsi="Times New Roman" w:eastAsia="宋体" w:cs="Times New Roman"/>
      <w:kern w:val="2"/>
      <w:sz w:val="21"/>
      <w:szCs w:val="24"/>
      <w:lang w:val="en-US" w:eastAsia="zh-CN" w:bidi="ar-SA"/>
    </w:rPr>
  </w:style>
  <w:style w:type="character" w:customStyle="1" w:styleId="578">
    <w:name w:val="未处理的提及1"/>
    <w:basedOn w:val="135"/>
    <w:unhideWhenUsed/>
    <w:qFormat/>
    <w:uiPriority w:val="99"/>
    <w:rPr>
      <w:color w:val="605E5C"/>
      <w:shd w:val="clear" w:color="auto" w:fill="E1DFDD"/>
    </w:rPr>
  </w:style>
  <w:style w:type="character" w:customStyle="1" w:styleId="579">
    <w:name w:val="表格或图 Char"/>
    <w:link w:val="580"/>
    <w:qFormat/>
    <w:uiPriority w:val="0"/>
    <w:rPr>
      <w:rFonts w:eastAsia="仿宋_GB2312"/>
      <w:bCs/>
      <w:kern w:val="2"/>
      <w:sz w:val="21"/>
      <w:szCs w:val="32"/>
    </w:rPr>
  </w:style>
  <w:style w:type="paragraph" w:customStyle="1" w:styleId="580">
    <w:name w:val="表格或图"/>
    <w:basedOn w:val="1"/>
    <w:link w:val="579"/>
    <w:qFormat/>
    <w:uiPriority w:val="0"/>
    <w:pPr>
      <w:adjustRightInd w:val="0"/>
      <w:snapToGrid w:val="0"/>
      <w:jc w:val="center"/>
    </w:pPr>
    <w:rPr>
      <w:rFonts w:eastAsia="仿宋_GB2312"/>
      <w:bCs/>
      <w:szCs w:val="32"/>
    </w:rPr>
  </w:style>
  <w:style w:type="paragraph" w:customStyle="1" w:styleId="581">
    <w:name w:val="表或图标题"/>
    <w:basedOn w:val="1"/>
    <w:qFormat/>
    <w:uiPriority w:val="0"/>
    <w:pPr>
      <w:jc w:val="center"/>
    </w:pPr>
    <w:rPr>
      <w:b/>
      <w:sz w:val="24"/>
    </w:rPr>
  </w:style>
  <w:style w:type="character" w:customStyle="1" w:styleId="582">
    <w:name w:val="font71"/>
    <w:qFormat/>
    <w:uiPriority w:val="0"/>
    <w:rPr>
      <w:rFonts w:hint="eastAsia" w:ascii="宋体" w:hAnsi="宋体" w:eastAsia="宋体" w:cs="宋体"/>
      <w:color w:val="000000"/>
      <w:sz w:val="21"/>
      <w:szCs w:val="21"/>
      <w:u w:val="none"/>
    </w:rPr>
  </w:style>
  <w:style w:type="character" w:customStyle="1" w:styleId="583">
    <w:name w:val="font11"/>
    <w:basedOn w:val="135"/>
    <w:qFormat/>
    <w:uiPriority w:val="0"/>
    <w:rPr>
      <w:rFonts w:hint="eastAsia" w:ascii="等线" w:hAnsi="等线" w:eastAsia="等线" w:cs="等线"/>
      <w:color w:val="000000"/>
      <w:sz w:val="22"/>
      <w:szCs w:val="22"/>
      <w:u w:val="none"/>
    </w:rPr>
  </w:style>
  <w:style w:type="character" w:customStyle="1" w:styleId="584">
    <w:name w:val="font21"/>
    <w:basedOn w:val="135"/>
    <w:qFormat/>
    <w:uiPriority w:val="0"/>
    <w:rPr>
      <w:rFonts w:hint="eastAsia" w:ascii="等线" w:hAnsi="等线" w:eastAsia="等线" w:cs="等线"/>
      <w:color w:val="000000"/>
      <w:sz w:val="21"/>
      <w:szCs w:val="21"/>
      <w:u w:val="none"/>
    </w:rPr>
  </w:style>
  <w:style w:type="character" w:customStyle="1" w:styleId="585">
    <w:name w:val="font31"/>
    <w:basedOn w:val="135"/>
    <w:qFormat/>
    <w:uiPriority w:val="0"/>
    <w:rPr>
      <w:rFonts w:hint="eastAsia" w:ascii="等线" w:hAnsi="等线" w:eastAsia="等线" w:cs="等线"/>
      <w:color w:val="000000"/>
      <w:sz w:val="21"/>
      <w:szCs w:val="21"/>
      <w:u w:val="none"/>
    </w:rPr>
  </w:style>
  <w:style w:type="paragraph" w:customStyle="1" w:styleId="586">
    <w:name w:val="表格内"/>
    <w:basedOn w:val="1"/>
    <w:link w:val="587"/>
    <w:qFormat/>
    <w:uiPriority w:val="0"/>
    <w:pPr>
      <w:adjustRightInd w:val="0"/>
      <w:spacing w:before="10" w:beforeLines="10" w:after="10" w:afterLines="10"/>
      <w:jc w:val="center"/>
    </w:pPr>
    <w:rPr>
      <w:color w:val="000000"/>
      <w:kern w:val="0"/>
      <w:szCs w:val="21"/>
    </w:rPr>
  </w:style>
  <w:style w:type="character" w:customStyle="1" w:styleId="587">
    <w:name w:val="表格内 字符"/>
    <w:link w:val="586"/>
    <w:qFormat/>
    <w:uiPriority w:val="0"/>
    <w:rPr>
      <w:color w:val="000000"/>
      <w:sz w:val="21"/>
      <w:szCs w:val="21"/>
    </w:rPr>
  </w:style>
  <w:style w:type="character" w:customStyle="1" w:styleId="588">
    <w:name w:val="图、表 字符"/>
    <w:link w:val="248"/>
    <w:qFormat/>
    <w:uiPriority w:val="0"/>
    <w:rPr>
      <w:b/>
      <w:kern w:val="2"/>
      <w:sz w:val="24"/>
    </w:rPr>
  </w:style>
  <w:style w:type="paragraph" w:customStyle="1" w:styleId="589">
    <w:name w:val="表/图"/>
    <w:basedOn w:val="1"/>
    <w:link w:val="590"/>
    <w:qFormat/>
    <w:uiPriority w:val="0"/>
    <w:pPr>
      <w:widowControl/>
      <w:adjustRightInd w:val="0"/>
      <w:snapToGrid w:val="0"/>
      <w:jc w:val="center"/>
    </w:pPr>
    <w:rPr>
      <w:rFonts w:eastAsia="仿宋" w:cstheme="minorBidi"/>
      <w:kern w:val="0"/>
      <w:sz w:val="24"/>
      <w:szCs w:val="21"/>
    </w:rPr>
  </w:style>
  <w:style w:type="character" w:customStyle="1" w:styleId="590">
    <w:name w:val="表/图 字符"/>
    <w:link w:val="589"/>
    <w:qFormat/>
    <w:uiPriority w:val="0"/>
    <w:rPr>
      <w:rFonts w:eastAsia="仿宋" w:cstheme="minorBidi"/>
      <w:sz w:val="24"/>
      <w:szCs w:val="21"/>
    </w:rPr>
  </w:style>
  <w:style w:type="character" w:customStyle="1" w:styleId="591">
    <w:name w:val="标题 1 字符1"/>
    <w:qFormat/>
    <w:uiPriority w:val="0"/>
    <w:rPr>
      <w:rFonts w:ascii="Times New Roman" w:hAnsi="Times New Roman" w:eastAsia="仿宋"/>
      <w:b/>
      <w:bCs/>
      <w:sz w:val="32"/>
      <w:szCs w:val="32"/>
      <w:lang w:val="zh-CN" w:eastAsia="zh-CN"/>
    </w:rPr>
  </w:style>
  <w:style w:type="character" w:customStyle="1" w:styleId="592">
    <w:name w:val="标题 2 字符1"/>
    <w:qFormat/>
    <w:uiPriority w:val="0"/>
    <w:rPr>
      <w:rFonts w:ascii="Times New Roman" w:hAnsi="Times New Roman" w:eastAsia="仿宋"/>
      <w:b/>
      <w:bCs/>
      <w:sz w:val="30"/>
      <w:szCs w:val="30"/>
      <w:lang w:val="zh-CN" w:eastAsia="zh-CN"/>
    </w:rPr>
  </w:style>
  <w:style w:type="character" w:customStyle="1" w:styleId="593">
    <w:name w:val="标题 3 字符1"/>
    <w:qFormat/>
    <w:uiPriority w:val="0"/>
    <w:rPr>
      <w:rFonts w:ascii="Times New Roman" w:hAnsi="Times New Roman" w:eastAsia="仿宋_GB2312" w:cs="Times New Roman"/>
      <w:b/>
      <w:bCs/>
      <w:color w:val="000000"/>
      <w:sz w:val="30"/>
      <w:szCs w:val="30"/>
      <w:lang w:val="zh-CN" w:eastAsia="zh-CN"/>
    </w:rPr>
  </w:style>
  <w:style w:type="character" w:customStyle="1" w:styleId="594">
    <w:name w:val="标题 4 字符1"/>
    <w:qFormat/>
    <w:uiPriority w:val="0"/>
    <w:rPr>
      <w:rFonts w:ascii="Times New Roman" w:hAnsi="Times New Roman" w:eastAsia="仿宋_GB2312" w:cs="Times New Roman"/>
      <w:b/>
      <w:bCs/>
      <w:color w:val="000000"/>
      <w:sz w:val="28"/>
      <w:szCs w:val="28"/>
      <w:lang w:val="zh-CN"/>
    </w:rPr>
  </w:style>
  <w:style w:type="character" w:customStyle="1" w:styleId="595">
    <w:name w:val="页眉 字符1"/>
    <w:basedOn w:val="135"/>
    <w:qFormat/>
    <w:uiPriority w:val="0"/>
    <w:rPr>
      <w:rFonts w:ascii="Times New Roman" w:hAnsi="Times New Roman" w:eastAsia="仿宋"/>
      <w:sz w:val="18"/>
      <w:szCs w:val="18"/>
    </w:rPr>
  </w:style>
  <w:style w:type="character" w:customStyle="1" w:styleId="596">
    <w:name w:val="批注框文本 字符1"/>
    <w:basedOn w:val="135"/>
    <w:qFormat/>
    <w:uiPriority w:val="0"/>
    <w:rPr>
      <w:rFonts w:ascii="Times New Roman" w:hAnsi="Times New Roman" w:eastAsia="仿宋"/>
      <w:sz w:val="18"/>
      <w:szCs w:val="18"/>
    </w:rPr>
  </w:style>
  <w:style w:type="character" w:customStyle="1" w:styleId="597">
    <w:name w:val="批注主题 字符1"/>
    <w:basedOn w:val="176"/>
    <w:qFormat/>
    <w:uiPriority w:val="0"/>
    <w:rPr>
      <w:rFonts w:ascii="Times New Roman" w:hAnsi="Times New Roman" w:eastAsia="仿宋"/>
      <w:b/>
      <w:bCs/>
      <w:sz w:val="28"/>
      <w:szCs w:val="28"/>
    </w:rPr>
  </w:style>
  <w:style w:type="table" w:customStyle="1" w:styleId="598">
    <w:name w:val="王心悦"/>
    <w:basedOn w:val="90"/>
    <w:qFormat/>
    <w:uiPriority w:val="99"/>
    <w:pPr>
      <w:jc w:val="center"/>
    </w:pPr>
    <w:rPr>
      <w:rFonts w:eastAsia="仿宋" w:cstheme="minorBidi"/>
      <w:kern w:val="2"/>
      <w:sz w:val="24"/>
      <w:szCs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tblStylePr w:type="firstRow">
      <w:rPr>
        <w:b/>
      </w:rPr>
      <w:tcPr>
        <w:tcBorders>
          <w:top w:val="single" w:color="auto" w:sz="4" w:space="0"/>
          <w:bottom w:val="single" w:color="auto" w:sz="4" w:space="0"/>
        </w:tcBorders>
      </w:tcPr>
    </w:tblStylePr>
    <w:tblStylePr w:type="lastRow">
      <w:pPr>
        <w:jc w:val="center"/>
      </w:pPr>
      <w:tcPr>
        <w:tcBorders>
          <w:bottom w:val="single" w:color="auto" w:sz="4" w:space="0"/>
        </w:tcBorders>
        <w:vAlign w:val="center"/>
      </w:tcPr>
    </w:tblStylePr>
    <w:tblStylePr w:type="firstCol">
      <w:tcPr>
        <w:tcBorders>
          <w:left w:val="nil"/>
        </w:tcBorders>
      </w:tcPr>
    </w:tblStylePr>
    <w:tblStylePr w:type="lastCol">
      <w:pPr>
        <w:jc w:val="center"/>
      </w:pPr>
      <w:tcPr>
        <w:tcBorders>
          <w:right w:val="nil"/>
        </w:tcBorders>
      </w:tcPr>
    </w:tblStylePr>
  </w:style>
  <w:style w:type="table" w:customStyle="1" w:styleId="599">
    <w:name w:val="网格表 1 浅色1"/>
    <w:basedOn w:val="90"/>
    <w:qFormat/>
    <w:uiPriority w:val="46"/>
    <w:rPr>
      <w:rFonts w:asciiTheme="minorHAnsi" w:hAnsiTheme="minorHAnsi" w:eastAsiaTheme="minorEastAsia" w:cstheme="minorBidi"/>
      <w:kern w:val="2"/>
      <w:sz w:val="21"/>
      <w:szCs w:val="21"/>
    </w:rPr>
    <w:tblPr>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cPr>
        <w:tcBorders>
          <w:bottom w:val="single" w:color="666666" w:themeColor="text1" w:themeTint="99" w:sz="12" w:space="0"/>
        </w:tcBorders>
      </w:tcPr>
    </w:tblStylePr>
    <w:tblStylePr w:type="lastRow">
      <w:rPr>
        <w:b/>
        <w:bCs/>
      </w:rPr>
      <w:tcPr>
        <w:tcBorders>
          <w:top w:val="double" w:color="666666" w:themeColor="text1" w:themeTint="99" w:sz="2" w:space="0"/>
        </w:tcBorders>
      </w:tcPr>
    </w:tblStylePr>
    <w:tblStylePr w:type="firstCol">
      <w:rPr>
        <w:b/>
        <w:bCs/>
      </w:rPr>
    </w:tblStylePr>
    <w:tblStylePr w:type="lastCol">
      <w:rPr>
        <w:b/>
        <w:bCs/>
      </w:rPr>
    </w:tblStylePr>
  </w:style>
  <w:style w:type="paragraph" w:customStyle="1" w:styleId="600">
    <w:name w:val="图-题注"/>
    <w:basedOn w:val="24"/>
    <w:link w:val="601"/>
    <w:qFormat/>
    <w:uiPriority w:val="0"/>
    <w:pPr>
      <w:adjustRightInd w:val="0"/>
      <w:snapToGrid w:val="0"/>
      <w:spacing w:before="156" w:beforeLines="50" w:after="240"/>
      <w:jc w:val="center"/>
    </w:pPr>
    <w:rPr>
      <w:rFonts w:ascii="Times New Roman" w:hAnsi="Times New Roman" w:eastAsia="仿宋"/>
      <w:b/>
      <w:sz w:val="24"/>
      <w:szCs w:val="24"/>
      <w:lang w:val="en-US"/>
    </w:rPr>
  </w:style>
  <w:style w:type="character" w:customStyle="1" w:styleId="601">
    <w:name w:val="图-题注 字符"/>
    <w:basedOn w:val="135"/>
    <w:link w:val="600"/>
    <w:qFormat/>
    <w:uiPriority w:val="0"/>
    <w:rPr>
      <w:rFonts w:eastAsia="仿宋"/>
      <w:b/>
      <w:kern w:val="2"/>
      <w:sz w:val="24"/>
      <w:szCs w:val="24"/>
    </w:rPr>
  </w:style>
  <w:style w:type="table" w:customStyle="1" w:styleId="602">
    <w:name w:val="表格-源恒-书"/>
    <w:basedOn w:val="90"/>
    <w:qFormat/>
    <w:uiPriority w:val="99"/>
    <w:pPr>
      <w:jc w:val="center"/>
    </w:pPr>
    <w:rPr>
      <w:rFonts w:eastAsia="仿宋_GB2312"/>
      <w:sz w:val="21"/>
    </w:rPr>
    <w:tblPr>
      <w:tblBorders>
        <w:insideH w:val="single" w:color="auto" w:sz="4" w:space="0"/>
        <w:insideV w:val="single" w:color="auto" w:sz="4" w:space="0"/>
      </w:tblBorders>
    </w:tblPr>
    <w:tcPr>
      <w:vAlign w:val="center"/>
    </w:tcPr>
    <w:tblStylePr w:type="firstRow">
      <w:pPr>
        <w:jc w:val="center"/>
      </w:pPr>
      <w:rPr>
        <w:rFonts w:hint="default" w:ascii="Times New Roman" w:hAnsi="Times New Roman" w:eastAsia="Segoe UI Emoji" w:cs="Times New Roman"/>
        <w:b/>
        <w:sz w:val="21"/>
        <w:szCs w:val="21"/>
      </w:rPr>
      <w:tcPr>
        <w:tcBorders>
          <w:top w:val="single" w:color="auto" w:sz="12" w:space="0"/>
          <w:bottom w:val="single" w:color="auto" w:sz="12" w:space="0"/>
        </w:tcBorders>
      </w:tcPr>
    </w:tblStylePr>
    <w:tblStylePr w:type="lastRow">
      <w:pPr>
        <w:jc w:val="center"/>
      </w:pPr>
      <w:rPr>
        <w:rFonts w:hint="default" w:ascii="Times New Roman" w:hAnsi="Times New Roman" w:eastAsia="仿宋" w:cs="Times New Roman"/>
        <w:sz w:val="24"/>
        <w:szCs w:val="24"/>
      </w:rPr>
      <w:tcPr>
        <w:tcBorders>
          <w:bottom w:val="single" w:color="auto" w:sz="12" w:space="0"/>
        </w:tcBorders>
      </w:tcPr>
    </w:tblStylePr>
  </w:style>
  <w:style w:type="paragraph" w:customStyle="1" w:styleId="603">
    <w:name w:val="修订3"/>
    <w:hidden/>
    <w:semiHidden/>
    <w:qFormat/>
    <w:uiPriority w:val="99"/>
    <w:rPr>
      <w:rFonts w:ascii="Times New Roman" w:hAnsi="Times New Roman" w:eastAsia="仿宋" w:cstheme="minorBidi"/>
      <w:kern w:val="2"/>
      <w:sz w:val="28"/>
      <w:szCs w:val="28"/>
      <w:lang w:val="en-US" w:eastAsia="zh-CN" w:bidi="ar-SA"/>
    </w:rPr>
  </w:style>
  <w:style w:type="paragraph" w:customStyle="1" w:styleId="604">
    <w:name w:val="表内"/>
    <w:basedOn w:val="1"/>
    <w:qFormat/>
    <w:uiPriority w:val="0"/>
    <w:pPr>
      <w:adjustRightInd w:val="0"/>
      <w:snapToGrid w:val="0"/>
      <w:spacing w:line="360" w:lineRule="auto"/>
      <w:ind w:firstLine="482"/>
    </w:pPr>
    <w:rPr>
      <w:sz w:val="24"/>
      <w:szCs w:val="21"/>
    </w:rPr>
  </w:style>
  <w:style w:type="paragraph" w:customStyle="1" w:styleId="605">
    <w:name w:val="表内表"/>
    <w:basedOn w:val="1"/>
    <w:qFormat/>
    <w:uiPriority w:val="0"/>
    <w:pPr>
      <w:adjustRightInd w:val="0"/>
      <w:snapToGrid w:val="0"/>
      <w:jc w:val="center"/>
    </w:pPr>
    <w:rPr>
      <w:szCs w:val="21"/>
    </w:rPr>
  </w:style>
  <w:style w:type="character" w:customStyle="1" w:styleId="606">
    <w:name w:val="正文文本首行缩进 字符1"/>
    <w:basedOn w:val="168"/>
    <w:qFormat/>
    <w:uiPriority w:val="99"/>
    <w:rPr>
      <w:rFonts w:ascii="宋体" w:hAnsi="宋体" w:eastAsia="宋体" w:cs="宋体"/>
      <w:kern w:val="0"/>
      <w:sz w:val="28"/>
      <w:szCs w:val="20"/>
    </w:rPr>
  </w:style>
  <w:style w:type="character" w:customStyle="1" w:styleId="607">
    <w:name w:val="标题 5 Char"/>
    <w:basedOn w:val="135"/>
    <w:semiHidden/>
    <w:qFormat/>
    <w:uiPriority w:val="9"/>
    <w:rPr>
      <w:rFonts w:ascii="Times New Roman" w:hAnsi="Times New Roman" w:eastAsia="仿宋"/>
      <w:b/>
      <w:bCs/>
      <w:sz w:val="28"/>
      <w:szCs w:val="28"/>
    </w:rPr>
  </w:style>
  <w:style w:type="character" w:customStyle="1" w:styleId="608">
    <w:name w:val="标题 6 Char"/>
    <w:basedOn w:val="135"/>
    <w:qFormat/>
    <w:uiPriority w:val="9"/>
    <w:rPr>
      <w:rFonts w:asciiTheme="majorHAnsi" w:hAnsiTheme="majorHAnsi" w:eastAsiaTheme="majorEastAsia" w:cstheme="majorBidi"/>
      <w:b/>
      <w:bCs/>
      <w:sz w:val="24"/>
      <w:szCs w:val="24"/>
    </w:rPr>
  </w:style>
  <w:style w:type="character" w:customStyle="1" w:styleId="609">
    <w:name w:val="标题 7 Char"/>
    <w:basedOn w:val="135"/>
    <w:semiHidden/>
    <w:qFormat/>
    <w:uiPriority w:val="9"/>
    <w:rPr>
      <w:rFonts w:ascii="Times New Roman" w:hAnsi="Times New Roman" w:eastAsia="仿宋"/>
      <w:b/>
      <w:bCs/>
      <w:sz w:val="24"/>
      <w:szCs w:val="24"/>
    </w:rPr>
  </w:style>
  <w:style w:type="character" w:customStyle="1" w:styleId="610">
    <w:name w:val="标题 9 Char"/>
    <w:basedOn w:val="135"/>
    <w:qFormat/>
    <w:uiPriority w:val="9"/>
    <w:rPr>
      <w:rFonts w:asciiTheme="majorHAnsi" w:hAnsiTheme="majorHAnsi" w:eastAsiaTheme="majorEastAsia" w:cstheme="majorBidi"/>
    </w:rPr>
  </w:style>
  <w:style w:type="character" w:customStyle="1" w:styleId="611">
    <w:name w:val="正文文本缩进 3 字符1"/>
    <w:qFormat/>
    <w:uiPriority w:val="0"/>
    <w:rPr>
      <w:rFonts w:ascii="宋体" w:hAnsi="宋体" w:eastAsia="宋体" w:cs="Times New Roman"/>
      <w:sz w:val="24"/>
      <w:szCs w:val="24"/>
    </w:rPr>
  </w:style>
  <w:style w:type="character" w:customStyle="1" w:styleId="612">
    <w:name w:val="正文文本缩进 3 Char1"/>
    <w:basedOn w:val="135"/>
    <w:qFormat/>
    <w:uiPriority w:val="99"/>
    <w:rPr>
      <w:rFonts w:ascii="Times New Roman" w:hAnsi="Times New Roman" w:eastAsia="仿宋"/>
      <w:sz w:val="16"/>
      <w:szCs w:val="16"/>
    </w:rPr>
  </w:style>
  <w:style w:type="character" w:customStyle="1" w:styleId="613">
    <w:name w:val="表格 Char1"/>
    <w:qFormat/>
    <w:uiPriority w:val="0"/>
    <w:rPr>
      <w:rFonts w:ascii="Times New Roman" w:hAnsi="Times New Roman"/>
      <w:bCs/>
    </w:rPr>
  </w:style>
  <w:style w:type="character" w:customStyle="1" w:styleId="614">
    <w:name w:val="列表段落 字符"/>
    <w:link w:val="551"/>
    <w:qFormat/>
    <w:uiPriority w:val="0"/>
    <w:rPr>
      <w:kern w:val="2"/>
      <w:sz w:val="21"/>
      <w:szCs w:val="24"/>
    </w:rPr>
  </w:style>
  <w:style w:type="paragraph" w:customStyle="1" w:styleId="615">
    <w:name w:val="表格头"/>
    <w:basedOn w:val="1"/>
    <w:qFormat/>
    <w:uiPriority w:val="0"/>
    <w:pPr>
      <w:snapToGrid w:val="0"/>
      <w:spacing w:beforeLines="50"/>
      <w:jc w:val="center"/>
    </w:pPr>
    <w:rPr>
      <w:b/>
      <w:sz w:val="24"/>
    </w:rPr>
  </w:style>
  <w:style w:type="table" w:customStyle="1" w:styleId="616">
    <w:name w:val="网格型!4"/>
    <w:basedOn w:val="90"/>
    <w:qFormat/>
    <w:uiPriority w:val="59"/>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17">
    <w:name w:val="网格型!2"/>
    <w:basedOn w:val="90"/>
    <w:qFormat/>
    <w:uiPriority w:val="59"/>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18">
    <w:name w:val="网格型4"/>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19">
    <w:name w:val="纯文本 字符1"/>
    <w:basedOn w:val="135"/>
    <w:qFormat/>
    <w:uiPriority w:val="99"/>
    <w:rPr>
      <w:rFonts w:ascii="宋体" w:hAnsi="Courier New" w:eastAsia="宋体" w:cs="Courier New"/>
    </w:rPr>
  </w:style>
  <w:style w:type="character" w:customStyle="1" w:styleId="620">
    <w:name w:val="正文文本缩进 Char1"/>
    <w:qFormat/>
    <w:uiPriority w:val="0"/>
    <w:rPr>
      <w:kern w:val="2"/>
      <w:sz w:val="21"/>
      <w:szCs w:val="24"/>
    </w:rPr>
  </w:style>
  <w:style w:type="character" w:customStyle="1" w:styleId="621">
    <w:name w:val="正文文本缩进 字符1"/>
    <w:qFormat/>
    <w:uiPriority w:val="0"/>
    <w:rPr>
      <w:rFonts w:ascii="仿宋_GB2312" w:eastAsia="仿宋_GB2312" w:cs="仿宋_GB2312"/>
      <w:sz w:val="28"/>
      <w:szCs w:val="24"/>
    </w:rPr>
  </w:style>
  <w:style w:type="character" w:customStyle="1" w:styleId="622">
    <w:name w:val="正文文本缩进 Char2"/>
    <w:basedOn w:val="135"/>
    <w:qFormat/>
    <w:uiPriority w:val="99"/>
    <w:rPr>
      <w:rFonts w:ascii="Times New Roman" w:hAnsi="Times New Roman" w:eastAsia="仿宋"/>
      <w:sz w:val="28"/>
      <w:szCs w:val="28"/>
    </w:rPr>
  </w:style>
  <w:style w:type="paragraph" w:customStyle="1" w:styleId="623">
    <w:name w:val="msolistparagraph"/>
    <w:basedOn w:val="1"/>
    <w:qFormat/>
    <w:uiPriority w:val="0"/>
    <w:pPr>
      <w:widowControl/>
      <w:adjustRightInd w:val="0"/>
      <w:snapToGrid w:val="0"/>
      <w:ind w:firstLine="420"/>
      <w:jc w:val="left"/>
    </w:pPr>
    <w:rPr>
      <w:rFonts w:hint="eastAsia" w:ascii="宋体" w:hAnsi="宋体"/>
      <w:kern w:val="0"/>
      <w:sz w:val="24"/>
    </w:rPr>
  </w:style>
  <w:style w:type="character" w:customStyle="1" w:styleId="624">
    <w:name w:val="题注 Char1"/>
    <w:qFormat/>
    <w:uiPriority w:val="0"/>
    <w:rPr>
      <w:rFonts w:eastAsia="仿宋_GB2312"/>
      <w:b/>
      <w:kern w:val="2"/>
      <w:sz w:val="24"/>
      <w:lang w:val="zh-CN" w:eastAsia="zh-CN"/>
    </w:rPr>
  </w:style>
  <w:style w:type="character" w:customStyle="1" w:styleId="625">
    <w:name w:val="_Style 3"/>
    <w:qFormat/>
    <w:uiPriority w:val="32"/>
    <w:rPr>
      <w:b/>
      <w:bCs/>
      <w:smallCaps/>
      <w:color w:val="C0504D"/>
      <w:spacing w:val="5"/>
      <w:u w:val="single"/>
    </w:rPr>
  </w:style>
  <w:style w:type="character" w:customStyle="1" w:styleId="626">
    <w:name w:val="标题 5 字符1"/>
    <w:qFormat/>
    <w:uiPriority w:val="9"/>
    <w:rPr>
      <w:rFonts w:ascii="等线" w:hAnsi="等线" w:eastAsia="等线" w:cs="Times New Roman"/>
      <w:b/>
      <w:bCs/>
      <w:sz w:val="28"/>
      <w:szCs w:val="28"/>
    </w:rPr>
  </w:style>
  <w:style w:type="character" w:customStyle="1" w:styleId="627">
    <w:name w:val="文档结构图 字符1"/>
    <w:qFormat/>
    <w:uiPriority w:val="99"/>
    <w:rPr>
      <w:rFonts w:ascii="Microsoft YaHei UI" w:hAnsi="等线" w:eastAsia="Microsoft YaHei UI"/>
      <w:sz w:val="18"/>
      <w:szCs w:val="18"/>
    </w:rPr>
  </w:style>
  <w:style w:type="character" w:customStyle="1" w:styleId="628">
    <w:name w:val="正本文字 Char"/>
    <w:link w:val="629"/>
    <w:qFormat/>
    <w:locked/>
    <w:uiPriority w:val="0"/>
    <w:rPr>
      <w:rFonts w:ascii="宋体" w:hAnsi="宋体" w:eastAsia="等线" w:cs="宋体"/>
      <w:kern w:val="18"/>
      <w:sz w:val="24"/>
    </w:rPr>
  </w:style>
  <w:style w:type="paragraph" w:customStyle="1" w:styleId="629">
    <w:name w:val="正本文字"/>
    <w:basedOn w:val="1"/>
    <w:link w:val="628"/>
    <w:qFormat/>
    <w:uiPriority w:val="0"/>
    <w:pPr>
      <w:adjustRightInd w:val="0"/>
      <w:snapToGrid w:val="0"/>
      <w:spacing w:line="360" w:lineRule="auto"/>
      <w:ind w:firstLine="480" w:firstLineChars="200"/>
      <w:jc w:val="left"/>
    </w:pPr>
    <w:rPr>
      <w:rFonts w:ascii="宋体" w:hAnsi="宋体" w:eastAsia="等线" w:cs="宋体"/>
      <w:kern w:val="18"/>
      <w:sz w:val="24"/>
      <w:szCs w:val="20"/>
    </w:rPr>
  </w:style>
  <w:style w:type="character" w:customStyle="1" w:styleId="630">
    <w:name w:val="标题 6 字符1"/>
    <w:qFormat/>
    <w:uiPriority w:val="9"/>
    <w:rPr>
      <w:rFonts w:ascii="等线 Light" w:hAnsi="等线 Light" w:eastAsia="等线 Light" w:cs="Times New Roman"/>
      <w:b/>
      <w:bCs/>
      <w:sz w:val="24"/>
      <w:szCs w:val="24"/>
    </w:rPr>
  </w:style>
  <w:style w:type="character" w:customStyle="1" w:styleId="631">
    <w:name w:val="标题 9 字符1"/>
    <w:qFormat/>
    <w:uiPriority w:val="9"/>
    <w:rPr>
      <w:rFonts w:ascii="等线 Light" w:hAnsi="等线 Light" w:eastAsia="等线 Light" w:cs="Times New Roman"/>
    </w:rPr>
  </w:style>
  <w:style w:type="character" w:customStyle="1" w:styleId="632">
    <w:name w:val="标题 7 字符1"/>
    <w:qFormat/>
    <w:uiPriority w:val="9"/>
    <w:rPr>
      <w:rFonts w:ascii="等线" w:hAnsi="等线" w:eastAsia="等线" w:cs="Times New Roman"/>
      <w:b/>
      <w:bCs/>
      <w:sz w:val="24"/>
      <w:szCs w:val="24"/>
    </w:rPr>
  </w:style>
  <w:style w:type="character" w:customStyle="1" w:styleId="633">
    <w:name w:val="标题 8 字符1"/>
    <w:qFormat/>
    <w:uiPriority w:val="9"/>
    <w:rPr>
      <w:rFonts w:ascii="等线 Light" w:hAnsi="等线 Light" w:eastAsia="等线 Light" w:cs="Times New Roman"/>
      <w:sz w:val="24"/>
      <w:szCs w:val="24"/>
    </w:rPr>
  </w:style>
  <w:style w:type="character" w:customStyle="1" w:styleId="634">
    <w:name w:val="普通(网站) 字符1"/>
    <w:qFormat/>
    <w:uiPriority w:val="99"/>
    <w:rPr>
      <w:rFonts w:ascii="宋体" w:hAnsi="Times New Roman" w:eastAsia="仿宋_GB2312" w:cs="Times New Roman"/>
      <w:kern w:val="0"/>
      <w:sz w:val="24"/>
      <w:szCs w:val="24"/>
    </w:rPr>
  </w:style>
  <w:style w:type="character" w:customStyle="1" w:styleId="635">
    <w:name w:val="文档结构图 Char"/>
    <w:basedOn w:val="135"/>
    <w:semiHidden/>
    <w:qFormat/>
    <w:uiPriority w:val="99"/>
    <w:rPr>
      <w:rFonts w:ascii="Microsoft YaHei UI" w:hAnsi="Times New Roman" w:eastAsia="Microsoft YaHei UI"/>
      <w:sz w:val="18"/>
      <w:szCs w:val="18"/>
    </w:rPr>
  </w:style>
  <w:style w:type="paragraph" w:customStyle="1" w:styleId="636">
    <w:name w:val="环科院正文"/>
    <w:basedOn w:val="1"/>
    <w:semiHidden/>
    <w:qFormat/>
    <w:uiPriority w:val="0"/>
    <w:pPr>
      <w:tabs>
        <w:tab w:val="left" w:pos="5760"/>
      </w:tabs>
      <w:adjustRightInd w:val="0"/>
      <w:snapToGrid w:val="0"/>
      <w:spacing w:line="500" w:lineRule="exact"/>
      <w:ind w:firstLine="560" w:firstLineChars="200"/>
      <w:jc w:val="left"/>
    </w:pPr>
    <w:rPr>
      <w:rFonts w:hAnsi="宋体" w:eastAsia="仿宋_GB2312"/>
      <w:bCs/>
      <w:kern w:val="0"/>
      <w:sz w:val="28"/>
      <w:szCs w:val="28"/>
      <w:lang w:val="zh-CN"/>
    </w:rPr>
  </w:style>
  <w:style w:type="paragraph" w:customStyle="1" w:styleId="637">
    <w:name w:val="表格中文字"/>
    <w:basedOn w:val="1"/>
    <w:link w:val="986"/>
    <w:qFormat/>
    <w:uiPriority w:val="0"/>
    <w:pPr>
      <w:adjustRightInd w:val="0"/>
      <w:snapToGrid w:val="0"/>
      <w:jc w:val="center"/>
    </w:pPr>
    <w:rPr>
      <w:rFonts w:ascii="等线" w:hAnsi="等线" w:eastAsia="等线"/>
      <w:kern w:val="18"/>
      <w:sz w:val="20"/>
      <w:szCs w:val="21"/>
    </w:rPr>
  </w:style>
  <w:style w:type="paragraph" w:customStyle="1" w:styleId="638">
    <w:name w:val="报告书"/>
    <w:basedOn w:val="1"/>
    <w:qFormat/>
    <w:uiPriority w:val="0"/>
    <w:pPr>
      <w:adjustRightInd w:val="0"/>
      <w:snapToGrid w:val="0"/>
      <w:spacing w:line="440" w:lineRule="atLeast"/>
      <w:ind w:firstLine="482"/>
      <w:textAlignment w:val="baseline"/>
    </w:pPr>
    <w:rPr>
      <w:rFonts w:ascii="宋体" w:eastAsia="等线"/>
      <w:kern w:val="24"/>
      <w:sz w:val="24"/>
      <w:szCs w:val="20"/>
    </w:rPr>
  </w:style>
  <w:style w:type="paragraph" w:customStyle="1" w:styleId="639">
    <w:name w:val="default"/>
    <w:basedOn w:val="1"/>
    <w:qFormat/>
    <w:uiPriority w:val="0"/>
    <w:pPr>
      <w:widowControl/>
      <w:spacing w:before="100" w:beforeAutospacing="1" w:after="100" w:afterAutospacing="1"/>
      <w:jc w:val="left"/>
    </w:pPr>
    <w:rPr>
      <w:rFonts w:ascii="宋体" w:hAnsi="宋体" w:cs="宋体"/>
      <w:kern w:val="0"/>
      <w:sz w:val="24"/>
    </w:rPr>
  </w:style>
  <w:style w:type="table" w:customStyle="1" w:styleId="640">
    <w:name w:val="表格虚线7"/>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1">
    <w:name w:val="表格虚线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2">
    <w:name w:val="表格虚线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3">
    <w:name w:val="表格虚线5"/>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4">
    <w:name w:val="网格型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5">
    <w:name w:val="表格虚线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6">
    <w:name w:val="表格虚线10"/>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7">
    <w:name w:val="表格虚线6"/>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8">
    <w:name w:val="表格虚线4"/>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49">
    <w:name w:val="表格虚线1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0">
    <w:name w:val="表格虚线9"/>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1">
    <w:name w:val="表格虚线8"/>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2">
    <w:name w:val="表格虚线1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3">
    <w:name w:val="表格虚线1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4">
    <w:name w:val="表格虚线14"/>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5">
    <w:name w:val="表格虚线15"/>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6">
    <w:name w:val="表格虚线16"/>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7">
    <w:name w:val="表格虚线17"/>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8">
    <w:name w:val="表格虚线18"/>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59">
    <w:name w:val="表格虚线19"/>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60">
    <w:name w:val="网格型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61">
    <w:name w:val="网格型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2">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Char Char10"/>
    <w:basedOn w:val="1"/>
    <w:qFormat/>
    <w:uiPriority w:val="0"/>
    <w:pPr>
      <w:adjustRightInd w:val="0"/>
      <w:snapToGrid w:val="0"/>
      <w:spacing w:line="240" w:lineRule="exact"/>
      <w:ind w:firstLine="200" w:firstLineChars="200"/>
    </w:pPr>
    <w:rPr>
      <w:sz w:val="24"/>
      <w:szCs w:val="22"/>
      <w:lang w:val="zh-CN"/>
    </w:rPr>
  </w:style>
  <w:style w:type="table" w:customStyle="1" w:styleId="664">
    <w:name w:val="表格虚线20"/>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65">
    <w:name w:val="表格虚线2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66">
    <w:name w:val="表格虚线2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67">
    <w:name w:val="表格虚线2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68">
    <w:name w:val="表格虚线24"/>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69">
    <w:name w:val="Table Normal2"/>
    <w:semiHidden/>
    <w:unhideWhenUsed/>
    <w:qFormat/>
    <w:uiPriority w:val="2"/>
    <w:pPr>
      <w:widowControl w:val="0"/>
    </w:pPr>
    <w:rPr>
      <w:sz w:val="22"/>
      <w:lang w:eastAsia="en-US"/>
    </w:rPr>
    <w:tblPr>
      <w:tblCellMar>
        <w:top w:w="0" w:type="dxa"/>
        <w:left w:w="0" w:type="dxa"/>
        <w:bottom w:w="0" w:type="dxa"/>
        <w:right w:w="0" w:type="dxa"/>
      </w:tblCellMar>
    </w:tblPr>
  </w:style>
  <w:style w:type="character" w:customStyle="1" w:styleId="670">
    <w:name w:val="font01"/>
    <w:qFormat/>
    <w:uiPriority w:val="0"/>
    <w:rPr>
      <w:rFonts w:hint="eastAsia" w:ascii="宋体" w:hAnsi="宋体" w:eastAsia="宋体" w:cs="宋体"/>
      <w:color w:val="000000"/>
      <w:sz w:val="21"/>
      <w:szCs w:val="21"/>
      <w:u w:val="none"/>
      <w:vertAlign w:val="subscript"/>
    </w:rPr>
  </w:style>
  <w:style w:type="table" w:customStyle="1" w:styleId="671">
    <w:name w:val="表格虚线25"/>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72">
    <w:name w:val="网格型5"/>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73">
    <w:name w:val="Table Normal3"/>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674">
    <w:name w:val="网格型6"/>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75">
    <w:name w:val="表格虚线110"/>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76">
    <w:name w:val="Table Normal4"/>
    <w:semiHidden/>
    <w:unhideWhenUsed/>
    <w:qFormat/>
    <w:uiPriority w:val="2"/>
    <w:pPr>
      <w:widowControl w:val="0"/>
    </w:pPr>
    <w:rPr>
      <w:sz w:val="22"/>
      <w:lang w:eastAsia="en-US"/>
    </w:rPr>
    <w:tblPr>
      <w:tblCellMar>
        <w:top w:w="0" w:type="dxa"/>
        <w:left w:w="0" w:type="dxa"/>
        <w:bottom w:w="0" w:type="dxa"/>
        <w:right w:w="0" w:type="dxa"/>
      </w:tblCellMar>
    </w:tblPr>
  </w:style>
  <w:style w:type="table" w:customStyle="1" w:styleId="677">
    <w:name w:val="表格虚线26"/>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78">
    <w:name w:val="表格虚线11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679">
    <w:name w:val="标题4"/>
    <w:basedOn w:val="6"/>
    <w:link w:val="680"/>
    <w:qFormat/>
    <w:uiPriority w:val="0"/>
    <w:pPr>
      <w:numPr>
        <w:ilvl w:val="0"/>
        <w:numId w:val="0"/>
      </w:numPr>
      <w:adjustRightInd w:val="0"/>
      <w:spacing w:before="0" w:after="0" w:line="360" w:lineRule="auto"/>
      <w:ind w:left="864" w:hanging="864"/>
    </w:pPr>
    <w:rPr>
      <w:rFonts w:ascii="Times New Roman" w:hAnsi="Times New Roman" w:eastAsia="宋体"/>
      <w:bCs/>
      <w:sz w:val="24"/>
      <w:szCs w:val="28"/>
      <w:lang w:val="en-US"/>
    </w:rPr>
  </w:style>
  <w:style w:type="character" w:customStyle="1" w:styleId="680">
    <w:name w:val="标题4 字符"/>
    <w:link w:val="679"/>
    <w:qFormat/>
    <w:uiPriority w:val="0"/>
    <w:rPr>
      <w:b/>
      <w:bCs/>
      <w:kern w:val="2"/>
      <w:sz w:val="24"/>
      <w:szCs w:val="28"/>
    </w:rPr>
  </w:style>
  <w:style w:type="table" w:customStyle="1" w:styleId="681">
    <w:name w:val="表格虚线27"/>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682">
    <w:name w:val="表注"/>
    <w:basedOn w:val="1"/>
    <w:link w:val="683"/>
    <w:qFormat/>
    <w:uiPriority w:val="0"/>
    <w:pPr>
      <w:adjustRightInd w:val="0"/>
      <w:snapToGrid w:val="0"/>
    </w:pPr>
    <w:rPr>
      <w:sz w:val="18"/>
      <w:szCs w:val="22"/>
    </w:rPr>
  </w:style>
  <w:style w:type="character" w:customStyle="1" w:styleId="683">
    <w:name w:val="表注 字符"/>
    <w:link w:val="682"/>
    <w:qFormat/>
    <w:uiPriority w:val="0"/>
    <w:rPr>
      <w:kern w:val="2"/>
      <w:sz w:val="18"/>
      <w:szCs w:val="22"/>
    </w:rPr>
  </w:style>
  <w:style w:type="paragraph" w:customStyle="1" w:styleId="684">
    <w:name w:val="标准"/>
    <w:basedOn w:val="1"/>
    <w:qFormat/>
    <w:uiPriority w:val="0"/>
    <w:pPr>
      <w:widowControl/>
      <w:adjustRightInd w:val="0"/>
      <w:spacing w:line="312" w:lineRule="atLeast"/>
      <w:jc w:val="center"/>
      <w:textAlignment w:val="baseline"/>
    </w:pPr>
    <w:rPr>
      <w:rFonts w:cs="宋体"/>
      <w:kern w:val="0"/>
      <w:sz w:val="20"/>
      <w:szCs w:val="20"/>
    </w:rPr>
  </w:style>
  <w:style w:type="paragraph" w:customStyle="1" w:styleId="685">
    <w:name w:val="文本"/>
    <w:basedOn w:val="1"/>
    <w:link w:val="879"/>
    <w:qFormat/>
    <w:uiPriority w:val="99"/>
    <w:pPr>
      <w:widowControl/>
      <w:spacing w:line="480" w:lineRule="exact"/>
      <w:ind w:firstLine="200" w:firstLineChars="200"/>
      <w:jc w:val="left"/>
    </w:pPr>
    <w:rPr>
      <w:rFonts w:cs="宋体"/>
      <w:color w:val="000000"/>
      <w:kern w:val="0"/>
      <w:sz w:val="24"/>
      <w:szCs w:val="28"/>
    </w:rPr>
  </w:style>
  <w:style w:type="table" w:customStyle="1" w:styleId="686">
    <w:name w:val="网格型1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87">
    <w:name w:val="HTML 预设格式 Char"/>
    <w:basedOn w:val="135"/>
    <w:semiHidden/>
    <w:qFormat/>
    <w:uiPriority w:val="99"/>
    <w:rPr>
      <w:rFonts w:ascii="Courier New" w:hAnsi="Courier New" w:eastAsia="仿宋" w:cs="Courier New"/>
      <w:sz w:val="20"/>
      <w:szCs w:val="20"/>
    </w:rPr>
  </w:style>
  <w:style w:type="character" w:customStyle="1" w:styleId="688">
    <w:name w:val="HTML 预设格式 字符1"/>
    <w:qFormat/>
    <w:uiPriority w:val="99"/>
    <w:rPr>
      <w:rFonts w:ascii="宋体" w:hAnsi="宋体" w:eastAsia="宋体" w:cs="宋体"/>
      <w:kern w:val="0"/>
      <w:sz w:val="24"/>
      <w:szCs w:val="24"/>
    </w:rPr>
  </w:style>
  <w:style w:type="table" w:customStyle="1" w:styleId="689">
    <w:name w:val="Table Normal5"/>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690">
    <w:name w:val="表格虚线11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691">
    <w:name w:val="表格虚线28"/>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692">
    <w:name w:val="TOC 71"/>
    <w:basedOn w:val="1"/>
    <w:next w:val="1"/>
    <w:unhideWhenUsed/>
    <w:qFormat/>
    <w:uiPriority w:val="39"/>
    <w:pPr>
      <w:ind w:left="1260"/>
      <w:jc w:val="left"/>
    </w:pPr>
    <w:rPr>
      <w:rFonts w:ascii="等线" w:hAnsi="等线" w:eastAsia="等线"/>
      <w:sz w:val="18"/>
      <w:szCs w:val="18"/>
    </w:rPr>
  </w:style>
  <w:style w:type="paragraph" w:customStyle="1" w:styleId="693">
    <w:name w:val="TOC 51"/>
    <w:basedOn w:val="1"/>
    <w:next w:val="1"/>
    <w:unhideWhenUsed/>
    <w:qFormat/>
    <w:uiPriority w:val="39"/>
    <w:pPr>
      <w:ind w:left="840"/>
      <w:jc w:val="left"/>
    </w:pPr>
    <w:rPr>
      <w:rFonts w:ascii="等线" w:hAnsi="等线" w:eastAsia="等线"/>
      <w:sz w:val="18"/>
      <w:szCs w:val="18"/>
    </w:rPr>
  </w:style>
  <w:style w:type="paragraph" w:customStyle="1" w:styleId="694">
    <w:name w:val="TOC 31"/>
    <w:basedOn w:val="1"/>
    <w:next w:val="1"/>
    <w:unhideWhenUsed/>
    <w:qFormat/>
    <w:uiPriority w:val="39"/>
    <w:pPr>
      <w:ind w:left="420"/>
      <w:jc w:val="left"/>
    </w:pPr>
    <w:rPr>
      <w:rFonts w:ascii="等线" w:hAnsi="等线" w:eastAsia="等线"/>
      <w:i/>
      <w:iCs/>
      <w:sz w:val="20"/>
      <w:szCs w:val="20"/>
    </w:rPr>
  </w:style>
  <w:style w:type="paragraph" w:customStyle="1" w:styleId="695">
    <w:name w:val="TOC 81"/>
    <w:basedOn w:val="1"/>
    <w:next w:val="1"/>
    <w:unhideWhenUsed/>
    <w:qFormat/>
    <w:uiPriority w:val="39"/>
    <w:pPr>
      <w:ind w:left="1470"/>
      <w:jc w:val="left"/>
    </w:pPr>
    <w:rPr>
      <w:rFonts w:ascii="等线" w:hAnsi="等线" w:eastAsia="等线"/>
      <w:sz w:val="18"/>
      <w:szCs w:val="18"/>
    </w:rPr>
  </w:style>
  <w:style w:type="paragraph" w:customStyle="1" w:styleId="696">
    <w:name w:val="TOC 11"/>
    <w:basedOn w:val="1"/>
    <w:next w:val="1"/>
    <w:unhideWhenUsed/>
    <w:qFormat/>
    <w:uiPriority w:val="39"/>
    <w:pPr>
      <w:tabs>
        <w:tab w:val="left" w:pos="420"/>
        <w:tab w:val="right" w:leader="dot" w:pos="9016"/>
      </w:tabs>
      <w:spacing w:before="120"/>
      <w:jc w:val="left"/>
    </w:pPr>
    <w:rPr>
      <w:rFonts w:eastAsia="等线"/>
      <w:b/>
      <w:bCs/>
      <w:caps/>
      <w:sz w:val="28"/>
      <w:szCs w:val="28"/>
    </w:rPr>
  </w:style>
  <w:style w:type="paragraph" w:customStyle="1" w:styleId="697">
    <w:name w:val="TOC 41"/>
    <w:basedOn w:val="1"/>
    <w:next w:val="1"/>
    <w:unhideWhenUsed/>
    <w:qFormat/>
    <w:uiPriority w:val="39"/>
    <w:pPr>
      <w:ind w:left="630"/>
      <w:jc w:val="left"/>
    </w:pPr>
    <w:rPr>
      <w:rFonts w:ascii="等线" w:hAnsi="等线" w:eastAsia="等线"/>
      <w:sz w:val="18"/>
      <w:szCs w:val="18"/>
    </w:rPr>
  </w:style>
  <w:style w:type="paragraph" w:customStyle="1" w:styleId="698">
    <w:name w:val="TOC 61"/>
    <w:basedOn w:val="1"/>
    <w:next w:val="1"/>
    <w:unhideWhenUsed/>
    <w:qFormat/>
    <w:uiPriority w:val="39"/>
    <w:pPr>
      <w:ind w:left="1050"/>
      <w:jc w:val="left"/>
    </w:pPr>
    <w:rPr>
      <w:rFonts w:ascii="等线" w:hAnsi="等线" w:eastAsia="等线"/>
      <w:sz w:val="18"/>
      <w:szCs w:val="18"/>
    </w:rPr>
  </w:style>
  <w:style w:type="paragraph" w:customStyle="1" w:styleId="699">
    <w:name w:val="TOC 21"/>
    <w:basedOn w:val="1"/>
    <w:next w:val="1"/>
    <w:unhideWhenUsed/>
    <w:qFormat/>
    <w:uiPriority w:val="39"/>
    <w:pPr>
      <w:tabs>
        <w:tab w:val="right" w:leader="dot" w:pos="9016"/>
      </w:tabs>
      <w:adjustRightInd w:val="0"/>
      <w:snapToGrid w:val="0"/>
      <w:spacing w:line="400" w:lineRule="exact"/>
      <w:ind w:left="210"/>
      <w:jc w:val="left"/>
    </w:pPr>
    <w:rPr>
      <w:rFonts w:eastAsia="等线"/>
      <w:smallCaps/>
      <w:sz w:val="24"/>
    </w:rPr>
  </w:style>
  <w:style w:type="paragraph" w:customStyle="1" w:styleId="700">
    <w:name w:val="TOC 91"/>
    <w:basedOn w:val="1"/>
    <w:next w:val="1"/>
    <w:unhideWhenUsed/>
    <w:qFormat/>
    <w:uiPriority w:val="39"/>
    <w:pPr>
      <w:ind w:left="1680"/>
      <w:jc w:val="left"/>
    </w:pPr>
    <w:rPr>
      <w:rFonts w:ascii="等线" w:hAnsi="等线" w:eastAsia="等线"/>
      <w:sz w:val="18"/>
      <w:szCs w:val="18"/>
    </w:rPr>
  </w:style>
  <w:style w:type="character" w:customStyle="1" w:styleId="701">
    <w:name w:val="占位符文本1"/>
    <w:semiHidden/>
    <w:qFormat/>
    <w:uiPriority w:val="99"/>
    <w:rPr>
      <w:color w:val="808080"/>
    </w:rPr>
  </w:style>
  <w:style w:type="paragraph" w:customStyle="1" w:styleId="702">
    <w:name w:val="xl63"/>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703">
    <w:name w:val="xl64"/>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704">
    <w:name w:val="xl65"/>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05">
    <w:name w:val="xl66"/>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kern w:val="0"/>
      <w:szCs w:val="21"/>
    </w:rPr>
  </w:style>
  <w:style w:type="paragraph" w:customStyle="1" w:styleId="706">
    <w:name w:val="xl68"/>
    <w:basedOn w:val="1"/>
    <w:qFormat/>
    <w:uiPriority w:val="0"/>
    <w:pPr>
      <w:widowControl/>
      <w:pBdr>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07">
    <w:name w:val="xl69"/>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708">
    <w:name w:val="xl7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709">
    <w:name w:val="xl71"/>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710">
    <w:name w:val="xl72"/>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b/>
      <w:bCs/>
      <w:kern w:val="0"/>
      <w:szCs w:val="21"/>
    </w:rPr>
  </w:style>
  <w:style w:type="paragraph" w:customStyle="1" w:styleId="711">
    <w:name w:val="xl73"/>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12">
    <w:name w:val="xl74"/>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13">
    <w:name w:val="xl75"/>
    <w:basedOn w:val="1"/>
    <w:qFormat/>
    <w:uiPriority w:val="0"/>
    <w:pPr>
      <w:widowControl/>
      <w:pBdr>
        <w:top w:val="single" w:color="auto" w:sz="8" w:space="0"/>
        <w:left w:val="single" w:color="auto" w:sz="8" w:space="0"/>
        <w:bottom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14">
    <w:name w:val="xl76"/>
    <w:basedOn w:val="1"/>
    <w:qFormat/>
    <w:uiPriority w:val="0"/>
    <w:pPr>
      <w:widowControl/>
      <w:pBdr>
        <w:top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15">
    <w:name w:val="xl77"/>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16">
    <w:name w:val="xl78"/>
    <w:basedOn w:val="1"/>
    <w:qFormat/>
    <w:uiPriority w:val="0"/>
    <w:pPr>
      <w:widowControl/>
      <w:pBdr>
        <w:left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17">
    <w:name w:val="xl79"/>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仿宋_GB2312" w:hAnsi="宋体" w:eastAsia="仿宋_GB2312" w:cs="宋体"/>
      <w:kern w:val="0"/>
      <w:szCs w:val="21"/>
    </w:rPr>
  </w:style>
  <w:style w:type="paragraph" w:customStyle="1" w:styleId="718">
    <w:name w:val="xl80"/>
    <w:basedOn w:val="1"/>
    <w:qFormat/>
    <w:uiPriority w:val="0"/>
    <w:pPr>
      <w:widowControl/>
      <w:pBdr>
        <w:bottom w:val="single" w:color="auto" w:sz="8" w:space="0"/>
      </w:pBdr>
      <w:spacing w:before="100" w:beforeAutospacing="1" w:after="100" w:afterAutospacing="1"/>
      <w:jc w:val="center"/>
      <w:textAlignment w:val="center"/>
    </w:pPr>
    <w:rPr>
      <w:kern w:val="0"/>
      <w:szCs w:val="21"/>
    </w:rPr>
  </w:style>
  <w:style w:type="paragraph" w:customStyle="1" w:styleId="719">
    <w:name w:val="xl81"/>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720">
    <w:name w:val="xl82"/>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kern w:val="0"/>
      <w:szCs w:val="21"/>
    </w:rPr>
  </w:style>
  <w:style w:type="paragraph" w:customStyle="1" w:styleId="721">
    <w:name w:val="xl83"/>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kern w:val="0"/>
      <w:szCs w:val="21"/>
    </w:rPr>
  </w:style>
  <w:style w:type="paragraph" w:customStyle="1" w:styleId="722">
    <w:name w:val="xl84"/>
    <w:basedOn w:val="1"/>
    <w:qFormat/>
    <w:uiPriority w:val="0"/>
    <w:pPr>
      <w:widowControl/>
      <w:pBdr>
        <w:left w:val="single" w:color="auto" w:sz="8" w:space="0"/>
        <w:bottom w:val="single" w:color="auto" w:sz="8" w:space="0"/>
      </w:pBdr>
      <w:spacing w:before="100" w:beforeAutospacing="1" w:after="100" w:afterAutospacing="1"/>
      <w:jc w:val="center"/>
      <w:textAlignment w:val="center"/>
    </w:pPr>
    <w:rPr>
      <w:kern w:val="0"/>
      <w:szCs w:val="21"/>
    </w:rPr>
  </w:style>
  <w:style w:type="paragraph" w:customStyle="1" w:styleId="723">
    <w:name w:val="xl85"/>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rFonts w:ascii="仿宋_GB2312" w:hAnsi="宋体" w:eastAsia="仿宋_GB2312" w:cs="宋体"/>
      <w:b/>
      <w:bCs/>
      <w:kern w:val="0"/>
      <w:szCs w:val="21"/>
    </w:rPr>
  </w:style>
  <w:style w:type="paragraph" w:customStyle="1" w:styleId="724">
    <w:name w:val="xl86"/>
    <w:basedOn w:val="1"/>
    <w:qFormat/>
    <w:uiPriority w:val="0"/>
    <w:pPr>
      <w:widowControl/>
      <w:pBdr>
        <w:top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b/>
      <w:bCs/>
      <w:kern w:val="0"/>
      <w:szCs w:val="21"/>
    </w:rPr>
  </w:style>
  <w:style w:type="paragraph" w:customStyle="1" w:styleId="725">
    <w:name w:val="xl87"/>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726">
    <w:name w:val="xl88"/>
    <w:basedOn w:val="1"/>
    <w:qFormat/>
    <w:uiPriority w:val="0"/>
    <w:pPr>
      <w:widowControl/>
      <w:pBdr>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727">
    <w:name w:val="xl89"/>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728">
    <w:name w:val="xl90"/>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729">
    <w:name w:val="xl91"/>
    <w:basedOn w:val="1"/>
    <w:qFormat/>
    <w:uiPriority w:val="0"/>
    <w:pPr>
      <w:widowControl/>
      <w:pBdr>
        <w:left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730">
    <w:name w:val="xl92"/>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rFonts w:ascii="仿宋_GB2312" w:hAnsi="宋体" w:eastAsia="仿宋_GB2312" w:cs="宋体"/>
      <w:kern w:val="0"/>
      <w:szCs w:val="21"/>
    </w:rPr>
  </w:style>
  <w:style w:type="paragraph" w:customStyle="1" w:styleId="731">
    <w:name w:val="xl93"/>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kern w:val="0"/>
      <w:szCs w:val="21"/>
    </w:rPr>
  </w:style>
  <w:style w:type="paragraph" w:customStyle="1" w:styleId="732">
    <w:name w:val="xl94"/>
    <w:basedOn w:val="1"/>
    <w:qFormat/>
    <w:uiPriority w:val="0"/>
    <w:pPr>
      <w:widowControl/>
      <w:pBdr>
        <w:left w:val="single" w:color="auto" w:sz="8" w:space="0"/>
        <w:right w:val="single" w:color="auto" w:sz="8" w:space="0"/>
      </w:pBdr>
      <w:spacing w:before="100" w:beforeAutospacing="1" w:after="100" w:afterAutospacing="1"/>
      <w:jc w:val="left"/>
      <w:textAlignment w:val="center"/>
    </w:pPr>
    <w:rPr>
      <w:kern w:val="0"/>
      <w:szCs w:val="21"/>
    </w:rPr>
  </w:style>
  <w:style w:type="paragraph" w:customStyle="1" w:styleId="733">
    <w:name w:val="xl95"/>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kern w:val="0"/>
      <w:szCs w:val="21"/>
    </w:rPr>
  </w:style>
  <w:style w:type="paragraph" w:customStyle="1" w:styleId="734">
    <w:name w:val="xl96"/>
    <w:basedOn w:val="1"/>
    <w:qFormat/>
    <w:uiPriority w:val="0"/>
    <w:pPr>
      <w:widowControl/>
      <w:pBdr>
        <w:top w:val="single" w:color="auto" w:sz="8" w:space="0"/>
        <w:left w:val="single" w:color="auto" w:sz="8" w:space="0"/>
        <w:right w:val="single" w:color="auto" w:sz="8" w:space="0"/>
      </w:pBdr>
      <w:spacing w:before="100" w:beforeAutospacing="1" w:after="100" w:afterAutospacing="1"/>
      <w:jc w:val="left"/>
      <w:textAlignment w:val="center"/>
    </w:pPr>
    <w:rPr>
      <w:kern w:val="0"/>
      <w:szCs w:val="21"/>
    </w:rPr>
  </w:style>
  <w:style w:type="paragraph" w:customStyle="1" w:styleId="735">
    <w:name w:val="xl97"/>
    <w:basedOn w:val="1"/>
    <w:qFormat/>
    <w:uiPriority w:val="0"/>
    <w:pPr>
      <w:widowControl/>
      <w:pBdr>
        <w:left w:val="single" w:color="auto" w:sz="8" w:space="0"/>
        <w:right w:val="single" w:color="auto" w:sz="8" w:space="0"/>
      </w:pBdr>
      <w:spacing w:before="100" w:beforeAutospacing="1" w:after="100" w:afterAutospacing="1"/>
      <w:jc w:val="left"/>
      <w:textAlignment w:val="center"/>
    </w:pPr>
    <w:rPr>
      <w:kern w:val="0"/>
      <w:szCs w:val="21"/>
    </w:rPr>
  </w:style>
  <w:style w:type="paragraph" w:customStyle="1" w:styleId="736">
    <w:name w:val="xl98"/>
    <w:basedOn w:val="1"/>
    <w:qFormat/>
    <w:uiPriority w:val="0"/>
    <w:pPr>
      <w:widowControl/>
      <w:pBdr>
        <w:left w:val="single" w:color="auto" w:sz="8" w:space="0"/>
        <w:bottom w:val="single" w:color="auto" w:sz="8" w:space="0"/>
        <w:right w:val="single" w:color="auto" w:sz="8" w:space="0"/>
      </w:pBdr>
      <w:spacing w:before="100" w:beforeAutospacing="1" w:after="100" w:afterAutospacing="1"/>
      <w:jc w:val="left"/>
      <w:textAlignment w:val="center"/>
    </w:pPr>
    <w:rPr>
      <w:kern w:val="0"/>
      <w:szCs w:val="21"/>
    </w:rPr>
  </w:style>
  <w:style w:type="paragraph" w:customStyle="1" w:styleId="737">
    <w:name w:val="xl99"/>
    <w:basedOn w:val="1"/>
    <w:qFormat/>
    <w:uiPriority w:val="0"/>
    <w:pPr>
      <w:widowControl/>
      <w:pBdr>
        <w:top w:val="single" w:color="auto" w:sz="8" w:space="0"/>
        <w:left w:val="single" w:color="auto" w:sz="8" w:space="0"/>
        <w:bottom w:val="single" w:color="auto" w:sz="8" w:space="0"/>
      </w:pBdr>
      <w:spacing w:before="100" w:beforeAutospacing="1" w:after="100" w:afterAutospacing="1"/>
      <w:jc w:val="left"/>
      <w:textAlignment w:val="center"/>
    </w:pPr>
    <w:rPr>
      <w:kern w:val="0"/>
      <w:szCs w:val="21"/>
    </w:rPr>
  </w:style>
  <w:style w:type="paragraph" w:customStyle="1" w:styleId="738">
    <w:name w:val="xl100"/>
    <w:basedOn w:val="1"/>
    <w:qFormat/>
    <w:uiPriority w:val="0"/>
    <w:pPr>
      <w:widowControl/>
      <w:pBdr>
        <w:top w:val="single" w:color="auto" w:sz="8" w:space="0"/>
        <w:bottom w:val="single" w:color="auto" w:sz="8" w:space="0"/>
      </w:pBdr>
      <w:spacing w:before="100" w:beforeAutospacing="1" w:after="100" w:afterAutospacing="1"/>
      <w:jc w:val="left"/>
      <w:textAlignment w:val="center"/>
    </w:pPr>
    <w:rPr>
      <w:rFonts w:ascii="仿宋_GB2312" w:hAnsi="宋体" w:eastAsia="仿宋_GB2312" w:cs="宋体"/>
      <w:b/>
      <w:bCs/>
      <w:kern w:val="0"/>
      <w:szCs w:val="21"/>
    </w:rPr>
  </w:style>
  <w:style w:type="table" w:customStyle="1" w:styleId="739">
    <w:name w:val="网格型13"/>
    <w:basedOn w:val="90"/>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eastAsia="Times"/>
        <w:b/>
        <w:sz w:val="21"/>
      </w:rPr>
      <w:tcPr>
        <w:tcBorders>
          <w:bottom w:val="nil"/>
        </w:tcBorders>
      </w:tcPr>
    </w:tblStylePr>
  </w:style>
  <w:style w:type="table" w:customStyle="1" w:styleId="740">
    <w:name w:val="Table Normal11"/>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741">
    <w:name w:val="CharAttribute6"/>
    <w:qFormat/>
    <w:uiPriority w:val="0"/>
    <w:rPr>
      <w:rFonts w:ascii="仿宋_GB2312" w:hAnsi="仿宋_GB2312" w:eastAsia="仿宋_GB2312"/>
      <w:sz w:val="27"/>
    </w:rPr>
  </w:style>
  <w:style w:type="paragraph" w:customStyle="1" w:styleId="742">
    <w:name w:val="样式 表文字 + 左侧:  -0.85 厘米"/>
    <w:basedOn w:val="1"/>
    <w:qFormat/>
    <w:uiPriority w:val="0"/>
    <w:pPr>
      <w:widowControl/>
      <w:jc w:val="center"/>
    </w:pPr>
    <w:rPr>
      <w:rFonts w:ascii="Arial" w:hAnsi="Arial" w:eastAsia="仿宋_GB2312" w:cs="宋体"/>
      <w:kern w:val="0"/>
      <w:szCs w:val="20"/>
    </w:rPr>
  </w:style>
  <w:style w:type="character" w:customStyle="1" w:styleId="743">
    <w:name w:val="正文文本 2 Char"/>
    <w:basedOn w:val="135"/>
    <w:semiHidden/>
    <w:qFormat/>
    <w:uiPriority w:val="99"/>
    <w:rPr>
      <w:rFonts w:ascii="Times New Roman" w:hAnsi="Times New Roman" w:eastAsia="仿宋"/>
      <w:sz w:val="28"/>
      <w:szCs w:val="28"/>
    </w:rPr>
  </w:style>
  <w:style w:type="character" w:customStyle="1" w:styleId="744">
    <w:name w:val="正文文本 2 字符1"/>
    <w:qFormat/>
    <w:uiPriority w:val="99"/>
    <w:rPr>
      <w:rFonts w:ascii="等线" w:hAnsi="等线" w:eastAsia="等线" w:cs="Times New Roman"/>
      <w:szCs w:val="22"/>
    </w:rPr>
  </w:style>
  <w:style w:type="paragraph" w:customStyle="1" w:styleId="745">
    <w:name w:val="表格文字111"/>
    <w:basedOn w:val="1"/>
    <w:link w:val="746"/>
    <w:qFormat/>
    <w:uiPriority w:val="0"/>
    <w:pPr>
      <w:adjustRightInd w:val="0"/>
      <w:snapToGrid w:val="0"/>
      <w:jc w:val="center"/>
    </w:pPr>
    <w:rPr>
      <w:rFonts w:eastAsia="仿宋"/>
      <w:kern w:val="0"/>
      <w:szCs w:val="21"/>
    </w:rPr>
  </w:style>
  <w:style w:type="character" w:customStyle="1" w:styleId="746">
    <w:name w:val="表格文字111 字符"/>
    <w:link w:val="745"/>
    <w:qFormat/>
    <w:uiPriority w:val="0"/>
    <w:rPr>
      <w:rFonts w:eastAsia="仿宋"/>
      <w:sz w:val="21"/>
      <w:szCs w:val="21"/>
    </w:rPr>
  </w:style>
  <w:style w:type="character" w:customStyle="1" w:styleId="747">
    <w:name w:val="bb1"/>
    <w:qFormat/>
    <w:uiPriority w:val="0"/>
    <w:rPr>
      <w:rFonts w:ascii="Times New Roman" w:hAnsi="Times New Roman" w:cs="Times New Roman"/>
      <w:color w:val="000000"/>
      <w:spacing w:val="500"/>
      <w:sz w:val="24"/>
      <w:szCs w:val="24"/>
      <w:u w:val="none"/>
    </w:rPr>
  </w:style>
  <w:style w:type="paragraph" w:customStyle="1" w:styleId="748">
    <w:name w:val="p15"/>
    <w:basedOn w:val="1"/>
    <w:qFormat/>
    <w:uiPriority w:val="0"/>
    <w:pPr>
      <w:widowControl/>
    </w:pPr>
    <w:rPr>
      <w:rFonts w:ascii="宋体" w:hAnsi="宋体" w:cs="宋体"/>
      <w:kern w:val="0"/>
      <w:sz w:val="24"/>
    </w:rPr>
  </w:style>
  <w:style w:type="character" w:customStyle="1" w:styleId="749">
    <w:name w:val="图表文字 Char"/>
    <w:link w:val="372"/>
    <w:qFormat/>
    <w:uiPriority w:val="0"/>
    <w:rPr>
      <w:rFonts w:ascii="宋体" w:hAnsi="宋体" w:cs="宋体"/>
      <w:bCs/>
      <w:sz w:val="24"/>
    </w:rPr>
  </w:style>
  <w:style w:type="paragraph" w:customStyle="1" w:styleId="750">
    <w:name w:val="图表题"/>
    <w:basedOn w:val="33"/>
    <w:link w:val="753"/>
    <w:qFormat/>
    <w:uiPriority w:val="0"/>
    <w:pPr>
      <w:widowControl w:val="0"/>
    </w:pPr>
    <w:rPr>
      <w:rFonts w:ascii="Times New Roman" w:hAnsi="Times New Roman" w:eastAsia="仿宋_GB2312" w:cs="Times New Roman"/>
      <w:b w:val="0"/>
      <w:bCs w:val="0"/>
      <w:color w:val="4472C4"/>
      <w:sz w:val="28"/>
      <w:szCs w:val="28"/>
    </w:rPr>
  </w:style>
  <w:style w:type="character" w:customStyle="1" w:styleId="751">
    <w:name w:val="正文文本 3 Char"/>
    <w:basedOn w:val="135"/>
    <w:semiHidden/>
    <w:qFormat/>
    <w:uiPriority w:val="99"/>
    <w:rPr>
      <w:rFonts w:ascii="Times New Roman" w:hAnsi="Times New Roman" w:eastAsia="仿宋"/>
      <w:sz w:val="16"/>
      <w:szCs w:val="16"/>
    </w:rPr>
  </w:style>
  <w:style w:type="character" w:customStyle="1" w:styleId="752">
    <w:name w:val="正文文本 3 字符1"/>
    <w:qFormat/>
    <w:uiPriority w:val="99"/>
    <w:rPr>
      <w:rFonts w:ascii="等线" w:hAnsi="等线" w:eastAsia="等线" w:cs="Times New Roman"/>
      <w:sz w:val="16"/>
      <w:szCs w:val="16"/>
    </w:rPr>
  </w:style>
  <w:style w:type="character" w:customStyle="1" w:styleId="753">
    <w:name w:val="图表题 Char"/>
    <w:link w:val="750"/>
    <w:qFormat/>
    <w:uiPriority w:val="0"/>
    <w:rPr>
      <w:rFonts w:eastAsia="仿宋_GB2312"/>
      <w:color w:val="4472C4"/>
      <w:sz w:val="28"/>
      <w:szCs w:val="28"/>
    </w:rPr>
  </w:style>
  <w:style w:type="paragraph" w:customStyle="1" w:styleId="754">
    <w:name w:val="环评正文"/>
    <w:basedOn w:val="1"/>
    <w:link w:val="755"/>
    <w:qFormat/>
    <w:uiPriority w:val="0"/>
    <w:pPr>
      <w:adjustRightInd w:val="0"/>
      <w:snapToGrid w:val="0"/>
      <w:spacing w:line="300" w:lineRule="auto"/>
      <w:ind w:firstLine="480" w:firstLineChars="200"/>
    </w:pPr>
    <w:rPr>
      <w:rFonts w:eastAsia="等线"/>
      <w:sz w:val="24"/>
      <w:szCs w:val="28"/>
    </w:rPr>
  </w:style>
  <w:style w:type="character" w:customStyle="1" w:styleId="755">
    <w:name w:val="环评正文 Char"/>
    <w:basedOn w:val="135"/>
    <w:link w:val="754"/>
    <w:qFormat/>
    <w:uiPriority w:val="0"/>
    <w:rPr>
      <w:rFonts w:eastAsia="等线"/>
      <w:kern w:val="2"/>
      <w:sz w:val="24"/>
      <w:szCs w:val="28"/>
    </w:rPr>
  </w:style>
  <w:style w:type="paragraph" w:customStyle="1" w:styleId="756">
    <w:name w:val="备注"/>
    <w:basedOn w:val="33"/>
    <w:link w:val="757"/>
    <w:qFormat/>
    <w:uiPriority w:val="0"/>
    <w:pPr>
      <w:widowControl w:val="0"/>
      <w:ind w:firstLine="361" w:firstLineChars="200"/>
      <w:jc w:val="both"/>
    </w:pPr>
    <w:rPr>
      <w:rFonts w:ascii="Times New Roman" w:hAnsi="Times New Roman" w:eastAsia="等线" w:cs="Times New Roman"/>
      <w:sz w:val="18"/>
    </w:rPr>
  </w:style>
  <w:style w:type="character" w:customStyle="1" w:styleId="757">
    <w:name w:val="备注 Char"/>
    <w:link w:val="756"/>
    <w:qFormat/>
    <w:uiPriority w:val="0"/>
    <w:rPr>
      <w:rFonts w:eastAsia="等线"/>
      <w:b/>
      <w:bCs/>
      <w:sz w:val="18"/>
      <w:szCs w:val="24"/>
    </w:rPr>
  </w:style>
  <w:style w:type="paragraph" w:customStyle="1" w:styleId="758">
    <w:name w:val="环评图"/>
    <w:basedOn w:val="1"/>
    <w:qFormat/>
    <w:uiPriority w:val="99"/>
    <w:pPr>
      <w:widowControl/>
      <w:jc w:val="center"/>
    </w:pPr>
    <w:rPr>
      <w:rFonts w:eastAsia="等线"/>
      <w:kern w:val="0"/>
      <w:sz w:val="24"/>
      <w:szCs w:val="17"/>
    </w:rPr>
  </w:style>
  <w:style w:type="table" w:customStyle="1" w:styleId="759">
    <w:name w:val="表格虚线3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760">
    <w:name w:val="TOC 72"/>
    <w:basedOn w:val="1"/>
    <w:next w:val="1"/>
    <w:unhideWhenUsed/>
    <w:qFormat/>
    <w:uiPriority w:val="39"/>
    <w:pPr>
      <w:ind w:left="1260"/>
      <w:jc w:val="left"/>
    </w:pPr>
    <w:rPr>
      <w:rFonts w:ascii="等线" w:hAnsi="等线" w:eastAsia="等线"/>
      <w:sz w:val="18"/>
      <w:szCs w:val="18"/>
    </w:rPr>
  </w:style>
  <w:style w:type="paragraph" w:customStyle="1" w:styleId="761">
    <w:name w:val="TOC 52"/>
    <w:basedOn w:val="1"/>
    <w:next w:val="1"/>
    <w:unhideWhenUsed/>
    <w:qFormat/>
    <w:uiPriority w:val="39"/>
    <w:pPr>
      <w:ind w:left="840"/>
      <w:jc w:val="left"/>
    </w:pPr>
    <w:rPr>
      <w:rFonts w:ascii="等线" w:hAnsi="等线" w:eastAsia="等线"/>
      <w:sz w:val="18"/>
      <w:szCs w:val="18"/>
    </w:rPr>
  </w:style>
  <w:style w:type="paragraph" w:customStyle="1" w:styleId="762">
    <w:name w:val="TOC 32"/>
    <w:basedOn w:val="1"/>
    <w:next w:val="1"/>
    <w:unhideWhenUsed/>
    <w:qFormat/>
    <w:uiPriority w:val="39"/>
    <w:pPr>
      <w:ind w:left="420"/>
      <w:jc w:val="left"/>
    </w:pPr>
    <w:rPr>
      <w:rFonts w:ascii="等线" w:hAnsi="等线" w:eastAsia="等线"/>
      <w:i/>
      <w:iCs/>
      <w:sz w:val="20"/>
      <w:szCs w:val="20"/>
    </w:rPr>
  </w:style>
  <w:style w:type="paragraph" w:customStyle="1" w:styleId="763">
    <w:name w:val="TOC 82"/>
    <w:basedOn w:val="1"/>
    <w:next w:val="1"/>
    <w:unhideWhenUsed/>
    <w:qFormat/>
    <w:uiPriority w:val="39"/>
    <w:pPr>
      <w:ind w:left="1470"/>
      <w:jc w:val="left"/>
    </w:pPr>
    <w:rPr>
      <w:rFonts w:ascii="等线" w:hAnsi="等线" w:eastAsia="等线"/>
      <w:sz w:val="18"/>
      <w:szCs w:val="18"/>
    </w:rPr>
  </w:style>
  <w:style w:type="paragraph" w:customStyle="1" w:styleId="764">
    <w:name w:val="TOC 12"/>
    <w:basedOn w:val="1"/>
    <w:next w:val="1"/>
    <w:unhideWhenUsed/>
    <w:qFormat/>
    <w:uiPriority w:val="39"/>
    <w:pPr>
      <w:tabs>
        <w:tab w:val="left" w:pos="420"/>
        <w:tab w:val="right" w:leader="dot" w:pos="9016"/>
      </w:tabs>
      <w:spacing w:before="120"/>
      <w:jc w:val="left"/>
    </w:pPr>
    <w:rPr>
      <w:rFonts w:eastAsia="等线"/>
      <w:b/>
      <w:bCs/>
      <w:caps/>
      <w:sz w:val="28"/>
      <w:szCs w:val="28"/>
    </w:rPr>
  </w:style>
  <w:style w:type="paragraph" w:customStyle="1" w:styleId="765">
    <w:name w:val="TOC 42"/>
    <w:basedOn w:val="1"/>
    <w:next w:val="1"/>
    <w:unhideWhenUsed/>
    <w:qFormat/>
    <w:uiPriority w:val="39"/>
    <w:pPr>
      <w:ind w:left="630"/>
      <w:jc w:val="left"/>
    </w:pPr>
    <w:rPr>
      <w:rFonts w:ascii="等线" w:hAnsi="等线" w:eastAsia="等线"/>
      <w:sz w:val="18"/>
      <w:szCs w:val="18"/>
    </w:rPr>
  </w:style>
  <w:style w:type="paragraph" w:customStyle="1" w:styleId="766">
    <w:name w:val="TOC 62"/>
    <w:basedOn w:val="1"/>
    <w:next w:val="1"/>
    <w:unhideWhenUsed/>
    <w:qFormat/>
    <w:uiPriority w:val="39"/>
    <w:pPr>
      <w:ind w:left="1050"/>
      <w:jc w:val="left"/>
    </w:pPr>
    <w:rPr>
      <w:rFonts w:ascii="等线" w:hAnsi="等线" w:eastAsia="等线"/>
      <w:sz w:val="18"/>
      <w:szCs w:val="18"/>
    </w:rPr>
  </w:style>
  <w:style w:type="paragraph" w:customStyle="1" w:styleId="767">
    <w:name w:val="TOC 22"/>
    <w:basedOn w:val="1"/>
    <w:next w:val="1"/>
    <w:unhideWhenUsed/>
    <w:qFormat/>
    <w:uiPriority w:val="39"/>
    <w:pPr>
      <w:tabs>
        <w:tab w:val="right" w:leader="dot" w:pos="9016"/>
      </w:tabs>
      <w:adjustRightInd w:val="0"/>
      <w:snapToGrid w:val="0"/>
      <w:spacing w:line="400" w:lineRule="exact"/>
      <w:ind w:left="210"/>
      <w:jc w:val="left"/>
    </w:pPr>
    <w:rPr>
      <w:rFonts w:eastAsia="等线"/>
      <w:smallCaps/>
      <w:sz w:val="24"/>
    </w:rPr>
  </w:style>
  <w:style w:type="paragraph" w:customStyle="1" w:styleId="768">
    <w:name w:val="TOC 92"/>
    <w:basedOn w:val="1"/>
    <w:next w:val="1"/>
    <w:unhideWhenUsed/>
    <w:qFormat/>
    <w:uiPriority w:val="39"/>
    <w:pPr>
      <w:ind w:left="1680"/>
      <w:jc w:val="left"/>
    </w:pPr>
    <w:rPr>
      <w:rFonts w:ascii="等线" w:hAnsi="等线" w:eastAsia="等线"/>
      <w:sz w:val="18"/>
      <w:szCs w:val="18"/>
    </w:rPr>
  </w:style>
  <w:style w:type="table" w:customStyle="1" w:styleId="769">
    <w:name w:val="网格型14"/>
    <w:basedOn w:val="90"/>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eastAsia="Times"/>
        <w:b/>
        <w:sz w:val="21"/>
      </w:rPr>
      <w:tcPr>
        <w:tcBorders>
          <w:bottom w:val="nil"/>
        </w:tcBorders>
      </w:tcPr>
    </w:tblStylePr>
  </w:style>
  <w:style w:type="table" w:customStyle="1" w:styleId="770">
    <w:name w:val="Table Normal21"/>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771">
    <w:name w:val="表格虚线4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72">
    <w:name w:val="网格型21"/>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73">
    <w:name w:val="文本1"/>
    <w:basedOn w:val="1"/>
    <w:link w:val="774"/>
    <w:qFormat/>
    <w:uiPriority w:val="0"/>
    <w:pPr>
      <w:ind w:firstLine="397"/>
      <w:jc w:val="left"/>
    </w:pPr>
    <w:rPr>
      <w:rFonts w:ascii="宋体" w:hAnsi="宋体"/>
      <w:color w:val="000000"/>
      <w:sz w:val="28"/>
      <w:szCs w:val="22"/>
    </w:rPr>
  </w:style>
  <w:style w:type="character" w:customStyle="1" w:styleId="774">
    <w:name w:val="文本1 字符"/>
    <w:link w:val="773"/>
    <w:qFormat/>
    <w:uiPriority w:val="0"/>
    <w:rPr>
      <w:rFonts w:ascii="宋体" w:hAnsi="宋体"/>
      <w:color w:val="000000"/>
      <w:kern w:val="2"/>
      <w:sz w:val="28"/>
      <w:szCs w:val="22"/>
    </w:rPr>
  </w:style>
  <w:style w:type="table" w:customStyle="1" w:styleId="775">
    <w:name w:val="网格型3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76">
    <w:name w:val="表格虚线211"/>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77">
    <w:name w:val="表格虚线29"/>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78">
    <w:name w:val="表格虚线30"/>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79">
    <w:name w:val="表格虚线3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80">
    <w:name w:val="表格虚线3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81">
    <w:name w:val="表格虚线34"/>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82">
    <w:name w:val="表格虚线35"/>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83">
    <w:name w:val="网格型15"/>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4">
    <w:name w:val="网格型12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85">
    <w:name w:val="Table Normal6"/>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786">
    <w:name w:val="表格虚线11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87">
    <w:name w:val="表格虚线210"/>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88">
    <w:name w:val="网格型131"/>
    <w:basedOn w:val="90"/>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eastAsia="Times"/>
        <w:b/>
        <w:sz w:val="21"/>
      </w:rPr>
      <w:tcPr>
        <w:tcBorders>
          <w:bottom w:val="nil"/>
        </w:tcBorders>
      </w:tcPr>
    </w:tblStylePr>
  </w:style>
  <w:style w:type="table" w:customStyle="1" w:styleId="789">
    <w:name w:val="Table Normal12"/>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790">
    <w:name w:val="表格虚线36"/>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91">
    <w:name w:val="网格型141"/>
    <w:basedOn w:val="90"/>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eastAsia="Times"/>
        <w:b/>
        <w:sz w:val="21"/>
      </w:rPr>
      <w:tcPr>
        <w:tcBorders>
          <w:bottom w:val="nil"/>
        </w:tcBorders>
      </w:tcPr>
    </w:tblStylePr>
  </w:style>
  <w:style w:type="table" w:customStyle="1" w:styleId="792">
    <w:name w:val="Table Normal22"/>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793">
    <w:name w:val="表格虚线4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94">
    <w:name w:val="网格型22"/>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5">
    <w:name w:val="网格型3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96">
    <w:name w:val="表格虚线212"/>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97">
    <w:name w:val="表格虚线37"/>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798">
    <w:name w:val="网格型16"/>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799">
    <w:name w:val="网格型122"/>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00">
    <w:name w:val="Table Normal7"/>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801">
    <w:name w:val="表格虚线114"/>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02">
    <w:name w:val="表格虚线21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03">
    <w:name w:val="网格型132"/>
    <w:basedOn w:val="90"/>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eastAsia="Times"/>
        <w:b/>
        <w:sz w:val="21"/>
      </w:rPr>
      <w:tcPr>
        <w:tcBorders>
          <w:bottom w:val="nil"/>
        </w:tcBorders>
      </w:tcPr>
    </w:tblStylePr>
  </w:style>
  <w:style w:type="table" w:customStyle="1" w:styleId="804">
    <w:name w:val="Table Normal13"/>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805">
    <w:name w:val="表格虚线38"/>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06">
    <w:name w:val="网格型142"/>
    <w:basedOn w:val="90"/>
    <w:qFormat/>
    <w:uiPriority w:val="0"/>
    <w:pPr>
      <w:widowControl w:val="0"/>
      <w:adjustRightInd w:val="0"/>
      <w:snapToGrid w:val="0"/>
      <w:jc w:val="center"/>
    </w:pPr>
    <w:rPr>
      <w:rFonts w:eastAsia="仿宋_GB2312"/>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28" w:type="dxa"/>
        <w:right w:w="28" w:type="dxa"/>
      </w:tblCellMar>
    </w:tblPr>
    <w:trPr>
      <w:jc w:val="center"/>
    </w:trPr>
    <w:tcPr>
      <w:vAlign w:val="center"/>
    </w:tcPr>
    <w:tblStylePr w:type="firstRow">
      <w:pPr>
        <w:jc w:val="center"/>
      </w:pPr>
      <w:rPr>
        <w:rFonts w:ascii="Times New Roman" w:hAnsi="Times New Roman" w:eastAsia="Times"/>
        <w:b/>
        <w:sz w:val="21"/>
      </w:rPr>
      <w:tcPr>
        <w:tcBorders>
          <w:bottom w:val="nil"/>
        </w:tcBorders>
      </w:tcPr>
    </w:tblStylePr>
  </w:style>
  <w:style w:type="table" w:customStyle="1" w:styleId="807">
    <w:name w:val="Table Normal23"/>
    <w:semiHidden/>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table" w:customStyle="1" w:styleId="808">
    <w:name w:val="表格虚线4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09">
    <w:name w:val="网格型23"/>
    <w:basedOn w:val="9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810">
    <w:name w:val="网格型33"/>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1">
    <w:name w:val="表格虚线214"/>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2">
    <w:name w:val="表格虚线44"/>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3">
    <w:name w:val="表格虚线39"/>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4">
    <w:name w:val="表格虚线40"/>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5">
    <w:name w:val="表格虚线45"/>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6">
    <w:name w:val="表格虚线46"/>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7">
    <w:name w:val="表格虚线47"/>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18">
    <w:name w:val="表格虚线48"/>
    <w:basedOn w:val="90"/>
    <w:qFormat/>
    <w:uiPriority w:val="0"/>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paragraph" w:customStyle="1" w:styleId="819">
    <w:name w:val="Body text|2"/>
    <w:basedOn w:val="1"/>
    <w:qFormat/>
    <w:uiPriority w:val="0"/>
    <w:pPr>
      <w:spacing w:after="260"/>
      <w:ind w:firstLine="620"/>
    </w:pPr>
    <w:rPr>
      <w:rFonts w:ascii="宋体" w:hAnsi="宋体" w:cs="宋体"/>
      <w:sz w:val="30"/>
      <w:szCs w:val="30"/>
      <w:lang w:val="zh-TW" w:eastAsia="zh-TW" w:bidi="zh-TW"/>
    </w:rPr>
  </w:style>
  <w:style w:type="paragraph" w:customStyle="1" w:styleId="820">
    <w:name w:val="Other|1"/>
    <w:basedOn w:val="1"/>
    <w:qFormat/>
    <w:uiPriority w:val="0"/>
    <w:pPr>
      <w:spacing w:after="260" w:line="322" w:lineRule="auto"/>
      <w:ind w:firstLine="400"/>
    </w:pPr>
    <w:rPr>
      <w:rFonts w:ascii="宋体" w:hAnsi="宋体" w:cs="宋体"/>
      <w:sz w:val="26"/>
      <w:szCs w:val="26"/>
      <w:lang w:val="zh-TW" w:eastAsia="zh-TW" w:bidi="zh-TW"/>
    </w:rPr>
  </w:style>
  <w:style w:type="character" w:customStyle="1" w:styleId="821">
    <w:name w:val="font41"/>
    <w:qFormat/>
    <w:uiPriority w:val="0"/>
    <w:rPr>
      <w:rFonts w:hint="eastAsia" w:ascii="宋体" w:hAnsi="宋体" w:eastAsia="宋体" w:cs="宋体"/>
      <w:color w:val="000000"/>
      <w:sz w:val="21"/>
      <w:szCs w:val="21"/>
      <w:u w:val="none"/>
    </w:rPr>
  </w:style>
  <w:style w:type="paragraph" w:customStyle="1" w:styleId="822">
    <w:name w:val="00表文"/>
    <w:basedOn w:val="1"/>
    <w:qFormat/>
    <w:uiPriority w:val="0"/>
    <w:pPr>
      <w:adjustRightInd w:val="0"/>
      <w:snapToGrid w:val="0"/>
      <w:spacing w:line="0" w:lineRule="atLeast"/>
      <w:jc w:val="center"/>
    </w:pPr>
    <w:rPr>
      <w:color w:val="000000"/>
      <w:kern w:val="0"/>
      <w:szCs w:val="21"/>
    </w:rPr>
  </w:style>
  <w:style w:type="paragraph" w:customStyle="1" w:styleId="823">
    <w:name w:val="表格标题GH"/>
    <w:basedOn w:val="1"/>
    <w:qFormat/>
    <w:uiPriority w:val="0"/>
    <w:pPr>
      <w:adjustRightInd w:val="0"/>
      <w:snapToGrid w:val="0"/>
      <w:jc w:val="center"/>
    </w:pPr>
    <w:rPr>
      <w:b/>
      <w:kern w:val="0"/>
      <w:sz w:val="24"/>
      <w:szCs w:val="21"/>
    </w:rPr>
  </w:style>
  <w:style w:type="table" w:customStyle="1" w:styleId="824">
    <w:name w:val="表格样式2"/>
    <w:basedOn w:val="90"/>
    <w:qFormat/>
    <w:uiPriority w:val="39"/>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table" w:customStyle="1" w:styleId="825">
    <w:name w:val="表格样式3"/>
    <w:basedOn w:val="90"/>
    <w:qFormat/>
    <w:uiPriority w:val="39"/>
    <w:pPr>
      <w:widowControl w:val="0"/>
      <w:adjustRightInd w:val="0"/>
      <w:snapToGrid w:val="0"/>
      <w:jc w:val="center"/>
    </w:pPr>
    <w:rPr>
      <w:rFonts w:eastAsia="仿宋_GB231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28" w:type="dxa"/>
        <w:right w:w="28" w:type="dxa"/>
      </w:tblCellMar>
    </w:tblPr>
    <w:trPr>
      <w:jc w:val="center"/>
    </w:trPr>
    <w:tcPr>
      <w:vAlign w:val="center"/>
    </w:tcPr>
  </w:style>
  <w:style w:type="character" w:customStyle="1" w:styleId="826">
    <w:name w:val="正文文本首行缩进 2 字符"/>
    <w:link w:val="827"/>
    <w:qFormat/>
    <w:uiPriority w:val="99"/>
    <w:rPr>
      <w:rFonts w:ascii="等线" w:hAnsi="等线" w:eastAsia="等线"/>
      <w:kern w:val="2"/>
      <w:sz w:val="21"/>
      <w:szCs w:val="22"/>
      <w:lang w:val="zh-CN"/>
    </w:rPr>
  </w:style>
  <w:style w:type="paragraph" w:customStyle="1" w:styleId="827">
    <w:name w:val="2"/>
    <w:basedOn w:val="37"/>
    <w:next w:val="89"/>
    <w:link w:val="826"/>
    <w:unhideWhenUsed/>
    <w:qFormat/>
    <w:uiPriority w:val="99"/>
    <w:pPr>
      <w:ind w:firstLine="200" w:firstLineChars="200"/>
    </w:pPr>
    <w:rPr>
      <w:rFonts w:ascii="等线" w:hAnsi="等线" w:eastAsia="等线"/>
      <w:kern w:val="2"/>
      <w:sz w:val="21"/>
      <w:szCs w:val="22"/>
    </w:rPr>
  </w:style>
  <w:style w:type="character" w:customStyle="1" w:styleId="828">
    <w:name w:val="常用表头样式 Char"/>
    <w:link w:val="829"/>
    <w:qFormat/>
    <w:uiPriority w:val="0"/>
    <w:rPr>
      <w:rFonts w:ascii="黑体" w:hAnsi="黑体" w:eastAsia="仿宋"/>
      <w:b/>
      <w:bCs/>
      <w:kern w:val="28"/>
      <w:szCs w:val="28"/>
    </w:rPr>
  </w:style>
  <w:style w:type="paragraph" w:customStyle="1" w:styleId="829">
    <w:name w:val="常用表头样式"/>
    <w:link w:val="828"/>
    <w:qFormat/>
    <w:uiPriority w:val="0"/>
    <w:pPr>
      <w:tabs>
        <w:tab w:val="left" w:pos="2220"/>
        <w:tab w:val="center" w:pos="4156"/>
      </w:tabs>
      <w:overflowPunct w:val="0"/>
      <w:autoSpaceDE w:val="0"/>
      <w:autoSpaceDN w:val="0"/>
      <w:adjustRightInd w:val="0"/>
      <w:spacing w:line="360" w:lineRule="auto"/>
      <w:jc w:val="center"/>
      <w:textAlignment w:val="baseline"/>
    </w:pPr>
    <w:rPr>
      <w:rFonts w:ascii="黑体" w:hAnsi="黑体" w:eastAsia="仿宋" w:cs="Times New Roman"/>
      <w:b/>
      <w:bCs/>
      <w:kern w:val="28"/>
      <w:szCs w:val="28"/>
      <w:lang w:val="en-US" w:eastAsia="zh-CN" w:bidi="ar-SA"/>
    </w:rPr>
  </w:style>
  <w:style w:type="character" w:customStyle="1" w:styleId="830">
    <w:name w:val="正文文本首行缩进 2 字符1"/>
    <w:basedOn w:val="174"/>
    <w:link w:val="89"/>
    <w:qFormat/>
    <w:uiPriority w:val="99"/>
    <w:rPr>
      <w:rFonts w:ascii="Times New Roman" w:hAnsi="Times New Roman" w:eastAsia="仿宋"/>
      <w:kern w:val="2"/>
      <w:sz w:val="28"/>
      <w:szCs w:val="28"/>
    </w:rPr>
  </w:style>
  <w:style w:type="paragraph" w:customStyle="1" w:styleId="831">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832">
    <w:name w:val="列出段落2"/>
    <w:basedOn w:val="1"/>
    <w:qFormat/>
    <w:uiPriority w:val="99"/>
    <w:pPr>
      <w:ind w:firstLine="420" w:firstLineChars="200"/>
    </w:pPr>
    <w:rPr>
      <w:rFonts w:ascii="等线" w:hAnsi="等线" w:eastAsia="等线"/>
      <w:szCs w:val="22"/>
    </w:rPr>
  </w:style>
  <w:style w:type="paragraph" w:customStyle="1" w:styleId="833">
    <w:name w:val="表内字体"/>
    <w:basedOn w:val="1"/>
    <w:qFormat/>
    <w:uiPriority w:val="0"/>
    <w:pPr>
      <w:jc w:val="center"/>
    </w:pPr>
    <w:rPr>
      <w:rFonts w:eastAsia="仿宋_GB2312"/>
      <w:sz w:val="28"/>
      <w:szCs w:val="20"/>
    </w:rPr>
  </w:style>
  <w:style w:type="paragraph" w:customStyle="1" w:styleId="834">
    <w:name w:val="列出段落3"/>
    <w:basedOn w:val="1"/>
    <w:qFormat/>
    <w:uiPriority w:val="99"/>
    <w:pPr>
      <w:ind w:firstLine="420" w:firstLineChars="200"/>
    </w:pPr>
    <w:rPr>
      <w:rFonts w:ascii="等线" w:hAnsi="等线" w:eastAsia="等线"/>
      <w:szCs w:val="22"/>
    </w:rPr>
  </w:style>
  <w:style w:type="paragraph" w:customStyle="1" w:styleId="835">
    <w:name w:val="正文4"/>
    <w:qFormat/>
    <w:uiPriority w:val="0"/>
    <w:pPr>
      <w:jc w:val="both"/>
    </w:pPr>
    <w:rPr>
      <w:rFonts w:ascii="Times New Roman" w:hAnsi="Times New Roman" w:eastAsia="宋体" w:cs="Times New Roman"/>
      <w:kern w:val="2"/>
      <w:sz w:val="21"/>
      <w:szCs w:val="21"/>
      <w:lang w:val="en-US" w:eastAsia="zh-CN" w:bidi="ar-SA"/>
    </w:rPr>
  </w:style>
  <w:style w:type="paragraph" w:customStyle="1" w:styleId="836">
    <w:name w:val="列出段落4"/>
    <w:basedOn w:val="1"/>
    <w:qFormat/>
    <w:uiPriority w:val="99"/>
    <w:pPr>
      <w:ind w:firstLine="420" w:firstLineChars="200"/>
    </w:pPr>
    <w:rPr>
      <w:rFonts w:ascii="等线" w:hAnsi="等线" w:eastAsia="等线"/>
      <w:szCs w:val="22"/>
    </w:rPr>
  </w:style>
  <w:style w:type="paragraph" w:customStyle="1" w:styleId="837">
    <w:name w:val="1"/>
    <w:basedOn w:val="37"/>
    <w:next w:val="89"/>
    <w:unhideWhenUsed/>
    <w:qFormat/>
    <w:uiPriority w:val="99"/>
    <w:pPr>
      <w:ind w:firstLine="200" w:firstLineChars="200"/>
    </w:pPr>
    <w:rPr>
      <w:rFonts w:ascii="等线" w:hAnsi="等线" w:eastAsia="等线"/>
      <w:kern w:val="2"/>
      <w:sz w:val="21"/>
      <w:szCs w:val="22"/>
      <w:lang w:val="en-US"/>
    </w:rPr>
  </w:style>
  <w:style w:type="paragraph" w:customStyle="1" w:styleId="838">
    <w:name w:val="样式 列表 + 左侧:  0 厘米 悬挂缩进: 2 字符"/>
    <w:basedOn w:val="67"/>
    <w:qFormat/>
    <w:uiPriority w:val="0"/>
    <w:pPr>
      <w:adjustRightInd w:val="0"/>
      <w:snapToGrid w:val="0"/>
      <w:spacing w:line="240" w:lineRule="auto"/>
      <w:ind w:firstLine="0" w:firstLineChars="0"/>
    </w:pPr>
    <w:rPr>
      <w:rFonts w:ascii="仿宋_GB2312" w:hAnsi="Times New Roman" w:eastAsia="仿宋_GB2312"/>
      <w:color w:val="000000"/>
      <w:sz w:val="21"/>
      <w:szCs w:val="21"/>
    </w:rPr>
  </w:style>
  <w:style w:type="character" w:customStyle="1" w:styleId="839">
    <w:name w:val="正文 文本 Char Char"/>
    <w:link w:val="316"/>
    <w:qFormat/>
    <w:uiPriority w:val="0"/>
    <w:rPr>
      <w:rFonts w:eastAsia="仿宋_GB2312" w:asciiTheme="minorHAnsi" w:hAnsiTheme="minorHAnsi" w:cstheme="minorBidi"/>
      <w:kern w:val="2"/>
      <w:sz w:val="28"/>
      <w:szCs w:val="24"/>
    </w:rPr>
  </w:style>
  <w:style w:type="character" w:customStyle="1" w:styleId="840">
    <w:name w:val="text_jpgzj"/>
    <w:basedOn w:val="135"/>
    <w:qFormat/>
    <w:uiPriority w:val="0"/>
  </w:style>
  <w:style w:type="character" w:customStyle="1" w:styleId="841">
    <w:name w:val="宏文本 字符"/>
    <w:basedOn w:val="135"/>
    <w:link w:val="2"/>
    <w:qFormat/>
    <w:uiPriority w:val="99"/>
    <w:rPr>
      <w:rFonts w:ascii="Courier New" w:hAnsi="Courier New" w:cs="Courier New"/>
      <w:kern w:val="2"/>
      <w:sz w:val="24"/>
      <w:szCs w:val="24"/>
    </w:rPr>
  </w:style>
  <w:style w:type="paragraph" w:customStyle="1" w:styleId="842">
    <w:name w:val="船舶1级 样式 三号 加粗 行距: 1.5 倍行距"/>
    <w:basedOn w:val="1"/>
    <w:qFormat/>
    <w:uiPriority w:val="0"/>
    <w:pPr>
      <w:widowControl/>
      <w:numPr>
        <w:ilvl w:val="0"/>
        <w:numId w:val="5"/>
      </w:numPr>
      <w:spacing w:line="360" w:lineRule="auto"/>
      <w:jc w:val="left"/>
      <w:outlineLvl w:val="0"/>
    </w:pPr>
    <w:rPr>
      <w:rFonts w:cs="宋体"/>
      <w:b/>
      <w:bCs/>
      <w:sz w:val="32"/>
      <w:szCs w:val="20"/>
    </w:rPr>
  </w:style>
  <w:style w:type="paragraph" w:customStyle="1" w:styleId="843">
    <w:name w:val="船舶2 级 样式 小三 加粗 段前: 7.8 磅 行距: 1.5 倍行距"/>
    <w:basedOn w:val="1"/>
    <w:qFormat/>
    <w:uiPriority w:val="0"/>
    <w:pPr>
      <w:widowControl/>
      <w:numPr>
        <w:ilvl w:val="1"/>
        <w:numId w:val="5"/>
      </w:numPr>
      <w:spacing w:line="360" w:lineRule="auto"/>
      <w:jc w:val="left"/>
      <w:outlineLvl w:val="1"/>
    </w:pPr>
    <w:rPr>
      <w:rFonts w:cs="宋体"/>
      <w:b/>
      <w:bCs/>
      <w:sz w:val="30"/>
      <w:szCs w:val="20"/>
    </w:rPr>
  </w:style>
  <w:style w:type="character" w:customStyle="1" w:styleId="844">
    <w:name w:val="注释标题 字符"/>
    <w:basedOn w:val="135"/>
    <w:link w:val="18"/>
    <w:qFormat/>
    <w:uiPriority w:val="0"/>
    <w:rPr>
      <w:rFonts w:ascii="Calibri" w:hAnsi="Calibri" w:cs="Calibri"/>
      <w:sz w:val="18"/>
      <w:szCs w:val="24"/>
    </w:rPr>
  </w:style>
  <w:style w:type="character" w:customStyle="1" w:styleId="845">
    <w:name w:val="电子邮件签名 字符"/>
    <w:basedOn w:val="135"/>
    <w:link w:val="21"/>
    <w:qFormat/>
    <w:uiPriority w:val="0"/>
    <w:rPr>
      <w:rFonts w:ascii="Arial" w:hAnsi="Arial" w:eastAsia="仿宋_GB2312" w:cs="Calibri"/>
      <w:sz w:val="24"/>
    </w:rPr>
  </w:style>
  <w:style w:type="character" w:customStyle="1" w:styleId="846">
    <w:name w:val="称呼 字符"/>
    <w:basedOn w:val="135"/>
    <w:link w:val="32"/>
    <w:qFormat/>
    <w:uiPriority w:val="0"/>
    <w:rPr>
      <w:rFonts w:ascii="Arial" w:hAnsi="Arial" w:eastAsia="仿宋_GB2312" w:cs="Calibri"/>
      <w:sz w:val="24"/>
    </w:rPr>
  </w:style>
  <w:style w:type="character" w:customStyle="1" w:styleId="847">
    <w:name w:val="结束语 字符"/>
    <w:basedOn w:val="135"/>
    <w:link w:val="34"/>
    <w:qFormat/>
    <w:uiPriority w:val="0"/>
    <w:rPr>
      <w:rFonts w:ascii="Arial" w:hAnsi="Arial" w:eastAsia="仿宋_GB2312" w:cs="Calibri"/>
      <w:sz w:val="24"/>
    </w:rPr>
  </w:style>
  <w:style w:type="character" w:customStyle="1" w:styleId="848">
    <w:name w:val="尾注文本 字符"/>
    <w:basedOn w:val="135"/>
    <w:link w:val="54"/>
    <w:qFormat/>
    <w:uiPriority w:val="99"/>
    <w:rPr>
      <w:rFonts w:ascii="仿宋_GB2312" w:hAnsi="Calibri" w:eastAsia="仿宋_GB2312" w:cs="Calibri"/>
      <w:kern w:val="2"/>
      <w:sz w:val="28"/>
      <w:szCs w:val="24"/>
    </w:rPr>
  </w:style>
  <w:style w:type="character" w:customStyle="1" w:styleId="849">
    <w:name w:val="脚注文本 字符"/>
    <w:basedOn w:val="135"/>
    <w:link w:val="68"/>
    <w:qFormat/>
    <w:uiPriority w:val="0"/>
    <w:rPr>
      <w:rFonts w:ascii="Arial" w:hAnsi="Arial" w:eastAsia="仿宋_GB2312" w:cs="Calibri"/>
      <w:sz w:val="18"/>
      <w:szCs w:val="18"/>
    </w:rPr>
  </w:style>
  <w:style w:type="character" w:customStyle="1" w:styleId="850">
    <w:name w:val="信息标题 字符"/>
    <w:basedOn w:val="135"/>
    <w:link w:val="80"/>
    <w:qFormat/>
    <w:uiPriority w:val="0"/>
    <w:rPr>
      <w:rFonts w:ascii="Arial" w:hAnsi="Arial" w:eastAsia="仿宋_GB2312" w:cs="Calibri"/>
      <w:sz w:val="24"/>
      <w:shd w:val="pct20" w:color="auto" w:fill="auto"/>
    </w:rPr>
  </w:style>
  <w:style w:type="character" w:customStyle="1" w:styleId="851">
    <w:name w:val="标题 1 字符2"/>
    <w:qFormat/>
    <w:uiPriority w:val="9"/>
    <w:rPr>
      <w:rFonts w:ascii="Times New Roman" w:hAnsi="Times New Roman" w:cs="宋体"/>
      <w:kern w:val="44"/>
      <w:sz w:val="44"/>
      <w:szCs w:val="44"/>
    </w:rPr>
  </w:style>
  <w:style w:type="character" w:customStyle="1" w:styleId="852">
    <w:name w:val="标题 2 字符2"/>
    <w:qFormat/>
    <w:uiPriority w:val="0"/>
    <w:rPr>
      <w:rFonts w:ascii="Arial" w:hAnsi="Arial" w:eastAsia="黑体" w:cs="宋体"/>
      <w:sz w:val="32"/>
      <w:szCs w:val="32"/>
    </w:rPr>
  </w:style>
  <w:style w:type="character" w:customStyle="1" w:styleId="853">
    <w:name w:val="标题 4 字符2"/>
    <w:qFormat/>
    <w:uiPriority w:val="9"/>
    <w:rPr>
      <w:rFonts w:ascii="Times New Roman" w:hAnsi="Times New Roman"/>
      <w:b/>
      <w:sz w:val="24"/>
      <w:szCs w:val="28"/>
    </w:rPr>
  </w:style>
  <w:style w:type="character" w:customStyle="1" w:styleId="854">
    <w:name w:val="正文缩进 字符2"/>
    <w:qFormat/>
    <w:uiPriority w:val="0"/>
    <w:rPr>
      <w:rFonts w:ascii="Times New Roman" w:hAnsi="Times New Roman" w:eastAsia="宋体" w:cs="Times New Roman"/>
      <w:szCs w:val="20"/>
    </w:rPr>
  </w:style>
  <w:style w:type="character" w:customStyle="1" w:styleId="855">
    <w:name w:val="文档结构图 字符2"/>
    <w:semiHidden/>
    <w:qFormat/>
    <w:uiPriority w:val="0"/>
    <w:rPr>
      <w:rFonts w:ascii="Times New Roman" w:hAnsi="Times New Roman" w:eastAsia="宋体" w:cs="Times New Roman"/>
      <w:szCs w:val="20"/>
      <w:shd w:val="clear" w:color="auto" w:fill="000080"/>
    </w:rPr>
  </w:style>
  <w:style w:type="character" w:customStyle="1" w:styleId="856">
    <w:name w:val="引文目录标题 字符"/>
    <w:link w:val="29"/>
    <w:qFormat/>
    <w:uiPriority w:val="0"/>
    <w:rPr>
      <w:rFonts w:ascii="Arial" w:hAnsi="Arial" w:cs="Arial"/>
      <w:kern w:val="2"/>
      <w:sz w:val="24"/>
      <w:szCs w:val="24"/>
    </w:rPr>
  </w:style>
  <w:style w:type="character" w:customStyle="1" w:styleId="857">
    <w:name w:val="批注文字 字符2"/>
    <w:qFormat/>
    <w:uiPriority w:val="0"/>
    <w:rPr>
      <w:rFonts w:ascii="Times New Roman" w:hAnsi="Times New Roman" w:eastAsia="宋体" w:cs="Times New Roman"/>
      <w:szCs w:val="20"/>
    </w:rPr>
  </w:style>
  <w:style w:type="character" w:customStyle="1" w:styleId="858">
    <w:name w:val="正文文本 3 字符2"/>
    <w:qFormat/>
    <w:uiPriority w:val="0"/>
    <w:rPr>
      <w:rFonts w:ascii="Times New Roman" w:hAnsi="Times New Roman"/>
      <w:kern w:val="2"/>
      <w:sz w:val="16"/>
      <w:szCs w:val="16"/>
    </w:rPr>
  </w:style>
  <w:style w:type="character" w:customStyle="1" w:styleId="859">
    <w:name w:val="正文文本 字符2"/>
    <w:qFormat/>
    <w:uiPriority w:val="0"/>
    <w:rPr>
      <w:rFonts w:ascii="Times New Roman" w:hAnsi="Times New Roman" w:eastAsia="宋体" w:cs="Times New Roman"/>
      <w:szCs w:val="20"/>
    </w:rPr>
  </w:style>
  <w:style w:type="character" w:customStyle="1" w:styleId="860">
    <w:name w:val="正文文本缩进 字符2"/>
    <w:qFormat/>
    <w:uiPriority w:val="0"/>
    <w:rPr>
      <w:rFonts w:ascii="Times New Roman" w:hAnsi="Times New Roman" w:eastAsia="宋体" w:cs="Times New Roman"/>
      <w:szCs w:val="20"/>
    </w:rPr>
  </w:style>
  <w:style w:type="character" w:customStyle="1" w:styleId="861">
    <w:name w:val="纯文本 字符2"/>
    <w:qFormat/>
    <w:uiPriority w:val="0"/>
    <w:rPr>
      <w:rFonts w:ascii="宋体" w:hAnsi="Courier New" w:eastAsia="宋体" w:cs="Courier New"/>
      <w:szCs w:val="21"/>
    </w:rPr>
  </w:style>
  <w:style w:type="character" w:customStyle="1" w:styleId="862">
    <w:name w:val="正文文本缩进 2 字符2"/>
    <w:qFormat/>
    <w:uiPriority w:val="99"/>
    <w:rPr>
      <w:rFonts w:ascii="宋体" w:hAnsi="宋体" w:eastAsia="宋体" w:cs="Times New Roman"/>
      <w:spacing w:val="4"/>
      <w:sz w:val="24"/>
      <w:szCs w:val="20"/>
    </w:rPr>
  </w:style>
  <w:style w:type="character" w:customStyle="1" w:styleId="863">
    <w:name w:val="批注框文本 字符2"/>
    <w:semiHidden/>
    <w:qFormat/>
    <w:uiPriority w:val="0"/>
    <w:rPr>
      <w:rFonts w:ascii="Times New Roman" w:hAnsi="Times New Roman" w:eastAsia="宋体" w:cs="Times New Roman"/>
      <w:sz w:val="18"/>
      <w:szCs w:val="18"/>
    </w:rPr>
  </w:style>
  <w:style w:type="character" w:customStyle="1" w:styleId="864">
    <w:name w:val="页脚 字符2"/>
    <w:qFormat/>
    <w:uiPriority w:val="0"/>
    <w:rPr>
      <w:rFonts w:ascii="Times New Roman" w:hAnsi="Times New Roman" w:eastAsia="宋体" w:cs="Times New Roman"/>
      <w:sz w:val="18"/>
      <w:szCs w:val="18"/>
    </w:rPr>
  </w:style>
  <w:style w:type="character" w:customStyle="1" w:styleId="865">
    <w:name w:val="页眉 字符2"/>
    <w:qFormat/>
    <w:uiPriority w:val="0"/>
    <w:rPr>
      <w:rFonts w:ascii="Times New Roman" w:hAnsi="Times New Roman" w:eastAsia="宋体" w:cs="Times New Roman"/>
      <w:sz w:val="18"/>
      <w:szCs w:val="18"/>
    </w:rPr>
  </w:style>
  <w:style w:type="character" w:customStyle="1" w:styleId="866">
    <w:name w:val="TOC 1 字符"/>
    <w:link w:val="60"/>
    <w:qFormat/>
    <w:uiPriority w:val="39"/>
    <w:rPr>
      <w:rFonts w:ascii="宋体" w:hAnsi="宋体" w:cs="宋体"/>
      <w:b/>
      <w:sz w:val="24"/>
      <w:szCs w:val="24"/>
    </w:rPr>
  </w:style>
  <w:style w:type="character" w:customStyle="1" w:styleId="867">
    <w:name w:val="副标题 字符1"/>
    <w:qFormat/>
    <w:uiPriority w:val="0"/>
    <w:rPr>
      <w:rFonts w:ascii="Times New Roman" w:hAnsi="Times New Roman"/>
      <w:b/>
      <w:bCs/>
      <w:kern w:val="28"/>
      <w:sz w:val="24"/>
      <w:szCs w:val="32"/>
    </w:rPr>
  </w:style>
  <w:style w:type="character" w:customStyle="1" w:styleId="868">
    <w:name w:val="正文文本缩进 3 字符2"/>
    <w:qFormat/>
    <w:uiPriority w:val="0"/>
    <w:rPr>
      <w:rFonts w:ascii="Times New Roman" w:hAnsi="Times New Roman" w:eastAsia="宋体" w:cs="Times New Roman"/>
      <w:sz w:val="16"/>
      <w:szCs w:val="16"/>
    </w:rPr>
  </w:style>
  <w:style w:type="character" w:customStyle="1" w:styleId="869">
    <w:name w:val="正文文本 2 字符2"/>
    <w:qFormat/>
    <w:uiPriority w:val="0"/>
    <w:rPr>
      <w:rFonts w:ascii="Times New Roman" w:hAnsi="Times New Roman" w:eastAsia="宋体" w:cs="Times New Roman"/>
      <w:szCs w:val="20"/>
    </w:rPr>
  </w:style>
  <w:style w:type="character" w:customStyle="1" w:styleId="870">
    <w:name w:val="HTML 预设格式 字符2"/>
    <w:qFormat/>
    <w:uiPriority w:val="0"/>
    <w:rPr>
      <w:rFonts w:ascii="宋体" w:hAnsi="宋体" w:cs="宋体"/>
      <w:sz w:val="24"/>
      <w:szCs w:val="24"/>
    </w:rPr>
  </w:style>
  <w:style w:type="character" w:customStyle="1" w:styleId="871">
    <w:name w:val="批注主题 字符2"/>
    <w:semiHidden/>
    <w:qFormat/>
    <w:uiPriority w:val="0"/>
    <w:rPr>
      <w:rFonts w:ascii="Times New Roman" w:hAnsi="Times New Roman" w:eastAsia="宋体" w:cs="Times New Roman"/>
      <w:b/>
      <w:bCs/>
      <w:szCs w:val="20"/>
    </w:rPr>
  </w:style>
  <w:style w:type="character" w:customStyle="1" w:styleId="872">
    <w:name w:val="正文文本首行缩进 字符2"/>
    <w:qFormat/>
    <w:uiPriority w:val="0"/>
    <w:rPr>
      <w:rFonts w:ascii="Times New Roman" w:hAnsi="Times New Roman" w:eastAsia="宋体" w:cs="Times New Roman"/>
      <w:szCs w:val="20"/>
    </w:rPr>
  </w:style>
  <w:style w:type="character" w:customStyle="1" w:styleId="873">
    <w:name w:val="正文文本首行缩进 2 字符2"/>
    <w:qFormat/>
    <w:uiPriority w:val="0"/>
    <w:rPr>
      <w:rFonts w:ascii="Times New Roman" w:hAnsi="Times New Roman" w:eastAsia="宋体" w:cs="Times New Roman"/>
      <w:szCs w:val="20"/>
    </w:rPr>
  </w:style>
  <w:style w:type="character" w:customStyle="1" w:styleId="874">
    <w:name w:val="font471"/>
    <w:qFormat/>
    <w:uiPriority w:val="0"/>
    <w:rPr>
      <w:rFonts w:hint="eastAsia" w:ascii="宋体" w:hAnsi="宋体" w:eastAsia="宋体"/>
      <w:color w:val="000000"/>
      <w:sz w:val="22"/>
      <w:szCs w:val="22"/>
      <w:u w:val="none"/>
    </w:rPr>
  </w:style>
  <w:style w:type="character" w:customStyle="1" w:styleId="875">
    <w:name w:val="兴武正文 Char Char"/>
    <w:link w:val="876"/>
    <w:qFormat/>
    <w:uiPriority w:val="0"/>
    <w:rPr>
      <w:rFonts w:cs="宋体"/>
      <w:sz w:val="24"/>
    </w:rPr>
  </w:style>
  <w:style w:type="paragraph" w:customStyle="1" w:styleId="876">
    <w:name w:val="兴武正文"/>
    <w:basedOn w:val="1"/>
    <w:link w:val="875"/>
    <w:qFormat/>
    <w:uiPriority w:val="0"/>
    <w:pPr>
      <w:spacing w:line="480" w:lineRule="exact"/>
      <w:ind w:firstLine="200" w:firstLineChars="200"/>
    </w:pPr>
    <w:rPr>
      <w:rFonts w:cs="宋体"/>
      <w:kern w:val="0"/>
      <w:sz w:val="24"/>
      <w:szCs w:val="20"/>
    </w:rPr>
  </w:style>
  <w:style w:type="character" w:customStyle="1" w:styleId="877">
    <w:name w:val="表格、图表名称 Char"/>
    <w:link w:val="878"/>
    <w:qFormat/>
    <w:uiPriority w:val="0"/>
    <w:rPr>
      <w:b/>
      <w:kern w:val="2"/>
      <w:sz w:val="24"/>
      <w:szCs w:val="22"/>
    </w:rPr>
  </w:style>
  <w:style w:type="paragraph" w:customStyle="1" w:styleId="878">
    <w:name w:val="表格、图表名称"/>
    <w:basedOn w:val="1"/>
    <w:link w:val="877"/>
    <w:qFormat/>
    <w:uiPriority w:val="0"/>
    <w:pPr>
      <w:spacing w:line="360" w:lineRule="auto"/>
      <w:jc w:val="center"/>
    </w:pPr>
    <w:rPr>
      <w:b/>
      <w:sz w:val="24"/>
      <w:szCs w:val="22"/>
    </w:rPr>
  </w:style>
  <w:style w:type="character" w:customStyle="1" w:styleId="879">
    <w:name w:val="文本 Char"/>
    <w:link w:val="685"/>
    <w:qFormat/>
    <w:uiPriority w:val="0"/>
    <w:rPr>
      <w:rFonts w:cs="宋体"/>
      <w:color w:val="000000"/>
      <w:sz w:val="24"/>
      <w:szCs w:val="28"/>
    </w:rPr>
  </w:style>
  <w:style w:type="character" w:customStyle="1" w:styleId="880">
    <w:name w:val="1正文 Char"/>
    <w:link w:val="881"/>
    <w:qFormat/>
    <w:uiPriority w:val="0"/>
    <w:rPr>
      <w:sz w:val="24"/>
    </w:rPr>
  </w:style>
  <w:style w:type="paragraph" w:customStyle="1" w:styleId="881">
    <w:name w:val="1正文"/>
    <w:basedOn w:val="1"/>
    <w:link w:val="880"/>
    <w:qFormat/>
    <w:uiPriority w:val="0"/>
    <w:pPr>
      <w:spacing w:line="360" w:lineRule="auto"/>
      <w:ind w:firstLine="480" w:firstLineChars="200"/>
      <w:jc w:val="left"/>
    </w:pPr>
    <w:rPr>
      <w:kern w:val="0"/>
      <w:sz w:val="24"/>
      <w:szCs w:val="20"/>
    </w:rPr>
  </w:style>
  <w:style w:type="character" w:customStyle="1" w:styleId="882">
    <w:name w:val="表内容 Char"/>
    <w:link w:val="883"/>
    <w:qFormat/>
    <w:uiPriority w:val="0"/>
    <w:rPr>
      <w:rFonts w:ascii="宋体" w:hAnsi="宋体" w:cs="宋体"/>
      <w:sz w:val="18"/>
    </w:rPr>
  </w:style>
  <w:style w:type="paragraph" w:customStyle="1" w:styleId="883">
    <w:name w:val="表内容"/>
    <w:basedOn w:val="1"/>
    <w:link w:val="882"/>
    <w:qFormat/>
    <w:uiPriority w:val="0"/>
    <w:pPr>
      <w:widowControl/>
      <w:jc w:val="center"/>
    </w:pPr>
    <w:rPr>
      <w:rFonts w:ascii="宋体" w:hAnsi="宋体" w:cs="宋体"/>
      <w:kern w:val="0"/>
      <w:sz w:val="18"/>
      <w:szCs w:val="20"/>
    </w:rPr>
  </w:style>
  <w:style w:type="character" w:customStyle="1" w:styleId="884">
    <w:name w:val="fontstyle01"/>
    <w:qFormat/>
    <w:uiPriority w:val="0"/>
    <w:rPr>
      <w:rFonts w:hint="eastAsia" w:ascii="宋体" w:hAnsi="宋体" w:eastAsia="宋体"/>
      <w:color w:val="000000"/>
      <w:sz w:val="22"/>
      <w:szCs w:val="22"/>
    </w:rPr>
  </w:style>
  <w:style w:type="character" w:customStyle="1" w:styleId="885">
    <w:name w:val="hhcwt正文 Char"/>
    <w:link w:val="886"/>
    <w:qFormat/>
    <w:uiPriority w:val="0"/>
    <w:rPr>
      <w:rFonts w:eastAsia="Courier New" w:cs="Courier New"/>
      <w:sz w:val="24"/>
    </w:rPr>
  </w:style>
  <w:style w:type="paragraph" w:customStyle="1" w:styleId="886">
    <w:name w:val="hhcwt正文"/>
    <w:basedOn w:val="1"/>
    <w:link w:val="885"/>
    <w:qFormat/>
    <w:uiPriority w:val="0"/>
    <w:pPr>
      <w:widowControl/>
      <w:spacing w:line="360" w:lineRule="auto"/>
      <w:ind w:firstLine="480" w:firstLineChars="200"/>
      <w:jc w:val="left"/>
    </w:pPr>
    <w:rPr>
      <w:rFonts w:eastAsia="Courier New" w:cs="Courier New"/>
      <w:kern w:val="0"/>
      <w:sz w:val="24"/>
      <w:szCs w:val="20"/>
    </w:rPr>
  </w:style>
  <w:style w:type="character" w:customStyle="1" w:styleId="887">
    <w:name w:val="报告正文1 Char Char"/>
    <w:link w:val="888"/>
    <w:qFormat/>
    <w:uiPriority w:val="0"/>
    <w:rPr>
      <w:color w:val="000000"/>
      <w:sz w:val="24"/>
      <w:szCs w:val="24"/>
    </w:rPr>
  </w:style>
  <w:style w:type="paragraph" w:customStyle="1" w:styleId="888">
    <w:name w:val="报告正文1"/>
    <w:basedOn w:val="89"/>
    <w:link w:val="887"/>
    <w:qFormat/>
    <w:uiPriority w:val="0"/>
    <w:pPr>
      <w:adjustRightInd/>
      <w:snapToGrid/>
      <w:spacing w:after="0" w:line="360" w:lineRule="auto"/>
      <w:ind w:left="0" w:leftChars="0" w:firstLine="200"/>
    </w:pPr>
    <w:rPr>
      <w:rFonts w:eastAsia="宋体"/>
      <w:color w:val="000000"/>
      <w:kern w:val="0"/>
      <w:sz w:val="24"/>
      <w:szCs w:val="24"/>
    </w:rPr>
  </w:style>
  <w:style w:type="character" w:customStyle="1" w:styleId="889">
    <w:name w:val="表文字 Char"/>
    <w:link w:val="287"/>
    <w:qFormat/>
    <w:uiPriority w:val="0"/>
    <w:rPr>
      <w:sz w:val="24"/>
      <w:szCs w:val="21"/>
    </w:rPr>
  </w:style>
  <w:style w:type="character" w:customStyle="1" w:styleId="890">
    <w:name w:val="Char Char4"/>
    <w:link w:val="321"/>
    <w:qFormat/>
    <w:uiPriority w:val="0"/>
    <w:rPr>
      <w:sz w:val="24"/>
      <w:szCs w:val="24"/>
      <w:lang w:eastAsia="en-US" w:bidi="en-US"/>
    </w:rPr>
  </w:style>
  <w:style w:type="character" w:customStyle="1" w:styleId="891">
    <w:name w:val="文本 Char Char"/>
    <w:qFormat/>
    <w:uiPriority w:val="0"/>
    <w:rPr>
      <w:kern w:val="2"/>
      <w:sz w:val="24"/>
      <w:szCs w:val="24"/>
    </w:rPr>
  </w:style>
  <w:style w:type="character" w:customStyle="1" w:styleId="892">
    <w:name w:val="5文章(治) Char"/>
    <w:link w:val="893"/>
    <w:qFormat/>
    <w:uiPriority w:val="0"/>
    <w:rPr>
      <w:rFonts w:ascii="仿宋_GB2312" w:eastAsia="仿宋_GB2312"/>
      <w:bCs/>
      <w:color w:val="0000FF"/>
      <w:sz w:val="28"/>
      <w:szCs w:val="28"/>
    </w:rPr>
  </w:style>
  <w:style w:type="paragraph" w:customStyle="1" w:styleId="893">
    <w:name w:val="5文章(治)"/>
    <w:basedOn w:val="1"/>
    <w:link w:val="892"/>
    <w:qFormat/>
    <w:uiPriority w:val="0"/>
    <w:pPr>
      <w:adjustRightInd w:val="0"/>
      <w:snapToGrid w:val="0"/>
      <w:spacing w:line="324" w:lineRule="auto"/>
      <w:ind w:firstLine="560" w:firstLineChars="200"/>
    </w:pPr>
    <w:rPr>
      <w:rFonts w:ascii="仿宋_GB2312" w:eastAsia="仿宋_GB2312"/>
      <w:bCs/>
      <w:color w:val="0000FF"/>
      <w:kern w:val="0"/>
      <w:sz w:val="28"/>
      <w:szCs w:val="28"/>
      <w:shd w:val="clear" w:color="auto" w:fill="FFFFFF"/>
    </w:rPr>
  </w:style>
  <w:style w:type="paragraph" w:customStyle="1" w:styleId="894">
    <w:name w:val="正文25"/>
    <w:qFormat/>
    <w:uiPriority w:val="0"/>
    <w:pPr>
      <w:tabs>
        <w:tab w:val="right" w:pos="1474"/>
      </w:tabs>
      <w:spacing w:line="360" w:lineRule="auto"/>
    </w:pPr>
    <w:rPr>
      <w:rFonts w:ascii="Calibri" w:hAnsi="Calibri" w:eastAsia="Courier New" w:cs="Times New Roman"/>
      <w:bCs/>
      <w:kern w:val="2"/>
      <w:sz w:val="24"/>
      <w:szCs w:val="44"/>
      <w:lang w:val="en-US" w:eastAsia="zh-CN" w:bidi="ar-SA"/>
    </w:rPr>
  </w:style>
  <w:style w:type="character" w:customStyle="1" w:styleId="895">
    <w:name w:val="表格内容 Char Char"/>
    <w:qFormat/>
    <w:uiPriority w:val="0"/>
    <w:rPr>
      <w:rFonts w:eastAsia="宋体" w:cs="宋体"/>
      <w:kern w:val="2"/>
      <w:sz w:val="21"/>
      <w:lang w:val="en-US" w:eastAsia="zh-CN" w:bidi="ar-SA"/>
    </w:rPr>
  </w:style>
  <w:style w:type="character" w:customStyle="1" w:styleId="896">
    <w:name w:val="标题 4 Char"/>
    <w:semiHidden/>
    <w:qFormat/>
    <w:uiPriority w:val="0"/>
    <w:rPr>
      <w:rFonts w:ascii="Cambria" w:hAnsi="Cambria" w:eastAsia="宋体" w:cs="Times New Roman"/>
      <w:b/>
      <w:bCs/>
      <w:sz w:val="28"/>
      <w:szCs w:val="28"/>
    </w:rPr>
  </w:style>
  <w:style w:type="character" w:customStyle="1" w:styleId="897">
    <w:name w:val="Char Char3"/>
    <w:link w:val="484"/>
    <w:qFormat/>
    <w:uiPriority w:val="99"/>
    <w:rPr>
      <w:rFonts w:ascii="宋体" w:hAnsi="宋体" w:cs="宋体"/>
      <w:sz w:val="24"/>
      <w:szCs w:val="24"/>
    </w:rPr>
  </w:style>
  <w:style w:type="character" w:customStyle="1" w:styleId="898">
    <w:name w:val="公式 Char"/>
    <w:link w:val="899"/>
    <w:qFormat/>
    <w:locked/>
    <w:uiPriority w:val="0"/>
    <w:rPr>
      <w:sz w:val="24"/>
    </w:rPr>
  </w:style>
  <w:style w:type="paragraph" w:customStyle="1" w:styleId="899">
    <w:name w:val="公式"/>
    <w:basedOn w:val="1"/>
    <w:link w:val="898"/>
    <w:qFormat/>
    <w:uiPriority w:val="0"/>
    <w:pPr>
      <w:widowControl/>
      <w:spacing w:before="60" w:line="360" w:lineRule="auto"/>
      <w:jc w:val="center"/>
    </w:pPr>
    <w:rPr>
      <w:kern w:val="0"/>
      <w:sz w:val="24"/>
      <w:szCs w:val="20"/>
    </w:rPr>
  </w:style>
  <w:style w:type="character" w:customStyle="1" w:styleId="900">
    <w:name w:val="报告书正文 Char"/>
    <w:link w:val="901"/>
    <w:qFormat/>
    <w:uiPriority w:val="0"/>
    <w:rPr>
      <w:rFonts w:ascii="华文中宋" w:hAnsi="华文中宋" w:cs="华文中宋"/>
      <w:sz w:val="24"/>
    </w:rPr>
  </w:style>
  <w:style w:type="paragraph" w:customStyle="1" w:styleId="901">
    <w:name w:val="报告书正文"/>
    <w:basedOn w:val="1"/>
    <w:link w:val="900"/>
    <w:qFormat/>
    <w:uiPriority w:val="0"/>
    <w:pPr>
      <w:widowControl/>
      <w:snapToGrid w:val="0"/>
      <w:spacing w:line="360" w:lineRule="atLeast"/>
      <w:ind w:firstLine="425"/>
      <w:jc w:val="left"/>
    </w:pPr>
    <w:rPr>
      <w:rFonts w:ascii="华文中宋" w:hAnsi="华文中宋" w:cs="华文中宋"/>
      <w:kern w:val="0"/>
      <w:sz w:val="24"/>
      <w:szCs w:val="20"/>
    </w:rPr>
  </w:style>
  <w:style w:type="character" w:customStyle="1" w:styleId="902">
    <w:name w:val="表格内文字 Char Char"/>
    <w:qFormat/>
    <w:uiPriority w:val="0"/>
    <w:rPr>
      <w:rFonts w:ascii="华文中宋" w:hAnsi="华文中宋" w:eastAsia="Courier New" w:cs="华文中宋"/>
      <w:kern w:val="2"/>
      <w:sz w:val="24"/>
      <w:szCs w:val="24"/>
      <w:lang w:val="en-US" w:eastAsia="zh-CN" w:bidi="ar-SA"/>
    </w:rPr>
  </w:style>
  <w:style w:type="character" w:customStyle="1" w:styleId="903">
    <w:name w:val="谏壁正文chen Char"/>
    <w:link w:val="904"/>
    <w:qFormat/>
    <w:uiPriority w:val="0"/>
    <w:rPr>
      <w:kern w:val="2"/>
      <w:sz w:val="24"/>
      <w:szCs w:val="24"/>
    </w:rPr>
  </w:style>
  <w:style w:type="paragraph" w:customStyle="1" w:styleId="904">
    <w:name w:val="谏壁正文chen"/>
    <w:basedOn w:val="1"/>
    <w:link w:val="903"/>
    <w:qFormat/>
    <w:uiPriority w:val="0"/>
    <w:pPr>
      <w:spacing w:line="360" w:lineRule="auto"/>
      <w:ind w:firstLine="200" w:firstLineChars="200"/>
    </w:pPr>
    <w:rPr>
      <w:sz w:val="24"/>
    </w:rPr>
  </w:style>
  <w:style w:type="character" w:customStyle="1" w:styleId="905">
    <w:name w:val="金源 Char"/>
    <w:link w:val="906"/>
    <w:qFormat/>
    <w:uiPriority w:val="0"/>
    <w:rPr>
      <w:sz w:val="24"/>
    </w:rPr>
  </w:style>
  <w:style w:type="paragraph" w:customStyle="1" w:styleId="906">
    <w:name w:val="金源"/>
    <w:basedOn w:val="1"/>
    <w:link w:val="905"/>
    <w:qFormat/>
    <w:uiPriority w:val="0"/>
    <w:pPr>
      <w:widowControl/>
      <w:spacing w:line="480" w:lineRule="exact"/>
      <w:ind w:firstLine="480" w:firstLineChars="200"/>
      <w:jc w:val="left"/>
    </w:pPr>
    <w:rPr>
      <w:kern w:val="0"/>
      <w:sz w:val="24"/>
      <w:szCs w:val="20"/>
    </w:rPr>
  </w:style>
  <w:style w:type="character" w:customStyle="1" w:styleId="907">
    <w:name w:val="电镀中心正文 Char"/>
    <w:link w:val="908"/>
    <w:qFormat/>
    <w:uiPriority w:val="0"/>
    <w:rPr>
      <w:rFonts w:cs="宋体"/>
      <w:kern w:val="2"/>
      <w:sz w:val="24"/>
    </w:rPr>
  </w:style>
  <w:style w:type="paragraph" w:customStyle="1" w:styleId="908">
    <w:name w:val="电镀中心正文"/>
    <w:basedOn w:val="1"/>
    <w:link w:val="907"/>
    <w:qFormat/>
    <w:uiPriority w:val="0"/>
    <w:pPr>
      <w:spacing w:line="360" w:lineRule="auto"/>
      <w:ind w:firstLine="480" w:firstLineChars="200"/>
    </w:pPr>
    <w:rPr>
      <w:rFonts w:cs="宋体"/>
      <w:sz w:val="24"/>
      <w:szCs w:val="20"/>
    </w:rPr>
  </w:style>
  <w:style w:type="character" w:customStyle="1" w:styleId="909">
    <w:name w:val="Char Char2"/>
    <w:link w:val="476"/>
    <w:qFormat/>
    <w:uiPriority w:val="0"/>
    <w:rPr>
      <w:rFonts w:ascii="宋体" w:hAnsi="宋体" w:cs="宋体"/>
      <w:sz w:val="24"/>
      <w:szCs w:val="24"/>
    </w:rPr>
  </w:style>
  <w:style w:type="character" w:customStyle="1" w:styleId="910">
    <w:name w:val="纯文本 Char"/>
    <w:qFormat/>
    <w:uiPriority w:val="0"/>
    <w:rPr>
      <w:rFonts w:ascii="宋体" w:hAnsi="Courier New" w:eastAsia="宋体" w:cs="Courier New"/>
      <w:szCs w:val="21"/>
    </w:rPr>
  </w:style>
  <w:style w:type="character" w:customStyle="1" w:styleId="911">
    <w:name w:val="公式 Char Char"/>
    <w:qFormat/>
    <w:uiPriority w:val="0"/>
    <w:rPr>
      <w:sz w:val="28"/>
      <w:lang w:val="en-US" w:eastAsia="zh-CN" w:bidi="ar-SA"/>
    </w:rPr>
  </w:style>
  <w:style w:type="character" w:customStyle="1" w:styleId="912">
    <w:name w:val="z-窗体顶端 字符2"/>
    <w:link w:val="913"/>
    <w:qFormat/>
    <w:uiPriority w:val="99"/>
    <w:rPr>
      <w:rFonts w:ascii="Arial" w:hAnsi="Arial" w:cs="Arial"/>
      <w:vanish/>
      <w:sz w:val="16"/>
      <w:szCs w:val="16"/>
    </w:rPr>
  </w:style>
  <w:style w:type="paragraph" w:customStyle="1" w:styleId="913">
    <w:name w:val="z-窗体顶端1"/>
    <w:basedOn w:val="1"/>
    <w:next w:val="1"/>
    <w:link w:val="912"/>
    <w:unhideWhenUsed/>
    <w:qFormat/>
    <w:uiPriority w:val="99"/>
    <w:pPr>
      <w:widowControl/>
      <w:pBdr>
        <w:bottom w:val="single" w:color="auto" w:sz="6" w:space="1"/>
      </w:pBdr>
      <w:jc w:val="center"/>
    </w:pPr>
    <w:rPr>
      <w:rFonts w:ascii="Arial" w:hAnsi="Arial" w:cs="Arial"/>
      <w:vanish/>
      <w:kern w:val="0"/>
      <w:sz w:val="16"/>
      <w:szCs w:val="16"/>
    </w:rPr>
  </w:style>
  <w:style w:type="character" w:customStyle="1" w:styleId="914">
    <w:name w:val="表格填充1 Char"/>
    <w:link w:val="915"/>
    <w:qFormat/>
    <w:uiPriority w:val="0"/>
    <w:rPr>
      <w:rFonts w:eastAsia="仿宋_GB2312"/>
      <w:bCs/>
      <w:sz w:val="28"/>
      <w:szCs w:val="24"/>
    </w:rPr>
  </w:style>
  <w:style w:type="paragraph" w:customStyle="1" w:styleId="915">
    <w:name w:val="表格填充1"/>
    <w:basedOn w:val="47"/>
    <w:link w:val="914"/>
    <w:qFormat/>
    <w:uiPriority w:val="0"/>
    <w:pPr>
      <w:snapToGrid w:val="0"/>
      <w:spacing w:line="240" w:lineRule="auto"/>
      <w:ind w:firstLine="0" w:firstLineChars="0"/>
    </w:pPr>
    <w:rPr>
      <w:rFonts w:ascii="Times New Roman" w:hAnsi="Times New Roman" w:eastAsia="仿宋_GB2312"/>
      <w:bCs/>
      <w:kern w:val="0"/>
      <w:sz w:val="28"/>
      <w:lang w:val="en-US"/>
    </w:rPr>
  </w:style>
  <w:style w:type="character" w:customStyle="1" w:styleId="916">
    <w:name w:val="报告书正文 Char Char"/>
    <w:qFormat/>
    <w:uiPriority w:val="0"/>
    <w:rPr>
      <w:rFonts w:ascii="宋体" w:eastAsia="宋体"/>
      <w:sz w:val="24"/>
      <w:szCs w:val="24"/>
      <w:lang w:val="en-US" w:eastAsia="zh-CN" w:bidi="ar-SA"/>
    </w:rPr>
  </w:style>
  <w:style w:type="character" w:customStyle="1" w:styleId="917">
    <w:name w:val="文本条款 Char2"/>
    <w:qFormat/>
    <w:uiPriority w:val="0"/>
    <w:rPr>
      <w:rFonts w:eastAsia="宋体"/>
      <w:kern w:val="2"/>
      <w:sz w:val="21"/>
      <w:szCs w:val="24"/>
      <w:lang w:val="en-US" w:eastAsia="zh-CN" w:bidi="ar-SA"/>
    </w:rPr>
  </w:style>
  <w:style w:type="character" w:customStyle="1" w:styleId="918">
    <w:name w:val="fontstyle21"/>
    <w:qFormat/>
    <w:uiPriority w:val="0"/>
    <w:rPr>
      <w:rFonts w:hint="eastAsia" w:ascii="TimesNewRomanPSMT" w:hAnsi="TimesNewRomanPSMT" w:eastAsia="TimesNewRomanPSMT"/>
      <w:color w:val="000000"/>
      <w:sz w:val="24"/>
      <w:szCs w:val="24"/>
    </w:rPr>
  </w:style>
  <w:style w:type="character" w:customStyle="1" w:styleId="919">
    <w:name w:val="正文2 Char Char"/>
    <w:qFormat/>
    <w:uiPriority w:val="0"/>
    <w:rPr>
      <w:rFonts w:eastAsia="宋体"/>
      <w:bCs/>
      <w:kern w:val="2"/>
      <w:sz w:val="24"/>
      <w:szCs w:val="44"/>
      <w:lang w:val="en-US" w:eastAsia="zh-CN" w:bidi="ar-SA"/>
    </w:rPr>
  </w:style>
  <w:style w:type="character" w:customStyle="1" w:styleId="920">
    <w:name w:val="表 标题 Char"/>
    <w:link w:val="921"/>
    <w:qFormat/>
    <w:uiPriority w:val="0"/>
    <w:rPr>
      <w:rFonts w:cs="宋体"/>
      <w:b/>
      <w:sz w:val="24"/>
    </w:rPr>
  </w:style>
  <w:style w:type="paragraph" w:customStyle="1" w:styleId="921">
    <w:name w:val="表 标题"/>
    <w:basedOn w:val="74"/>
    <w:next w:val="1"/>
    <w:link w:val="920"/>
    <w:qFormat/>
    <w:uiPriority w:val="0"/>
    <w:pPr>
      <w:adjustRightInd/>
      <w:snapToGrid/>
      <w:spacing w:before="50" w:beforeLines="50" w:line="240" w:lineRule="auto"/>
      <w:ind w:left="0" w:firstLine="0" w:firstLineChars="0"/>
      <w:jc w:val="center"/>
    </w:pPr>
    <w:rPr>
      <w:rFonts w:cs="宋体"/>
      <w:b/>
      <w:szCs w:val="20"/>
      <w:lang w:eastAsia="zh-CN" w:bidi="ar-SA"/>
    </w:rPr>
  </w:style>
  <w:style w:type="character" w:customStyle="1" w:styleId="922">
    <w:name w:val="s1"/>
    <w:qFormat/>
    <w:uiPriority w:val="0"/>
    <w:rPr>
      <w:sz w:val="18"/>
      <w:szCs w:val="18"/>
    </w:rPr>
  </w:style>
  <w:style w:type="character" w:customStyle="1" w:styleId="923">
    <w:name w:val="fontstyle11"/>
    <w:qFormat/>
    <w:uiPriority w:val="0"/>
    <w:rPr>
      <w:rFonts w:hint="eastAsia" w:ascii="TimesNewRomanPSMT" w:hAnsi="TimesNewRomanPSMT" w:eastAsia="TimesNewRomanPSMT"/>
      <w:color w:val="000000"/>
      <w:sz w:val="24"/>
      <w:szCs w:val="24"/>
    </w:rPr>
  </w:style>
  <w:style w:type="character" w:customStyle="1" w:styleId="924">
    <w:name w:val="页脚 Char1"/>
    <w:qFormat/>
    <w:uiPriority w:val="0"/>
  </w:style>
  <w:style w:type="character" w:customStyle="1" w:styleId="925">
    <w:name w:val="z-窗体底端 字符2"/>
    <w:link w:val="926"/>
    <w:qFormat/>
    <w:uiPriority w:val="99"/>
    <w:rPr>
      <w:rFonts w:ascii="Arial" w:hAnsi="Arial" w:cs="Arial"/>
      <w:vanish/>
      <w:sz w:val="16"/>
      <w:szCs w:val="16"/>
    </w:rPr>
  </w:style>
  <w:style w:type="paragraph" w:customStyle="1" w:styleId="926">
    <w:name w:val="z-窗体底端1"/>
    <w:basedOn w:val="1"/>
    <w:next w:val="1"/>
    <w:link w:val="925"/>
    <w:unhideWhenUsed/>
    <w:qFormat/>
    <w:uiPriority w:val="99"/>
    <w:pPr>
      <w:widowControl/>
      <w:pBdr>
        <w:top w:val="single" w:color="auto" w:sz="6" w:space="1"/>
      </w:pBdr>
      <w:jc w:val="center"/>
    </w:pPr>
    <w:rPr>
      <w:rFonts w:ascii="Arial" w:hAnsi="Arial" w:cs="Arial"/>
      <w:vanish/>
      <w:kern w:val="0"/>
      <w:sz w:val="16"/>
      <w:szCs w:val="16"/>
    </w:rPr>
  </w:style>
  <w:style w:type="character" w:customStyle="1" w:styleId="927">
    <w:name w:val="12font1"/>
    <w:qFormat/>
    <w:uiPriority w:val="0"/>
    <w:rPr>
      <w:sz w:val="18"/>
      <w:szCs w:val="18"/>
    </w:rPr>
  </w:style>
  <w:style w:type="character" w:customStyle="1" w:styleId="928">
    <w:name w:val="报告 Char"/>
    <w:link w:val="929"/>
    <w:qFormat/>
    <w:locked/>
    <w:uiPriority w:val="0"/>
    <w:rPr>
      <w:sz w:val="24"/>
    </w:rPr>
  </w:style>
  <w:style w:type="paragraph" w:customStyle="1" w:styleId="929">
    <w:name w:val="报告"/>
    <w:basedOn w:val="1"/>
    <w:link w:val="928"/>
    <w:qFormat/>
    <w:uiPriority w:val="0"/>
    <w:pPr>
      <w:widowControl/>
      <w:spacing w:line="360" w:lineRule="auto"/>
      <w:ind w:firstLine="505"/>
      <w:jc w:val="left"/>
    </w:pPr>
    <w:rPr>
      <w:kern w:val="0"/>
      <w:sz w:val="24"/>
      <w:szCs w:val="20"/>
    </w:rPr>
  </w:style>
  <w:style w:type="character" w:customStyle="1" w:styleId="930">
    <w:name w:val="ourfont11"/>
    <w:qFormat/>
    <w:uiPriority w:val="0"/>
    <w:rPr>
      <w:sz w:val="20"/>
    </w:rPr>
  </w:style>
  <w:style w:type="character" w:customStyle="1" w:styleId="931">
    <w:name w:val="图 标题 Char"/>
    <w:link w:val="932"/>
    <w:qFormat/>
    <w:uiPriority w:val="0"/>
    <w:rPr>
      <w:b/>
      <w:sz w:val="24"/>
      <w:szCs w:val="28"/>
    </w:rPr>
  </w:style>
  <w:style w:type="paragraph" w:customStyle="1" w:styleId="932">
    <w:name w:val="图 标题"/>
    <w:basedOn w:val="685"/>
    <w:link w:val="931"/>
    <w:qFormat/>
    <w:uiPriority w:val="0"/>
    <w:pPr>
      <w:widowControl w:val="0"/>
      <w:spacing w:after="20" w:line="240" w:lineRule="auto"/>
      <w:ind w:firstLine="360" w:firstLineChars="0"/>
      <w:jc w:val="center"/>
    </w:pPr>
    <w:rPr>
      <w:rFonts w:cs="Times New Roman"/>
      <w:b/>
      <w:color w:val="auto"/>
    </w:rPr>
  </w:style>
  <w:style w:type="character" w:customStyle="1" w:styleId="933">
    <w:name w:val="表头1 Char Char"/>
    <w:qFormat/>
    <w:uiPriority w:val="0"/>
    <w:rPr>
      <w:rFonts w:ascii="Times New Roman" w:hAnsi="Times New Roman" w:eastAsia="黑体" w:cs="Times New Roman"/>
      <w:szCs w:val="28"/>
    </w:rPr>
  </w:style>
  <w:style w:type="paragraph" w:customStyle="1" w:styleId="934">
    <w:name w:val="论文正文"/>
    <w:basedOn w:val="23"/>
    <w:qFormat/>
    <w:uiPriority w:val="0"/>
    <w:pPr>
      <w:widowControl/>
      <w:adjustRightInd/>
      <w:snapToGrid/>
      <w:spacing w:line="240" w:lineRule="auto"/>
      <w:ind w:firstLine="480"/>
      <w:jc w:val="left"/>
    </w:pPr>
    <w:rPr>
      <w:rFonts w:ascii="宋体" w:hAnsi="宋体" w:eastAsia="宋体"/>
      <w:kern w:val="0"/>
      <w:szCs w:val="24"/>
      <w:lang w:val="en-US"/>
    </w:rPr>
  </w:style>
  <w:style w:type="paragraph" w:customStyle="1" w:styleId="935">
    <w:name w:val="表格内容1"/>
    <w:basedOn w:val="1"/>
    <w:qFormat/>
    <w:uiPriority w:val="0"/>
    <w:pPr>
      <w:jc w:val="center"/>
    </w:pPr>
    <w:rPr>
      <w:rFonts w:cs="宋体"/>
      <w:szCs w:val="20"/>
    </w:rPr>
  </w:style>
  <w:style w:type="paragraph" w:customStyle="1" w:styleId="936">
    <w:name w:val="_Style 39"/>
    <w:basedOn w:val="28"/>
    <w:qFormat/>
    <w:uiPriority w:val="99"/>
    <w:pPr>
      <w:shd w:val="clear" w:color="auto" w:fill="000080"/>
    </w:pPr>
    <w:rPr>
      <w:rFonts w:ascii="Times New Roman"/>
      <w:kern w:val="0"/>
      <w:sz w:val="20"/>
      <w:szCs w:val="24"/>
    </w:rPr>
  </w:style>
  <w:style w:type="paragraph" w:customStyle="1" w:styleId="937">
    <w:name w:val="公式样式1"/>
    <w:basedOn w:val="1"/>
    <w:qFormat/>
    <w:uiPriority w:val="0"/>
    <w:rPr>
      <w:sz w:val="24"/>
      <w:szCs w:val="22"/>
    </w:rPr>
  </w:style>
  <w:style w:type="paragraph" w:customStyle="1" w:styleId="938">
    <w:name w:val="中文报告书样式"/>
    <w:basedOn w:val="1"/>
    <w:qFormat/>
    <w:uiPriority w:val="99"/>
    <w:pPr>
      <w:adjustRightInd w:val="0"/>
      <w:snapToGrid w:val="0"/>
      <w:spacing w:line="360" w:lineRule="auto"/>
      <w:ind w:firstLine="480" w:firstLineChars="200"/>
    </w:pPr>
    <w:rPr>
      <w:kern w:val="24"/>
      <w:sz w:val="24"/>
      <w:szCs w:val="20"/>
    </w:rPr>
  </w:style>
  <w:style w:type="paragraph" w:customStyle="1" w:styleId="939">
    <w:name w:val="tgt2"/>
    <w:basedOn w:val="1"/>
    <w:qFormat/>
    <w:uiPriority w:val="0"/>
    <w:pPr>
      <w:widowControl/>
      <w:spacing w:after="150" w:line="360" w:lineRule="auto"/>
      <w:jc w:val="left"/>
    </w:pPr>
    <w:rPr>
      <w:rFonts w:ascii="宋体" w:hAnsi="宋体" w:cs="宋体"/>
      <w:b/>
      <w:bCs/>
      <w:kern w:val="0"/>
      <w:sz w:val="36"/>
      <w:szCs w:val="36"/>
    </w:rPr>
  </w:style>
  <w:style w:type="paragraph" w:customStyle="1" w:styleId="940">
    <w:name w:val="_Style 29"/>
    <w:basedOn w:val="1"/>
    <w:qFormat/>
    <w:uiPriority w:val="0"/>
    <w:rPr>
      <w:rFonts w:eastAsia="Times New Roman"/>
      <w:kern w:val="0"/>
      <w:sz w:val="20"/>
      <w:szCs w:val="20"/>
    </w:rPr>
  </w:style>
  <w:style w:type="paragraph" w:customStyle="1" w:styleId="941">
    <w:name w:val="表格内容2"/>
    <w:basedOn w:val="323"/>
    <w:qFormat/>
    <w:uiPriority w:val="0"/>
    <w:pPr>
      <w:adjustRightInd/>
      <w:spacing w:line="240" w:lineRule="auto"/>
      <w:ind w:firstLine="0" w:firstLineChars="0"/>
      <w:textAlignment w:val="auto"/>
    </w:pPr>
    <w:rPr>
      <w:rFonts w:eastAsia="Courier New" w:cs="楷体_GB2312"/>
      <w:color w:val="000000"/>
      <w:sz w:val="21"/>
      <w:szCs w:val="20"/>
      <w:lang w:eastAsia="zh-CN" w:bidi="ar-SA"/>
    </w:rPr>
  </w:style>
  <w:style w:type="paragraph" w:customStyle="1" w:styleId="942">
    <w:name w:val="表格标题2"/>
    <w:basedOn w:val="1"/>
    <w:qFormat/>
    <w:uiPriority w:val="0"/>
    <w:pPr>
      <w:spacing w:line="360" w:lineRule="auto"/>
      <w:jc w:val="center"/>
    </w:pPr>
    <w:rPr>
      <w:b/>
      <w:color w:val="000000"/>
      <w:spacing w:val="-10"/>
      <w:sz w:val="24"/>
      <w:szCs w:val="21"/>
    </w:rPr>
  </w:style>
  <w:style w:type="paragraph" w:customStyle="1" w:styleId="943">
    <w:name w:val="3表格正文"/>
    <w:basedOn w:val="1"/>
    <w:qFormat/>
    <w:uiPriority w:val="0"/>
    <w:pPr>
      <w:adjustRightInd w:val="0"/>
      <w:snapToGrid w:val="0"/>
      <w:jc w:val="center"/>
    </w:pPr>
    <w:rPr>
      <w:bCs/>
      <w:color w:val="FF0000"/>
      <w:sz w:val="24"/>
      <w:szCs w:val="21"/>
    </w:rPr>
  </w:style>
  <w:style w:type="paragraph" w:customStyle="1" w:styleId="944">
    <w:name w:val="简单回函地址"/>
    <w:basedOn w:val="1"/>
    <w:qFormat/>
    <w:uiPriority w:val="0"/>
    <w:pPr>
      <w:widowControl/>
      <w:jc w:val="left"/>
    </w:pPr>
    <w:rPr>
      <w:sz w:val="24"/>
      <w:szCs w:val="20"/>
    </w:rPr>
  </w:style>
  <w:style w:type="paragraph" w:customStyle="1" w:styleId="945">
    <w:name w:val="文本框"/>
    <w:basedOn w:val="1"/>
    <w:qFormat/>
    <w:uiPriority w:val="0"/>
    <w:pPr>
      <w:widowControl/>
      <w:spacing w:line="240" w:lineRule="atLeast"/>
      <w:jc w:val="left"/>
    </w:pPr>
    <w:rPr>
      <w:rFonts w:ascii="宋体"/>
      <w:szCs w:val="20"/>
    </w:rPr>
  </w:style>
  <w:style w:type="character" w:customStyle="1" w:styleId="946">
    <w:name w:val="图文框 Char"/>
    <w:link w:val="320"/>
    <w:qFormat/>
    <w:uiPriority w:val="0"/>
    <w:rPr>
      <w:rFonts w:ascii="宋体" w:hAnsi="宋体"/>
      <w:sz w:val="24"/>
      <w:szCs w:val="24"/>
      <w:lang w:eastAsia="en-US" w:bidi="en-US"/>
    </w:rPr>
  </w:style>
  <w:style w:type="paragraph" w:customStyle="1" w:styleId="947">
    <w:name w:val="正文可研"/>
    <w:basedOn w:val="1"/>
    <w:qFormat/>
    <w:uiPriority w:val="0"/>
    <w:pPr>
      <w:widowControl/>
      <w:spacing w:line="360" w:lineRule="auto"/>
      <w:ind w:firstLine="480" w:firstLineChars="200"/>
      <w:jc w:val="left"/>
    </w:pPr>
    <w:rPr>
      <w:rFonts w:ascii="Arial Black" w:hAnsi="Sim Sun+ 2" w:cs="Arial Black"/>
      <w:kern w:val="0"/>
      <w:sz w:val="24"/>
      <w:szCs w:val="20"/>
    </w:rPr>
  </w:style>
  <w:style w:type="paragraph" w:customStyle="1" w:styleId="948">
    <w:name w:val="h"/>
    <w:basedOn w:val="1"/>
    <w:qFormat/>
    <w:uiPriority w:val="0"/>
    <w:pPr>
      <w:widowControl/>
      <w:spacing w:before="60"/>
      <w:ind w:firstLine="482"/>
      <w:jc w:val="left"/>
    </w:pPr>
    <w:rPr>
      <w:rFonts w:ascii="Arial" w:hAnsi="Arial" w:eastAsia="仿宋_GB2312"/>
      <w:kern w:val="0"/>
      <w:sz w:val="24"/>
      <w:szCs w:val="20"/>
    </w:rPr>
  </w:style>
  <w:style w:type="paragraph" w:customStyle="1" w:styleId="949">
    <w:name w:val="Char5"/>
    <w:basedOn w:val="1"/>
    <w:qFormat/>
    <w:uiPriority w:val="0"/>
    <w:pPr>
      <w:spacing w:line="360" w:lineRule="auto"/>
      <w:ind w:firstLine="200" w:firstLineChars="200"/>
    </w:pPr>
    <w:rPr>
      <w:rFonts w:ascii="宋体" w:hAnsi="宋体" w:cs="宋体"/>
      <w:sz w:val="24"/>
    </w:rPr>
  </w:style>
  <w:style w:type="paragraph" w:customStyle="1" w:styleId="950">
    <w:name w:val="引用1"/>
    <w:basedOn w:val="1"/>
    <w:next w:val="1"/>
    <w:qFormat/>
    <w:uiPriority w:val="0"/>
    <w:pPr>
      <w:spacing w:line="360" w:lineRule="exact"/>
      <w:jc w:val="center"/>
    </w:pPr>
    <w:rPr>
      <w:iCs/>
      <w:color w:val="000000"/>
      <w:szCs w:val="21"/>
    </w:rPr>
  </w:style>
  <w:style w:type="paragraph" w:customStyle="1" w:styleId="951">
    <w:name w:val="注："/>
    <w:basedOn w:val="1"/>
    <w:qFormat/>
    <w:uiPriority w:val="0"/>
    <w:pPr>
      <w:spacing w:line="280" w:lineRule="exact"/>
      <w:ind w:firstLine="200" w:firstLineChars="200"/>
      <w:jc w:val="left"/>
    </w:pPr>
    <w:rPr>
      <w:rFonts w:cs="宋体"/>
      <w:sz w:val="18"/>
      <w:szCs w:val="20"/>
    </w:rPr>
  </w:style>
  <w:style w:type="paragraph" w:customStyle="1" w:styleId="952">
    <w:name w:val="5"/>
    <w:basedOn w:val="1"/>
    <w:next w:val="71"/>
    <w:qFormat/>
    <w:uiPriority w:val="0"/>
    <w:pPr>
      <w:adjustRightInd w:val="0"/>
      <w:snapToGrid w:val="0"/>
      <w:spacing w:line="312" w:lineRule="auto"/>
      <w:ind w:firstLine="480" w:firstLineChars="200"/>
    </w:pPr>
    <w:rPr>
      <w:rFonts w:ascii="仿宋_GB2312" w:eastAsia="仿宋_GB2312"/>
      <w:sz w:val="24"/>
    </w:rPr>
  </w:style>
  <w:style w:type="paragraph" w:customStyle="1" w:styleId="953">
    <w:name w:val="正文000000"/>
    <w:basedOn w:val="1"/>
    <w:next w:val="1"/>
    <w:semiHidden/>
    <w:qFormat/>
    <w:uiPriority w:val="0"/>
    <w:pPr>
      <w:adjustRightInd w:val="0"/>
      <w:snapToGrid w:val="0"/>
      <w:spacing w:line="360" w:lineRule="auto"/>
      <w:ind w:firstLine="200" w:firstLineChars="200"/>
    </w:pPr>
    <w:rPr>
      <w:rFonts w:ascii="宋体" w:hAnsi="宋体" w:cs="宋体"/>
      <w:sz w:val="24"/>
    </w:rPr>
  </w:style>
  <w:style w:type="paragraph" w:customStyle="1" w:styleId="954">
    <w:name w:val="表标题"/>
    <w:basedOn w:val="88"/>
    <w:qFormat/>
    <w:uiPriority w:val="0"/>
    <w:pPr>
      <w:snapToGrid w:val="0"/>
      <w:spacing w:before="60" w:after="60" w:line="500" w:lineRule="exact"/>
      <w:ind w:firstLine="0" w:firstLineChars="0"/>
      <w:jc w:val="center"/>
    </w:pPr>
    <w:rPr>
      <w:rFonts w:ascii="Times New Roman" w:hAnsi="Times New Roman" w:cs="Times New Roman"/>
      <w:b/>
      <w:bCs/>
      <w:sz w:val="24"/>
      <w:szCs w:val="18"/>
    </w:rPr>
  </w:style>
  <w:style w:type="paragraph" w:customStyle="1" w:styleId="955">
    <w:name w:val="Normal_5"/>
    <w:qFormat/>
    <w:uiPriority w:val="0"/>
    <w:pPr>
      <w:widowControl w:val="0"/>
      <w:jc w:val="both"/>
    </w:pPr>
    <w:rPr>
      <w:rFonts w:ascii="Calibri" w:hAnsi="Calibri" w:eastAsia="宋体" w:cs="Times New Roman"/>
      <w:lang w:val="en-US" w:eastAsia="zh-CN" w:bidi="ar-SA"/>
    </w:rPr>
  </w:style>
  <w:style w:type="paragraph" w:customStyle="1" w:styleId="956">
    <w:name w:val="样式 首行缩进:  2 字符"/>
    <w:basedOn w:val="1"/>
    <w:qFormat/>
    <w:uiPriority w:val="0"/>
    <w:pPr>
      <w:widowControl/>
      <w:topLinePunct/>
      <w:spacing w:line="360" w:lineRule="auto"/>
      <w:ind w:firstLine="480" w:firstLineChars="200"/>
      <w:jc w:val="left"/>
    </w:pPr>
    <w:rPr>
      <w:sz w:val="24"/>
    </w:rPr>
  </w:style>
  <w:style w:type="paragraph" w:customStyle="1" w:styleId="957">
    <w:name w:val="_Style 439"/>
    <w:basedOn w:val="1"/>
    <w:qFormat/>
    <w:uiPriority w:val="0"/>
    <w:pPr>
      <w:widowControl/>
      <w:tabs>
        <w:tab w:val="left" w:pos="425"/>
        <w:tab w:val="left" w:pos="840"/>
      </w:tabs>
      <w:adjustRightInd w:val="0"/>
      <w:spacing w:after="160" w:line="360" w:lineRule="auto"/>
      <w:ind w:left="840" w:hanging="360"/>
      <w:jc w:val="left"/>
      <w:textAlignment w:val="baseline"/>
    </w:pPr>
    <w:rPr>
      <w:kern w:val="0"/>
      <w:szCs w:val="22"/>
    </w:rPr>
  </w:style>
  <w:style w:type="paragraph" w:customStyle="1" w:styleId="958">
    <w:name w:val="p0"/>
    <w:basedOn w:val="1"/>
    <w:qFormat/>
    <w:uiPriority w:val="99"/>
    <w:pPr>
      <w:widowControl/>
      <w:jc w:val="left"/>
    </w:pPr>
    <w:rPr>
      <w:rFonts w:ascii="Calibri" w:hAnsi="Calibri" w:cs="宋体"/>
      <w:kern w:val="0"/>
      <w:szCs w:val="21"/>
    </w:rPr>
  </w:style>
  <w:style w:type="paragraph" w:customStyle="1" w:styleId="959">
    <w:name w:val="样式 四号"/>
    <w:basedOn w:val="1"/>
    <w:qFormat/>
    <w:uiPriority w:val="0"/>
    <w:pPr>
      <w:widowControl/>
      <w:spacing w:line="360" w:lineRule="auto"/>
      <w:ind w:firstLine="480" w:firstLineChars="200"/>
      <w:jc w:val="left"/>
    </w:pPr>
    <w:rPr>
      <w:rFonts w:ascii="宋体" w:hAnsi="宋体"/>
      <w:kern w:val="0"/>
      <w:sz w:val="24"/>
    </w:rPr>
  </w:style>
  <w:style w:type="character" w:customStyle="1" w:styleId="960">
    <w:name w:val="样式1 Char"/>
    <w:qFormat/>
    <w:uiPriority w:val="0"/>
    <w:rPr>
      <w:rFonts w:ascii="Times New Roman" w:hAnsi="Times New Roman"/>
      <w:kern w:val="2"/>
      <w:sz w:val="21"/>
      <w:szCs w:val="24"/>
    </w:rPr>
  </w:style>
  <w:style w:type="paragraph" w:customStyle="1" w:styleId="961">
    <w:name w:val="defaultfon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2">
    <w:name w:val="CM75"/>
    <w:basedOn w:val="1"/>
    <w:next w:val="1"/>
    <w:qFormat/>
    <w:uiPriority w:val="0"/>
    <w:pPr>
      <w:autoSpaceDE w:val="0"/>
      <w:autoSpaceDN w:val="0"/>
      <w:adjustRightInd w:val="0"/>
      <w:spacing w:after="60"/>
      <w:jc w:val="left"/>
    </w:pPr>
    <w:rPr>
      <w:rFonts w:ascii="Sim Sun+ 2" w:eastAsia="Sim Sun+ 2" w:cs="Sim Sun+ 2"/>
      <w:kern w:val="0"/>
      <w:sz w:val="24"/>
    </w:rPr>
  </w:style>
  <w:style w:type="paragraph" w:customStyle="1" w:styleId="963">
    <w:name w:val="p21"/>
    <w:basedOn w:val="1"/>
    <w:qFormat/>
    <w:uiPriority w:val="0"/>
    <w:pPr>
      <w:widowControl/>
    </w:pPr>
    <w:rPr>
      <w:rFonts w:ascii="宋体" w:hAnsi="宋体" w:cs="宋体"/>
      <w:kern w:val="0"/>
      <w:szCs w:val="21"/>
    </w:rPr>
  </w:style>
  <w:style w:type="character" w:customStyle="1" w:styleId="964">
    <w:name w:val="Body Text 21 Char"/>
    <w:qFormat/>
    <w:uiPriority w:val="0"/>
    <w:rPr>
      <w:rFonts w:ascii="Times New Roman" w:hAnsi="Times New Roman" w:eastAsia="仿宋体"/>
      <w:kern w:val="2"/>
      <w:sz w:val="24"/>
    </w:rPr>
  </w:style>
  <w:style w:type="character" w:customStyle="1" w:styleId="965">
    <w:name w:val="LD正文 Char"/>
    <w:link w:val="966"/>
    <w:qFormat/>
    <w:uiPriority w:val="0"/>
    <w:rPr>
      <w:color w:val="0000FF"/>
      <w:kern w:val="2"/>
      <w:sz w:val="24"/>
      <w:szCs w:val="24"/>
    </w:rPr>
  </w:style>
  <w:style w:type="paragraph" w:customStyle="1" w:styleId="966">
    <w:name w:val="LD正文"/>
    <w:basedOn w:val="1"/>
    <w:link w:val="965"/>
    <w:qFormat/>
    <w:uiPriority w:val="0"/>
    <w:pPr>
      <w:snapToGrid w:val="0"/>
      <w:spacing w:line="360" w:lineRule="auto"/>
      <w:ind w:firstLine="480"/>
    </w:pPr>
    <w:rPr>
      <w:color w:val="0000FF"/>
      <w:sz w:val="24"/>
    </w:rPr>
  </w:style>
  <w:style w:type="paragraph" w:customStyle="1" w:styleId="967">
    <w:name w:val="xl3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968">
    <w:name w:val="正文内容"/>
    <w:basedOn w:val="1"/>
    <w:qFormat/>
    <w:uiPriority w:val="0"/>
    <w:pPr>
      <w:adjustRightInd w:val="0"/>
      <w:snapToGrid w:val="0"/>
      <w:spacing w:line="360" w:lineRule="auto"/>
      <w:ind w:firstLine="496" w:firstLineChars="200"/>
    </w:pPr>
    <w:rPr>
      <w:rFonts w:ascii="宋体" w:hAnsi="宋体" w:cs="宋体"/>
      <w:snapToGrid w:val="0"/>
      <w:spacing w:val="4"/>
      <w:kern w:val="0"/>
      <w:sz w:val="24"/>
      <w:szCs w:val="20"/>
    </w:rPr>
  </w:style>
  <w:style w:type="character" w:customStyle="1" w:styleId="969">
    <w:name w:val="apple-style-span"/>
    <w:qFormat/>
    <w:uiPriority w:val="0"/>
    <w:rPr>
      <w:rFonts w:eastAsia="宋体"/>
      <w:kern w:val="2"/>
      <w:sz w:val="24"/>
      <w:szCs w:val="24"/>
      <w:lang w:val="en-US" w:eastAsia="zh-CN" w:bidi="ar-SA"/>
    </w:rPr>
  </w:style>
  <w:style w:type="paragraph" w:customStyle="1" w:styleId="970">
    <w:name w:val="文1"/>
    <w:basedOn w:val="1"/>
    <w:qFormat/>
    <w:uiPriority w:val="0"/>
    <w:pPr>
      <w:snapToGrid w:val="0"/>
      <w:spacing w:line="360" w:lineRule="auto"/>
      <w:ind w:firstLine="567"/>
    </w:pPr>
    <w:rPr>
      <w:rFonts w:ascii="Arial" w:hAnsi="Arial" w:eastAsia="幼圆"/>
      <w:sz w:val="24"/>
      <w:szCs w:val="20"/>
    </w:rPr>
  </w:style>
  <w:style w:type="character" w:customStyle="1" w:styleId="971">
    <w:name w:val="图标 Char"/>
    <w:link w:val="972"/>
    <w:qFormat/>
    <w:uiPriority w:val="0"/>
    <w:rPr>
      <w:b/>
      <w:sz w:val="24"/>
    </w:rPr>
  </w:style>
  <w:style w:type="paragraph" w:customStyle="1" w:styleId="972">
    <w:name w:val="图标"/>
    <w:basedOn w:val="1"/>
    <w:next w:val="1"/>
    <w:link w:val="971"/>
    <w:qFormat/>
    <w:uiPriority w:val="0"/>
    <w:pPr>
      <w:tabs>
        <w:tab w:val="left" w:pos="560"/>
      </w:tabs>
      <w:spacing w:after="50" w:afterLines="50"/>
      <w:jc w:val="center"/>
    </w:pPr>
    <w:rPr>
      <w:b/>
      <w:kern w:val="0"/>
      <w:sz w:val="24"/>
      <w:szCs w:val="20"/>
    </w:rPr>
  </w:style>
  <w:style w:type="paragraph" w:customStyle="1" w:styleId="973">
    <w:name w:val="表中文字"/>
    <w:basedOn w:val="1"/>
    <w:next w:val="1"/>
    <w:qFormat/>
    <w:uiPriority w:val="0"/>
    <w:pPr>
      <w:snapToGrid w:val="0"/>
      <w:jc w:val="center"/>
    </w:pPr>
    <w:rPr>
      <w:rFonts w:eastAsia="仿宋_GB2312"/>
      <w:position w:val="-16"/>
      <w:sz w:val="24"/>
    </w:rPr>
  </w:style>
  <w:style w:type="paragraph" w:customStyle="1" w:styleId="974">
    <w:name w:val="图"/>
    <w:basedOn w:val="1"/>
    <w:qFormat/>
    <w:uiPriority w:val="0"/>
    <w:pPr>
      <w:spacing w:line="360" w:lineRule="auto"/>
      <w:jc w:val="center"/>
    </w:pPr>
    <w:rPr>
      <w:rFonts w:eastAsia="仿宋_GB2312"/>
      <w:b/>
      <w:sz w:val="24"/>
      <w:szCs w:val="22"/>
    </w:rPr>
  </w:style>
  <w:style w:type="paragraph" w:customStyle="1" w:styleId="975">
    <w:name w:val="reader-word-layer reader-word-s1-38"/>
    <w:basedOn w:val="1"/>
    <w:qFormat/>
    <w:uiPriority w:val="0"/>
    <w:pPr>
      <w:widowControl/>
      <w:spacing w:before="100" w:beforeAutospacing="1" w:after="100" w:afterAutospacing="1"/>
      <w:jc w:val="left"/>
    </w:pPr>
    <w:rPr>
      <w:rFonts w:ascii="宋体" w:hAnsi="宋体" w:cs="宋体"/>
      <w:kern w:val="0"/>
      <w:sz w:val="24"/>
    </w:rPr>
  </w:style>
  <w:style w:type="paragraph" w:customStyle="1" w:styleId="976">
    <w:name w:val="船舶 4级"/>
    <w:basedOn w:val="6"/>
    <w:qFormat/>
    <w:uiPriority w:val="0"/>
    <w:pPr>
      <w:numPr>
        <w:numId w:val="5"/>
      </w:numPr>
      <w:tabs>
        <w:tab w:val="left" w:pos="864"/>
      </w:tabs>
      <w:adjustRightInd w:val="0"/>
      <w:snapToGrid w:val="0"/>
      <w:spacing w:before="0" w:after="0" w:line="360" w:lineRule="auto"/>
      <w:ind w:firstLine="0" w:firstLineChars="0"/>
    </w:pPr>
    <w:rPr>
      <w:rFonts w:ascii="Times New Roman" w:hAnsi="Times New Roman" w:eastAsia="宋体"/>
      <w:kern w:val="0"/>
      <w:sz w:val="24"/>
      <w:szCs w:val="24"/>
      <w:lang w:val="en-US"/>
    </w:rPr>
  </w:style>
  <w:style w:type="character" w:customStyle="1" w:styleId="977">
    <w:name w:val="标题 3 Char1"/>
    <w:qFormat/>
    <w:uiPriority w:val="0"/>
    <w:rPr>
      <w:rFonts w:ascii="Times New Roman" w:hAnsi="Times New Roman"/>
      <w:sz w:val="24"/>
    </w:rPr>
  </w:style>
  <w:style w:type="paragraph" w:customStyle="1" w:styleId="978">
    <w:name w:val="1级 样式 三号 加粗 行距: 1.5 倍行距"/>
    <w:basedOn w:val="3"/>
    <w:qFormat/>
    <w:uiPriority w:val="0"/>
    <w:pPr>
      <w:keepLines/>
      <w:widowControl/>
      <w:overflowPunct/>
      <w:snapToGrid/>
      <w:spacing w:after="120" w:line="360" w:lineRule="auto"/>
      <w:jc w:val="left"/>
    </w:pPr>
    <w:rPr>
      <w:rFonts w:eastAsia="宋体" w:cs="宋体"/>
      <w:color w:val="auto"/>
      <w:sz w:val="32"/>
      <w:szCs w:val="44"/>
    </w:rPr>
  </w:style>
  <w:style w:type="paragraph" w:customStyle="1" w:styleId="979">
    <w:name w:val="1级  样式 三号 加粗 行距: 1.5 倍行距"/>
    <w:basedOn w:val="1"/>
    <w:qFormat/>
    <w:uiPriority w:val="0"/>
    <w:pPr>
      <w:framePr w:wrap="around" w:vAnchor="text" w:hAnchor="text" w:y="1"/>
      <w:widowControl/>
      <w:spacing w:line="360" w:lineRule="auto"/>
      <w:jc w:val="left"/>
      <w:outlineLvl w:val="0"/>
    </w:pPr>
    <w:rPr>
      <w:rFonts w:cs="宋体"/>
      <w:b/>
      <w:bCs/>
      <w:sz w:val="32"/>
      <w:szCs w:val="20"/>
    </w:rPr>
  </w:style>
  <w:style w:type="paragraph" w:customStyle="1" w:styleId="980">
    <w:name w:val="中远1级"/>
    <w:basedOn w:val="1"/>
    <w:link w:val="981"/>
    <w:qFormat/>
    <w:uiPriority w:val="0"/>
    <w:pPr>
      <w:widowControl/>
      <w:spacing w:line="360" w:lineRule="auto"/>
      <w:jc w:val="left"/>
      <w:outlineLvl w:val="0"/>
    </w:pPr>
    <w:rPr>
      <w:b/>
      <w:sz w:val="32"/>
      <w:szCs w:val="32"/>
    </w:rPr>
  </w:style>
  <w:style w:type="character" w:customStyle="1" w:styleId="981">
    <w:name w:val="中远1级 字符"/>
    <w:link w:val="980"/>
    <w:qFormat/>
    <w:uiPriority w:val="0"/>
    <w:rPr>
      <w:b/>
      <w:kern w:val="2"/>
      <w:sz w:val="32"/>
      <w:szCs w:val="32"/>
    </w:rPr>
  </w:style>
  <w:style w:type="paragraph" w:customStyle="1" w:styleId="982">
    <w:name w:val="中远2级"/>
    <w:basedOn w:val="1"/>
    <w:link w:val="983"/>
    <w:qFormat/>
    <w:uiPriority w:val="0"/>
    <w:pPr>
      <w:widowControl/>
      <w:spacing w:line="360" w:lineRule="auto"/>
      <w:jc w:val="left"/>
      <w:outlineLvl w:val="1"/>
    </w:pPr>
    <w:rPr>
      <w:b/>
      <w:sz w:val="30"/>
      <w:szCs w:val="30"/>
    </w:rPr>
  </w:style>
  <w:style w:type="character" w:customStyle="1" w:styleId="983">
    <w:name w:val="中远2级 字符"/>
    <w:link w:val="982"/>
    <w:qFormat/>
    <w:uiPriority w:val="0"/>
    <w:rPr>
      <w:b/>
      <w:kern w:val="2"/>
      <w:sz w:val="30"/>
      <w:szCs w:val="30"/>
    </w:rPr>
  </w:style>
  <w:style w:type="paragraph" w:customStyle="1" w:styleId="984">
    <w:name w:val="船舶3级 样式 小四 加粗 行距: 1.5 倍行距"/>
    <w:basedOn w:val="1"/>
    <w:qFormat/>
    <w:uiPriority w:val="0"/>
    <w:pPr>
      <w:widowControl/>
      <w:numPr>
        <w:ilvl w:val="2"/>
        <w:numId w:val="5"/>
      </w:numPr>
      <w:spacing w:line="360" w:lineRule="auto"/>
      <w:jc w:val="left"/>
    </w:pPr>
    <w:rPr>
      <w:rFonts w:cs="宋体"/>
      <w:b/>
      <w:bCs/>
      <w:sz w:val="24"/>
      <w:szCs w:val="20"/>
    </w:rPr>
  </w:style>
  <w:style w:type="character" w:customStyle="1" w:styleId="985">
    <w:name w:val="船舶4级 样式 小四 加粗"/>
    <w:qFormat/>
    <w:uiPriority w:val="0"/>
    <w:rPr>
      <w:b/>
      <w:bCs/>
      <w:sz w:val="24"/>
    </w:rPr>
  </w:style>
  <w:style w:type="character" w:customStyle="1" w:styleId="986">
    <w:name w:val="表格中文字 Char Char"/>
    <w:link w:val="637"/>
    <w:qFormat/>
    <w:uiPriority w:val="0"/>
    <w:rPr>
      <w:rFonts w:ascii="等线" w:hAnsi="等线" w:eastAsia="等线"/>
      <w:kern w:val="18"/>
      <w:szCs w:val="21"/>
    </w:rPr>
  </w:style>
  <w:style w:type="character" w:customStyle="1" w:styleId="987">
    <w:name w:val="正文格式 Char"/>
    <w:link w:val="988"/>
    <w:qFormat/>
    <w:uiPriority w:val="0"/>
    <w:rPr>
      <w:rFonts w:ascii="宋体" w:cs="宋体"/>
      <w:sz w:val="24"/>
      <w:szCs w:val="24"/>
    </w:rPr>
  </w:style>
  <w:style w:type="paragraph" w:customStyle="1" w:styleId="988">
    <w:name w:val="正文格式"/>
    <w:basedOn w:val="1"/>
    <w:link w:val="987"/>
    <w:qFormat/>
    <w:uiPriority w:val="0"/>
    <w:pPr>
      <w:spacing w:line="360" w:lineRule="auto"/>
      <w:ind w:firstLine="482"/>
      <w:jc w:val="left"/>
    </w:pPr>
    <w:rPr>
      <w:rFonts w:ascii="宋体" w:cs="宋体"/>
      <w:kern w:val="0"/>
      <w:sz w:val="24"/>
    </w:rPr>
  </w:style>
  <w:style w:type="paragraph" w:customStyle="1" w:styleId="989">
    <w:name w:val="！正文"/>
    <w:basedOn w:val="1"/>
    <w:link w:val="990"/>
    <w:qFormat/>
    <w:uiPriority w:val="0"/>
    <w:pPr>
      <w:spacing w:line="360" w:lineRule="auto"/>
      <w:ind w:firstLine="200" w:firstLineChars="200"/>
    </w:pPr>
    <w:rPr>
      <w:rFonts w:eastAsia="仿宋_GB2312"/>
      <w:sz w:val="24"/>
      <w:szCs w:val="20"/>
    </w:rPr>
  </w:style>
  <w:style w:type="character" w:customStyle="1" w:styleId="990">
    <w:name w:val="！正文 Char"/>
    <w:link w:val="989"/>
    <w:qFormat/>
    <w:uiPriority w:val="0"/>
    <w:rPr>
      <w:rFonts w:eastAsia="仿宋_GB2312"/>
      <w:kern w:val="2"/>
      <w:sz w:val="24"/>
    </w:rPr>
  </w:style>
  <w:style w:type="paragraph" w:customStyle="1" w:styleId="991">
    <w:name w:val="正文 4"/>
    <w:basedOn w:val="1"/>
    <w:qFormat/>
    <w:uiPriority w:val="0"/>
    <w:pPr>
      <w:autoSpaceDE w:val="0"/>
      <w:autoSpaceDN w:val="0"/>
      <w:adjustRightInd w:val="0"/>
      <w:snapToGrid w:val="0"/>
      <w:spacing w:line="360" w:lineRule="auto"/>
      <w:ind w:firstLine="480" w:firstLineChars="200"/>
    </w:pPr>
    <w:rPr>
      <w:bCs/>
      <w:kern w:val="0"/>
      <w:sz w:val="24"/>
    </w:rPr>
  </w:style>
  <w:style w:type="paragraph" w:customStyle="1" w:styleId="992">
    <w:name w:val="顺源 表头"/>
    <w:basedOn w:val="1"/>
    <w:qFormat/>
    <w:uiPriority w:val="0"/>
    <w:pPr>
      <w:jc w:val="center"/>
    </w:pPr>
    <w:rPr>
      <w:b/>
      <w:szCs w:val="21"/>
    </w:rPr>
  </w:style>
  <w:style w:type="character" w:customStyle="1" w:styleId="993">
    <w:name w:val="列出段落 Char"/>
    <w:qFormat/>
    <w:uiPriority w:val="34"/>
    <w:rPr>
      <w:rFonts w:ascii="Times New Roman" w:hAnsi="Times New Roman" w:eastAsia="仿宋_GB2312" w:cs="Times New Roman"/>
      <w:sz w:val="28"/>
      <w:szCs w:val="24"/>
    </w:rPr>
  </w:style>
  <w:style w:type="paragraph" w:customStyle="1" w:styleId="994">
    <w:name w:val="font8"/>
    <w:basedOn w:val="1"/>
    <w:qFormat/>
    <w:uiPriority w:val="0"/>
    <w:pPr>
      <w:widowControl/>
      <w:spacing w:before="100" w:beforeAutospacing="1" w:after="100" w:afterAutospacing="1"/>
      <w:jc w:val="left"/>
    </w:pPr>
    <w:rPr>
      <w:b/>
      <w:bCs/>
      <w:color w:val="0000FF"/>
      <w:kern w:val="0"/>
      <w:szCs w:val="21"/>
    </w:rPr>
  </w:style>
  <w:style w:type="paragraph" w:customStyle="1" w:styleId="995">
    <w:name w:val="font9"/>
    <w:basedOn w:val="1"/>
    <w:qFormat/>
    <w:uiPriority w:val="0"/>
    <w:pPr>
      <w:widowControl/>
      <w:spacing w:before="100" w:beforeAutospacing="1" w:after="100" w:afterAutospacing="1"/>
      <w:jc w:val="left"/>
    </w:pPr>
    <w:rPr>
      <w:rFonts w:ascii="宋体" w:hAnsi="宋体" w:cs="宋体"/>
      <w:b/>
      <w:bCs/>
      <w:color w:val="0000FF"/>
      <w:kern w:val="0"/>
      <w:szCs w:val="21"/>
    </w:rPr>
  </w:style>
  <w:style w:type="paragraph" w:customStyle="1" w:styleId="996">
    <w:name w:val="font10"/>
    <w:basedOn w:val="1"/>
    <w:qFormat/>
    <w:uiPriority w:val="0"/>
    <w:pPr>
      <w:widowControl/>
      <w:spacing w:before="100" w:beforeAutospacing="1" w:after="100" w:afterAutospacing="1"/>
      <w:jc w:val="left"/>
    </w:pPr>
    <w:rPr>
      <w:color w:val="0000FF"/>
      <w:kern w:val="0"/>
      <w:szCs w:val="21"/>
    </w:rPr>
  </w:style>
  <w:style w:type="character" w:customStyle="1" w:styleId="997">
    <w:name w:val="表格 居中 Char Char"/>
    <w:link w:val="552"/>
    <w:qFormat/>
    <w:uiPriority w:val="0"/>
    <w:rPr>
      <w:rFonts w:ascii="宋体" w:hAnsi="宋体" w:eastAsia="仿宋_GB2312" w:cs="宋体"/>
      <w:sz w:val="24"/>
      <w:szCs w:val="21"/>
    </w:rPr>
  </w:style>
  <w:style w:type="character" w:customStyle="1" w:styleId="998">
    <w:name w:val="文本 字符"/>
    <w:qFormat/>
    <w:uiPriority w:val="0"/>
    <w:rPr>
      <w:kern w:val="0"/>
      <w:sz w:val="24"/>
      <w:szCs w:val="24"/>
    </w:rPr>
  </w:style>
  <w:style w:type="paragraph" w:customStyle="1" w:styleId="999">
    <w:name w:val="YY表格正文"/>
    <w:basedOn w:val="1"/>
    <w:link w:val="1000"/>
    <w:qFormat/>
    <w:uiPriority w:val="0"/>
    <w:pPr>
      <w:adjustRightInd w:val="0"/>
      <w:snapToGrid w:val="0"/>
      <w:jc w:val="center"/>
    </w:pPr>
    <w:rPr>
      <w:rFonts w:eastAsia="仿宋_GB2312" w:cs="Calibri"/>
      <w:color w:val="000000"/>
      <w:szCs w:val="21"/>
    </w:rPr>
  </w:style>
  <w:style w:type="character" w:customStyle="1" w:styleId="1000">
    <w:name w:val="YY表格正文 Char"/>
    <w:link w:val="999"/>
    <w:qFormat/>
    <w:uiPriority w:val="0"/>
    <w:rPr>
      <w:rFonts w:eastAsia="仿宋_GB2312" w:cs="Calibri"/>
      <w:color w:val="000000"/>
      <w:kern w:val="2"/>
      <w:sz w:val="21"/>
      <w:szCs w:val="21"/>
    </w:rPr>
  </w:style>
  <w:style w:type="paragraph" w:customStyle="1" w:styleId="1001">
    <w:name w:val="YY书正文"/>
    <w:basedOn w:val="1"/>
    <w:link w:val="1002"/>
    <w:qFormat/>
    <w:uiPriority w:val="0"/>
    <w:pPr>
      <w:adjustRightInd w:val="0"/>
      <w:snapToGrid w:val="0"/>
      <w:spacing w:line="324" w:lineRule="auto"/>
      <w:ind w:firstLine="200" w:firstLineChars="200"/>
    </w:pPr>
    <w:rPr>
      <w:rFonts w:eastAsia="仿宋_GB2312"/>
      <w:sz w:val="24"/>
    </w:rPr>
  </w:style>
  <w:style w:type="character" w:customStyle="1" w:styleId="1002">
    <w:name w:val="YY书正文 字符"/>
    <w:link w:val="1001"/>
    <w:qFormat/>
    <w:uiPriority w:val="0"/>
    <w:rPr>
      <w:rFonts w:eastAsia="仿宋_GB2312"/>
      <w:kern w:val="2"/>
      <w:sz w:val="24"/>
      <w:szCs w:val="24"/>
    </w:rPr>
  </w:style>
  <w:style w:type="paragraph" w:customStyle="1" w:styleId="1003">
    <w:name w:val="正文_41"/>
    <w:qFormat/>
    <w:uiPriority w:val="0"/>
    <w:pPr>
      <w:widowControl w:val="0"/>
      <w:jc w:val="both"/>
    </w:pPr>
    <w:rPr>
      <w:rFonts w:ascii="Calibri" w:hAnsi="Calibri" w:eastAsia="宋体" w:cs="Times New Roman"/>
      <w:kern w:val="2"/>
      <w:sz w:val="21"/>
      <w:lang w:val="en-US" w:eastAsia="zh-CN" w:bidi="ar-SA"/>
    </w:rPr>
  </w:style>
  <w:style w:type="character" w:customStyle="1" w:styleId="1004">
    <w:name w:val="正文文本缩进 2 字符1"/>
    <w:qFormat/>
    <w:uiPriority w:val="0"/>
    <w:rPr>
      <w:rFonts w:ascii="宋体" w:hAnsi="宋体" w:eastAsia="宋体" w:cs="Times New Roman"/>
      <w:spacing w:val="4"/>
      <w:sz w:val="24"/>
      <w:szCs w:val="20"/>
    </w:rPr>
  </w:style>
  <w:style w:type="character" w:customStyle="1" w:styleId="1005">
    <w:name w:val="z-窗体顶端 字符1"/>
    <w:qFormat/>
    <w:uiPriority w:val="99"/>
    <w:rPr>
      <w:rFonts w:hint="default" w:ascii="Arial" w:hAnsi="Arial" w:cs="Arial"/>
      <w:vanish/>
      <w:sz w:val="16"/>
      <w:szCs w:val="16"/>
    </w:rPr>
  </w:style>
  <w:style w:type="character" w:customStyle="1" w:styleId="1006">
    <w:name w:val="z-窗体底端 字符1"/>
    <w:qFormat/>
    <w:uiPriority w:val="99"/>
    <w:rPr>
      <w:rFonts w:hint="default" w:ascii="Arial" w:hAnsi="Arial" w:cs="Arial"/>
      <w:vanish/>
      <w:sz w:val="16"/>
      <w:szCs w:val="16"/>
    </w:rPr>
  </w:style>
  <w:style w:type="paragraph" w:customStyle="1" w:styleId="1007">
    <w:name w:val="正文-游"/>
    <w:basedOn w:val="36"/>
    <w:link w:val="1008"/>
    <w:qFormat/>
    <w:uiPriority w:val="0"/>
    <w:pPr>
      <w:widowControl w:val="0"/>
      <w:adjustRightInd w:val="0"/>
      <w:spacing w:before="0" w:after="0" w:line="480" w:lineRule="exact"/>
      <w:ind w:right="0" w:firstLine="200" w:firstLineChars="200"/>
    </w:pPr>
    <w:rPr>
      <w:rFonts w:cs="Calibri"/>
      <w:bCs/>
      <w:color w:val="943634"/>
      <w:kern w:val="2"/>
      <w:sz w:val="24"/>
      <w:szCs w:val="24"/>
      <w:lang w:val="en-US"/>
    </w:rPr>
  </w:style>
  <w:style w:type="character" w:customStyle="1" w:styleId="1008">
    <w:name w:val="正文-游 字符"/>
    <w:link w:val="1007"/>
    <w:qFormat/>
    <w:uiPriority w:val="0"/>
    <w:rPr>
      <w:rFonts w:cs="Calibri"/>
      <w:bCs/>
      <w:color w:val="943634"/>
      <w:kern w:val="2"/>
      <w:sz w:val="24"/>
      <w:szCs w:val="24"/>
    </w:rPr>
  </w:style>
  <w:style w:type="paragraph" w:customStyle="1" w:styleId="1009">
    <w:name w:val="HJ-正文"/>
    <w:basedOn w:val="1"/>
    <w:qFormat/>
    <w:uiPriority w:val="0"/>
    <w:pPr>
      <w:snapToGrid w:val="0"/>
      <w:spacing w:line="360" w:lineRule="auto"/>
      <w:ind w:firstLine="480" w:firstLineChars="200"/>
      <w:jc w:val="left"/>
    </w:pPr>
    <w:rPr>
      <w:rFonts w:ascii="Calibri" w:hAnsi="Calibri" w:cs="Calibri"/>
      <w:sz w:val="24"/>
    </w:rPr>
  </w:style>
  <w:style w:type="paragraph" w:customStyle="1" w:styleId="1010">
    <w:name w:val="纯文本1"/>
    <w:basedOn w:val="1"/>
    <w:next w:val="1"/>
    <w:qFormat/>
    <w:uiPriority w:val="99"/>
    <w:pPr>
      <w:adjustRightInd w:val="0"/>
      <w:textAlignment w:val="baseline"/>
    </w:pPr>
    <w:rPr>
      <w:rFonts w:ascii="宋体" w:hAnsi="Courier New" w:cs="Calibri"/>
      <w:szCs w:val="20"/>
    </w:rPr>
  </w:style>
  <w:style w:type="character" w:customStyle="1" w:styleId="1011">
    <w:name w:val="单学凯环表头 Char"/>
    <w:link w:val="1012"/>
    <w:qFormat/>
    <w:uiPriority w:val="0"/>
    <w:rPr>
      <w:rFonts w:ascii="宋体" w:hAnsi="宋体"/>
      <w:b/>
      <w:bCs/>
      <w:color w:val="000000"/>
      <w:sz w:val="24"/>
      <w:szCs w:val="24"/>
    </w:rPr>
  </w:style>
  <w:style w:type="paragraph" w:customStyle="1" w:styleId="1012">
    <w:name w:val="单学凯环表头"/>
    <w:basedOn w:val="1"/>
    <w:link w:val="1011"/>
    <w:qFormat/>
    <w:uiPriority w:val="0"/>
    <w:pPr>
      <w:widowControl/>
      <w:tabs>
        <w:tab w:val="left" w:pos="-1008"/>
        <w:tab w:val="left" w:pos="4873"/>
      </w:tabs>
      <w:adjustRightInd w:val="0"/>
      <w:jc w:val="center"/>
      <w:textAlignment w:val="baseline"/>
    </w:pPr>
    <w:rPr>
      <w:rFonts w:ascii="宋体" w:hAnsi="宋体"/>
      <w:b/>
      <w:bCs/>
      <w:color w:val="000000"/>
      <w:kern w:val="0"/>
      <w:sz w:val="24"/>
    </w:rPr>
  </w:style>
  <w:style w:type="character" w:customStyle="1" w:styleId="1013">
    <w:name w:val="列表项目符号 Char"/>
    <w:qFormat/>
    <w:uiPriority w:val="0"/>
    <w:rPr>
      <w:rFonts w:ascii="仿宋_GB2312" w:hAnsi="Courier New" w:eastAsia="仿宋_GB2312"/>
      <w:sz w:val="28"/>
      <w:lang w:val="en-US" w:eastAsia="zh-CN" w:bidi="ar-SA"/>
    </w:rPr>
  </w:style>
  <w:style w:type="character" w:customStyle="1" w:styleId="1014">
    <w:name w:val="Char Char281"/>
    <w:semiHidden/>
    <w:qFormat/>
    <w:uiPriority w:val="0"/>
    <w:rPr>
      <w:rFonts w:ascii="Times New Roman" w:hAnsi="Times New Roman" w:eastAsia="宋体" w:cs="Times New Roman"/>
      <w:szCs w:val="24"/>
      <w:shd w:val="clear" w:color="auto" w:fill="000080"/>
    </w:rPr>
  </w:style>
  <w:style w:type="character" w:customStyle="1" w:styleId="1015">
    <w:name w:val="liuqiao"/>
    <w:qFormat/>
    <w:uiPriority w:val="0"/>
  </w:style>
  <w:style w:type="character" w:customStyle="1" w:styleId="1016">
    <w:name w:val="未命名11"/>
    <w:qFormat/>
    <w:uiPriority w:val="0"/>
    <w:rPr>
      <w:rFonts w:hint="eastAsia" w:ascii="宋体" w:hAnsi="宋体" w:eastAsia="宋体"/>
      <w:b/>
      <w:spacing w:val="10"/>
      <w:kern w:val="2"/>
      <w:sz w:val="18"/>
      <w:szCs w:val="18"/>
      <w:lang w:val="en-US" w:eastAsia="zh-CN" w:bidi="ar-SA"/>
    </w:rPr>
  </w:style>
  <w:style w:type="character" w:customStyle="1" w:styleId="1017">
    <w:name w:val="ourfont3"/>
    <w:qFormat/>
    <w:uiPriority w:val="0"/>
  </w:style>
  <w:style w:type="character" w:customStyle="1" w:styleId="1018">
    <w:name w:val="Char Char241"/>
    <w:qFormat/>
    <w:uiPriority w:val="0"/>
    <w:rPr>
      <w:rFonts w:ascii="Times New Roman" w:hAnsi="Times New Roman" w:eastAsia="宋体" w:cs="Times New Roman"/>
      <w:szCs w:val="24"/>
      <w:shd w:val="clear" w:color="auto" w:fill="000080"/>
    </w:rPr>
  </w:style>
  <w:style w:type="character" w:customStyle="1" w:styleId="1019">
    <w:name w:val="dl1"/>
    <w:semiHidden/>
    <w:qFormat/>
    <w:uiPriority w:val="0"/>
    <w:rPr>
      <w:color w:val="000000"/>
      <w:sz w:val="20"/>
      <w:szCs w:val="20"/>
    </w:rPr>
  </w:style>
  <w:style w:type="character" w:customStyle="1" w:styleId="1020">
    <w:name w:val="title1"/>
    <w:qFormat/>
    <w:uiPriority w:val="0"/>
    <w:rPr>
      <w:b/>
      <w:bCs/>
      <w:color w:val="D90000"/>
      <w:spacing w:val="330"/>
      <w:sz w:val="27"/>
      <w:szCs w:val="27"/>
    </w:rPr>
  </w:style>
  <w:style w:type="character" w:customStyle="1" w:styleId="1021">
    <w:name w:val="Char Char39"/>
    <w:qFormat/>
    <w:uiPriority w:val="0"/>
    <w:rPr>
      <w:rFonts w:eastAsia="宋体"/>
      <w:kern w:val="2"/>
      <w:sz w:val="21"/>
      <w:szCs w:val="24"/>
      <w:lang w:val="en-US" w:eastAsia="zh-CN" w:bidi="ar-SA"/>
    </w:rPr>
  </w:style>
  <w:style w:type="character" w:customStyle="1" w:styleId="1022">
    <w:name w:val="黑体标题 Char"/>
    <w:link w:val="1023"/>
    <w:qFormat/>
    <w:uiPriority w:val="0"/>
    <w:rPr>
      <w:rFonts w:ascii="宋体" w:hAnsi="宋体"/>
      <w:kern w:val="2"/>
      <w:sz w:val="28"/>
    </w:rPr>
  </w:style>
  <w:style w:type="paragraph" w:customStyle="1" w:styleId="1023">
    <w:name w:val="黑体标题"/>
    <w:basedOn w:val="1"/>
    <w:link w:val="1022"/>
    <w:qFormat/>
    <w:uiPriority w:val="0"/>
    <w:pPr>
      <w:spacing w:line="500" w:lineRule="exact"/>
      <w:ind w:firstLine="560" w:firstLineChars="200"/>
    </w:pPr>
    <w:rPr>
      <w:rFonts w:ascii="宋体" w:hAnsi="宋体"/>
      <w:sz w:val="28"/>
      <w:szCs w:val="20"/>
    </w:rPr>
  </w:style>
  <w:style w:type="character" w:customStyle="1" w:styleId="1024">
    <w:name w:val="标题 3 Char2"/>
    <w:qFormat/>
    <w:uiPriority w:val="0"/>
    <w:rPr>
      <w:rFonts w:ascii="宋体" w:hAnsi="宋体" w:eastAsia="宋体"/>
      <w:b/>
      <w:bCs/>
      <w:kern w:val="2"/>
      <w:sz w:val="32"/>
      <w:szCs w:val="32"/>
      <w:lang w:val="en-US" w:eastAsia="zh-CN" w:bidi="ar-SA"/>
    </w:rPr>
  </w:style>
  <w:style w:type="character" w:customStyle="1" w:styleId="1025">
    <w:name w:val="large1"/>
    <w:qFormat/>
    <w:uiPriority w:val="0"/>
    <w:rPr>
      <w:sz w:val="22"/>
      <w:szCs w:val="22"/>
    </w:rPr>
  </w:style>
  <w:style w:type="character" w:customStyle="1" w:styleId="1026">
    <w:name w:val="unnamed91"/>
    <w:qFormat/>
    <w:uiPriority w:val="0"/>
    <w:rPr>
      <w:rFonts w:hint="eastAsia" w:ascii="宋体" w:hAnsi="宋体" w:eastAsia="宋体"/>
      <w:color w:val="000000"/>
      <w:spacing w:val="10"/>
      <w:kern w:val="44"/>
      <w:sz w:val="18"/>
      <w:szCs w:val="18"/>
      <w:u w:val="none"/>
      <w:lang w:val="en-US" w:eastAsia="zh-CN"/>
    </w:rPr>
  </w:style>
  <w:style w:type="character" w:customStyle="1" w:styleId="1027">
    <w:name w:val="Char Char48"/>
    <w:qFormat/>
    <w:uiPriority w:val="0"/>
    <w:rPr>
      <w:rFonts w:ascii="Arial" w:hAnsi="Arial" w:eastAsia="仿宋_GB2312"/>
      <w:i/>
      <w:iCs/>
      <w:sz w:val="24"/>
      <w:lang w:val="en-US" w:eastAsia="zh-CN" w:bidi="ar-SA"/>
    </w:rPr>
  </w:style>
  <w:style w:type="character" w:customStyle="1" w:styleId="1028">
    <w:name w:val="Char Char8"/>
    <w:qFormat/>
    <w:uiPriority w:val="0"/>
    <w:rPr>
      <w:rFonts w:ascii="宋体" w:hAnsi="Courier New" w:eastAsia="宋体"/>
      <w:sz w:val="21"/>
      <w:lang w:val="en-US" w:eastAsia="zh-CN" w:bidi="ar-SA"/>
    </w:rPr>
  </w:style>
  <w:style w:type="character" w:customStyle="1" w:styleId="1029">
    <w:name w:val="Header Char"/>
    <w:semiHidden/>
    <w:qFormat/>
    <w:uiPriority w:val="0"/>
    <w:rPr>
      <w:rFonts w:cs="Times New Roman"/>
      <w:sz w:val="18"/>
      <w:szCs w:val="18"/>
    </w:rPr>
  </w:style>
  <w:style w:type="character" w:customStyle="1" w:styleId="1030">
    <w:name w:val="t181"/>
    <w:semiHidden/>
    <w:qFormat/>
    <w:uiPriority w:val="0"/>
    <w:rPr>
      <w:sz w:val="20"/>
      <w:szCs w:val="20"/>
    </w:rPr>
  </w:style>
  <w:style w:type="character" w:customStyle="1" w:styleId="1031">
    <w:name w:val="样式 题注 + 首行缩进:  2 字符 Char Char"/>
    <w:link w:val="1032"/>
    <w:qFormat/>
    <w:uiPriority w:val="0"/>
    <w:rPr>
      <w:b/>
      <w:bCs/>
      <w:kern w:val="2"/>
      <w:sz w:val="24"/>
    </w:rPr>
  </w:style>
  <w:style w:type="paragraph" w:customStyle="1" w:styleId="1032">
    <w:name w:val="样式 题注 + 首行缩进:  2 字符"/>
    <w:basedOn w:val="24"/>
    <w:link w:val="1031"/>
    <w:qFormat/>
    <w:uiPriority w:val="0"/>
    <w:pPr>
      <w:spacing w:line="520" w:lineRule="exact"/>
      <w:jc w:val="center"/>
    </w:pPr>
    <w:rPr>
      <w:rFonts w:ascii="Times New Roman" w:hAnsi="Times New Roman" w:eastAsia="宋体"/>
      <w:b/>
      <w:bCs/>
      <w:sz w:val="24"/>
      <w:lang w:val="en-US"/>
    </w:rPr>
  </w:style>
  <w:style w:type="character" w:customStyle="1" w:styleId="1033">
    <w:name w:val="表格正文 Char Char"/>
    <w:semiHidden/>
    <w:qFormat/>
    <w:uiPriority w:val="0"/>
    <w:rPr>
      <w:rFonts w:ascii="宋体" w:eastAsia="宋体"/>
      <w:snapToGrid/>
      <w:spacing w:val="4"/>
      <w:w w:val="90"/>
      <w:sz w:val="24"/>
      <w:szCs w:val="24"/>
      <w:lang w:val="en-US" w:eastAsia="zh-CN" w:bidi="ar-SA"/>
    </w:rPr>
  </w:style>
  <w:style w:type="character" w:customStyle="1" w:styleId="1034">
    <w:name w:val="Char Char83"/>
    <w:semiHidden/>
    <w:qFormat/>
    <w:uiPriority w:val="0"/>
    <w:rPr>
      <w:rFonts w:ascii="宋体" w:hAnsi="Courier New" w:eastAsia="宋体"/>
      <w:sz w:val="21"/>
      <w:lang w:val="en-US" w:eastAsia="zh-CN" w:bidi="ar-SA"/>
    </w:rPr>
  </w:style>
  <w:style w:type="character" w:customStyle="1" w:styleId="1035">
    <w:name w:val="paragraph11"/>
    <w:semiHidden/>
    <w:qFormat/>
    <w:uiPriority w:val="0"/>
    <w:rPr>
      <w:color w:val="333333"/>
    </w:rPr>
  </w:style>
  <w:style w:type="character" w:customStyle="1" w:styleId="1036">
    <w:name w:val="common1"/>
    <w:qFormat/>
    <w:uiPriority w:val="0"/>
    <w:rPr>
      <w:rFonts w:ascii="黑体" w:hAnsi="黑体" w:eastAsia="黑体"/>
      <w:b/>
      <w:spacing w:val="10"/>
      <w:kern w:val="44"/>
      <w:sz w:val="18"/>
      <w:szCs w:val="18"/>
      <w:lang w:val="en-US" w:eastAsia="zh-CN"/>
    </w:rPr>
  </w:style>
  <w:style w:type="character" w:customStyle="1" w:styleId="1037">
    <w:name w:val="样式 标题 3H3标题 3 Char Char标题 3 Char条标题1.1.1标题 3zym + 仿宋_GB23121 Char"/>
    <w:link w:val="1038"/>
    <w:qFormat/>
    <w:uiPriority w:val="0"/>
    <w:rPr>
      <w:rFonts w:ascii="仿宋_GB2312" w:hAnsi="仿宋_GB2312" w:eastAsia="仿宋_GB2312"/>
      <w:bCs/>
      <w:kern w:val="2"/>
      <w:sz w:val="24"/>
      <w:szCs w:val="28"/>
    </w:rPr>
  </w:style>
  <w:style w:type="paragraph" w:customStyle="1" w:styleId="1038">
    <w:name w:val="样式 标题 3H3标题 3 Char Char标题 3 Char条标题1.1.1标题 3zym + 仿宋_GB23121"/>
    <w:basedOn w:val="5"/>
    <w:link w:val="1037"/>
    <w:qFormat/>
    <w:uiPriority w:val="0"/>
    <w:pPr>
      <w:keepLines w:val="0"/>
      <w:numPr>
        <w:ilvl w:val="0"/>
        <w:numId w:val="0"/>
      </w:numPr>
      <w:tabs>
        <w:tab w:val="left" w:pos="1080"/>
        <w:tab w:val="left" w:pos="2520"/>
      </w:tabs>
      <w:adjustRightInd w:val="0"/>
      <w:snapToGrid w:val="0"/>
      <w:spacing w:before="120" w:beforeLines="50" w:after="120" w:afterLines="50" w:line="360" w:lineRule="auto"/>
      <w:ind w:right="100" w:rightChars="100"/>
    </w:pPr>
    <w:rPr>
      <w:rFonts w:ascii="仿宋_GB2312" w:hAnsi="仿宋_GB2312" w:eastAsia="仿宋_GB2312"/>
      <w:b w:val="0"/>
      <w:sz w:val="24"/>
      <w:szCs w:val="28"/>
      <w:lang w:val="en-US"/>
    </w:rPr>
  </w:style>
  <w:style w:type="character" w:customStyle="1" w:styleId="1039">
    <w:name w:val="s lh15"/>
    <w:qFormat/>
    <w:uiPriority w:val="0"/>
  </w:style>
  <w:style w:type="character" w:customStyle="1" w:styleId="1040">
    <w:name w:val="环表头 Char"/>
    <w:qFormat/>
    <w:uiPriority w:val="0"/>
    <w:rPr>
      <w:rFonts w:ascii="黑体" w:hAnsi="宋体" w:eastAsia="黑体" w:cs="Courier New"/>
      <w:color w:val="000000"/>
      <w:sz w:val="24"/>
      <w:szCs w:val="24"/>
      <w:lang w:val="en-US" w:eastAsia="zh-CN" w:bidi="ar-SA"/>
    </w:rPr>
  </w:style>
  <w:style w:type="character" w:customStyle="1" w:styleId="1041">
    <w:name w:val="表格文字5号 Char Char"/>
    <w:link w:val="1042"/>
    <w:semiHidden/>
    <w:qFormat/>
    <w:uiPriority w:val="0"/>
    <w:rPr>
      <w:rFonts w:ascii="宋体"/>
      <w:szCs w:val="24"/>
    </w:rPr>
  </w:style>
  <w:style w:type="paragraph" w:customStyle="1" w:styleId="1042">
    <w:name w:val="表格文字5号"/>
    <w:basedOn w:val="1"/>
    <w:next w:val="1"/>
    <w:link w:val="1041"/>
    <w:semiHidden/>
    <w:qFormat/>
    <w:uiPriority w:val="0"/>
    <w:pPr>
      <w:jc w:val="center"/>
    </w:pPr>
    <w:rPr>
      <w:rFonts w:ascii="宋体"/>
      <w:kern w:val="0"/>
      <w:sz w:val="20"/>
    </w:rPr>
  </w:style>
  <w:style w:type="character" w:customStyle="1" w:styleId="1043">
    <w:name w:val="123YJ Char Char"/>
    <w:qFormat/>
    <w:uiPriority w:val="0"/>
    <w:rPr>
      <w:rFonts w:eastAsia="宋体"/>
      <w:kern w:val="2"/>
      <w:sz w:val="18"/>
      <w:szCs w:val="18"/>
      <w:lang w:val="en-US" w:eastAsia="zh-CN" w:bidi="ar-SA"/>
    </w:rPr>
  </w:style>
  <w:style w:type="character" w:customStyle="1" w:styleId="1044">
    <w:name w:val="Char Char391"/>
    <w:semiHidden/>
    <w:qFormat/>
    <w:uiPriority w:val="0"/>
    <w:rPr>
      <w:rFonts w:eastAsia="宋体"/>
      <w:kern w:val="2"/>
      <w:sz w:val="21"/>
      <w:szCs w:val="24"/>
      <w:lang w:val="en-US" w:eastAsia="zh-CN" w:bidi="ar-SA"/>
    </w:rPr>
  </w:style>
  <w:style w:type="character" w:customStyle="1" w:styleId="1045">
    <w:name w:val="Char Char14"/>
    <w:qFormat/>
    <w:uiPriority w:val="0"/>
    <w:rPr>
      <w:rFonts w:ascii="Arial" w:hAnsi="Arial" w:eastAsia="黑体" w:cs="Arial"/>
      <w:b/>
      <w:bCs/>
      <w:kern w:val="2"/>
      <w:sz w:val="32"/>
      <w:szCs w:val="32"/>
    </w:rPr>
  </w:style>
  <w:style w:type="character" w:customStyle="1" w:styleId="1046">
    <w:name w:val="样式 正文文本缩进 + 宋体 13 磅 Char"/>
    <w:semiHidden/>
    <w:qFormat/>
    <w:uiPriority w:val="0"/>
    <w:rPr>
      <w:rFonts w:ascii="宋体" w:hAnsi="宋体" w:eastAsia="宋体"/>
      <w:kern w:val="2"/>
      <w:sz w:val="28"/>
      <w:szCs w:val="28"/>
      <w:lang w:val="en-US" w:eastAsia="zh-CN" w:bidi="ar-SA"/>
    </w:rPr>
  </w:style>
  <w:style w:type="character" w:customStyle="1" w:styleId="1047">
    <w:name w:val="正文文字 Char"/>
    <w:link w:val="1048"/>
    <w:qFormat/>
    <w:uiPriority w:val="0"/>
    <w:rPr>
      <w:rFonts w:ascii="仿宋_GB2312" w:hAnsi="Arial Black" w:eastAsia="仿宋_GB2312"/>
      <w:sz w:val="28"/>
      <w:szCs w:val="28"/>
    </w:rPr>
  </w:style>
  <w:style w:type="paragraph" w:customStyle="1" w:styleId="1048">
    <w:name w:val="正文文字"/>
    <w:basedOn w:val="1"/>
    <w:link w:val="1047"/>
    <w:qFormat/>
    <w:uiPriority w:val="0"/>
    <w:pPr>
      <w:adjustRightInd w:val="0"/>
      <w:spacing w:line="360" w:lineRule="auto"/>
      <w:jc w:val="left"/>
      <w:textAlignment w:val="baseline"/>
    </w:pPr>
    <w:rPr>
      <w:rFonts w:ascii="仿宋_GB2312" w:hAnsi="Arial Black" w:eastAsia="仿宋_GB2312"/>
      <w:kern w:val="0"/>
      <w:sz w:val="28"/>
      <w:szCs w:val="28"/>
    </w:rPr>
  </w:style>
  <w:style w:type="character" w:customStyle="1" w:styleId="1049">
    <w:name w:val="正文格式 Char Char Char2 Char"/>
    <w:link w:val="1050"/>
    <w:qFormat/>
    <w:uiPriority w:val="0"/>
    <w:rPr>
      <w:rFonts w:ascii="宋体"/>
      <w:kern w:val="2"/>
      <w:sz w:val="24"/>
      <w:szCs w:val="24"/>
    </w:rPr>
  </w:style>
  <w:style w:type="paragraph" w:customStyle="1" w:styleId="1050">
    <w:name w:val="正文格式 Char Char Char2"/>
    <w:basedOn w:val="1"/>
    <w:link w:val="1049"/>
    <w:qFormat/>
    <w:uiPriority w:val="0"/>
    <w:pPr>
      <w:spacing w:line="360" w:lineRule="auto"/>
      <w:ind w:firstLine="482"/>
    </w:pPr>
    <w:rPr>
      <w:rFonts w:ascii="宋体"/>
      <w:sz w:val="24"/>
    </w:rPr>
  </w:style>
  <w:style w:type="character" w:customStyle="1" w:styleId="1051">
    <w:name w:val="sf6tjlp"/>
    <w:qFormat/>
    <w:uiPriority w:val="0"/>
  </w:style>
  <w:style w:type="character" w:customStyle="1" w:styleId="1052">
    <w:name w:val="11p1"/>
    <w:semiHidden/>
    <w:qFormat/>
    <w:uiPriority w:val="0"/>
    <w:rPr>
      <w:sz w:val="21"/>
      <w:szCs w:val="21"/>
    </w:rPr>
  </w:style>
  <w:style w:type="character" w:customStyle="1" w:styleId="1053">
    <w:name w:val="Char Char27"/>
    <w:qFormat/>
    <w:uiPriority w:val="0"/>
    <w:rPr>
      <w:rFonts w:ascii="Arial" w:hAnsi="Arial" w:eastAsia="仿宋_GB2312" w:cs="Times New Roman"/>
      <w:kern w:val="0"/>
      <w:sz w:val="18"/>
      <w:szCs w:val="18"/>
    </w:rPr>
  </w:style>
  <w:style w:type="character" w:customStyle="1" w:styleId="1054">
    <w:name w:val="moon icon texticon"/>
    <w:semiHidden/>
    <w:qFormat/>
    <w:uiPriority w:val="0"/>
  </w:style>
  <w:style w:type="character" w:customStyle="1" w:styleId="1055">
    <w:name w:val="标题四最终 Char Char"/>
    <w:link w:val="1056"/>
    <w:semiHidden/>
    <w:qFormat/>
    <w:uiPriority w:val="0"/>
    <w:rPr>
      <w:b/>
      <w:bCs/>
      <w:sz w:val="28"/>
      <w:szCs w:val="28"/>
    </w:rPr>
  </w:style>
  <w:style w:type="paragraph" w:customStyle="1" w:styleId="1056">
    <w:name w:val="标题四最终"/>
    <w:basedOn w:val="1"/>
    <w:link w:val="1055"/>
    <w:semiHidden/>
    <w:qFormat/>
    <w:uiPriority w:val="0"/>
    <w:pPr>
      <w:keepNext/>
      <w:keepLines/>
      <w:adjustRightInd w:val="0"/>
      <w:snapToGrid w:val="0"/>
      <w:spacing w:before="156" w:beforeLines="50" w:line="360" w:lineRule="auto"/>
      <w:jc w:val="left"/>
      <w:outlineLvl w:val="3"/>
    </w:pPr>
    <w:rPr>
      <w:b/>
      <w:bCs/>
      <w:kern w:val="0"/>
      <w:sz w:val="28"/>
      <w:szCs w:val="28"/>
    </w:rPr>
  </w:style>
  <w:style w:type="character" w:customStyle="1" w:styleId="1057">
    <w:name w:val="hhcwt标题3 Char Char"/>
    <w:link w:val="1058"/>
    <w:qFormat/>
    <w:uiPriority w:val="0"/>
    <w:rPr>
      <w:rFonts w:eastAsia="楷体_GB2312"/>
      <w:bCs/>
      <w:kern w:val="2"/>
      <w:sz w:val="28"/>
      <w:szCs w:val="24"/>
    </w:rPr>
  </w:style>
  <w:style w:type="paragraph" w:customStyle="1" w:styleId="1058">
    <w:name w:val="hhcwt标题3"/>
    <w:basedOn w:val="1"/>
    <w:link w:val="1057"/>
    <w:qFormat/>
    <w:uiPriority w:val="0"/>
    <w:pPr>
      <w:keepNext/>
      <w:keepLines/>
      <w:spacing w:line="336" w:lineRule="auto"/>
      <w:outlineLvl w:val="2"/>
    </w:pPr>
    <w:rPr>
      <w:rFonts w:eastAsia="楷体_GB2312"/>
      <w:bCs/>
      <w:sz w:val="28"/>
    </w:rPr>
  </w:style>
  <w:style w:type="character" w:customStyle="1" w:styleId="1059">
    <w:name w:val="Char Char141"/>
    <w:qFormat/>
    <w:uiPriority w:val="0"/>
    <w:rPr>
      <w:rFonts w:ascii="Arial" w:hAnsi="Arial" w:eastAsia="黑体" w:cs="Arial"/>
      <w:b/>
      <w:bCs/>
      <w:kern w:val="2"/>
      <w:sz w:val="32"/>
      <w:szCs w:val="32"/>
    </w:rPr>
  </w:style>
  <w:style w:type="character" w:customStyle="1" w:styleId="1060">
    <w:name w:val="标题 8 Char1"/>
    <w:qFormat/>
    <w:uiPriority w:val="0"/>
    <w:rPr>
      <w:rFonts w:ascii="Cambria" w:hAnsi="Cambria" w:eastAsia="宋体" w:cs="Times New Roman"/>
      <w:kern w:val="2"/>
      <w:sz w:val="24"/>
      <w:szCs w:val="24"/>
    </w:rPr>
  </w:style>
  <w:style w:type="character" w:customStyle="1" w:styleId="1061">
    <w:name w:val="Char Char46"/>
    <w:qFormat/>
    <w:uiPriority w:val="0"/>
    <w:rPr>
      <w:rFonts w:ascii="Arial" w:hAnsi="Arial" w:eastAsia="仿宋_GB2312"/>
      <w:sz w:val="24"/>
      <w:lang w:val="en-US" w:eastAsia="zh-CN" w:bidi="ar-SA"/>
    </w:rPr>
  </w:style>
  <w:style w:type="character" w:customStyle="1" w:styleId="1062">
    <w:name w:val="样式 小四 行距: 固定值 25 磅 Char"/>
    <w:qFormat/>
    <w:uiPriority w:val="0"/>
    <w:rPr>
      <w:rFonts w:eastAsia="宋体" w:cs="宋体"/>
      <w:kern w:val="2"/>
      <w:sz w:val="24"/>
      <w:szCs w:val="24"/>
      <w:lang w:val="en-US" w:eastAsia="zh-CN" w:bidi="ar-SA"/>
    </w:rPr>
  </w:style>
  <w:style w:type="character" w:customStyle="1" w:styleId="1063">
    <w:name w:val="样式 报告正文 + 首行缩进:  2 字符 Char"/>
    <w:link w:val="1064"/>
    <w:qFormat/>
    <w:uiPriority w:val="0"/>
    <w:rPr>
      <w:kern w:val="2"/>
      <w:sz w:val="24"/>
    </w:rPr>
  </w:style>
  <w:style w:type="paragraph" w:customStyle="1" w:styleId="1064">
    <w:name w:val="样式 报告正文 + 首行缩进:  2 字符"/>
    <w:basedOn w:val="1"/>
    <w:link w:val="1063"/>
    <w:qFormat/>
    <w:uiPriority w:val="0"/>
    <w:pPr>
      <w:autoSpaceDE w:val="0"/>
      <w:autoSpaceDN w:val="0"/>
      <w:spacing w:line="360" w:lineRule="auto"/>
      <w:ind w:firstLine="200" w:firstLineChars="200"/>
    </w:pPr>
    <w:rPr>
      <w:sz w:val="24"/>
      <w:szCs w:val="20"/>
    </w:rPr>
  </w:style>
  <w:style w:type="character" w:customStyle="1" w:styleId="1065">
    <w:name w:val="单学凯段落格式 Char"/>
    <w:link w:val="1066"/>
    <w:qFormat/>
    <w:uiPriority w:val="0"/>
    <w:rPr>
      <w:rFonts w:ascii="宋体" w:hAnsi="宋体"/>
      <w:sz w:val="24"/>
      <w:szCs w:val="28"/>
    </w:rPr>
  </w:style>
  <w:style w:type="paragraph" w:customStyle="1" w:styleId="1066">
    <w:name w:val="单学凯段落格式"/>
    <w:basedOn w:val="1"/>
    <w:link w:val="1065"/>
    <w:qFormat/>
    <w:uiPriority w:val="0"/>
    <w:pPr>
      <w:spacing w:line="500" w:lineRule="exact"/>
      <w:ind w:firstLine="480" w:firstLineChars="200"/>
      <w:jc w:val="left"/>
    </w:pPr>
    <w:rPr>
      <w:rFonts w:ascii="宋体" w:hAnsi="宋体"/>
      <w:kern w:val="0"/>
      <w:sz w:val="24"/>
      <w:szCs w:val="28"/>
    </w:rPr>
  </w:style>
  <w:style w:type="character" w:customStyle="1" w:styleId="1067">
    <w:name w:val="jj1"/>
    <w:semiHidden/>
    <w:qFormat/>
    <w:uiPriority w:val="0"/>
  </w:style>
  <w:style w:type="character" w:customStyle="1" w:styleId="1068">
    <w:name w:val="图标准 Char"/>
    <w:link w:val="1069"/>
    <w:semiHidden/>
    <w:qFormat/>
    <w:uiPriority w:val="0"/>
    <w:rPr>
      <w:rFonts w:ascii="仿宋_GB2312" w:hAnsi="宋体" w:eastAsia="黑体"/>
      <w:b/>
      <w:spacing w:val="4"/>
      <w:sz w:val="24"/>
      <w:szCs w:val="28"/>
    </w:rPr>
  </w:style>
  <w:style w:type="paragraph" w:customStyle="1" w:styleId="1069">
    <w:name w:val="图标准"/>
    <w:link w:val="1068"/>
    <w:semiHidden/>
    <w:qFormat/>
    <w:uiPriority w:val="0"/>
    <w:pPr>
      <w:tabs>
        <w:tab w:val="left" w:pos="0"/>
      </w:tabs>
      <w:spacing w:beforeLines="100"/>
      <w:ind w:firstLine="562"/>
    </w:pPr>
    <w:rPr>
      <w:rFonts w:ascii="仿宋_GB2312" w:hAnsi="宋体" w:eastAsia="黑体" w:cs="Times New Roman"/>
      <w:b/>
      <w:spacing w:val="4"/>
      <w:sz w:val="24"/>
      <w:szCs w:val="28"/>
      <w:lang w:val="en-US" w:eastAsia="zh-CN" w:bidi="ar-SA"/>
    </w:rPr>
  </w:style>
  <w:style w:type="character" w:customStyle="1" w:styleId="1070">
    <w:name w:val="a022"/>
    <w:semiHidden/>
    <w:qFormat/>
    <w:uiPriority w:val="0"/>
  </w:style>
  <w:style w:type="character" w:customStyle="1" w:styleId="1071">
    <w:name w:val="style21"/>
    <w:qFormat/>
    <w:uiPriority w:val="0"/>
    <w:rPr>
      <w:color w:val="FF0000"/>
    </w:rPr>
  </w:style>
  <w:style w:type="character" w:customStyle="1" w:styleId="1072">
    <w:name w:val="Char Char49"/>
    <w:qFormat/>
    <w:uiPriority w:val="0"/>
    <w:rPr>
      <w:rFonts w:eastAsia="宋体"/>
      <w:sz w:val="18"/>
      <w:szCs w:val="24"/>
      <w:lang w:val="en-US" w:eastAsia="zh-CN" w:bidi="ar-SA"/>
    </w:rPr>
  </w:style>
  <w:style w:type="character" w:customStyle="1" w:styleId="1073">
    <w:name w:val="Char Char193"/>
    <w:semiHidden/>
    <w:qFormat/>
    <w:uiPriority w:val="0"/>
    <w:rPr>
      <w:rFonts w:ascii="@黑体" w:hAnsi="@黑体"/>
      <w:kern w:val="2"/>
      <w:sz w:val="16"/>
      <w:szCs w:val="16"/>
    </w:rPr>
  </w:style>
  <w:style w:type="character" w:customStyle="1" w:styleId="1074">
    <w:name w:val="正文（首行缩进两字） Char Char Char Char Char Char Char Char Char Char"/>
    <w:qFormat/>
    <w:uiPriority w:val="0"/>
    <w:rPr>
      <w:rFonts w:ascii="仿宋_GB2312" w:eastAsia="仿宋_GB2312"/>
      <w:kern w:val="2"/>
      <w:sz w:val="28"/>
      <w:szCs w:val="24"/>
      <w:lang w:val="en-US" w:eastAsia="zh-CN" w:bidi="ar-SA"/>
    </w:rPr>
  </w:style>
  <w:style w:type="character" w:customStyle="1" w:styleId="1075">
    <w:name w:val="style81"/>
    <w:qFormat/>
    <w:uiPriority w:val="0"/>
    <w:rPr>
      <w:rFonts w:ascii="宋体" w:hAnsi="宋体" w:eastAsia="黑体" w:cs="宋体"/>
      <w:kern w:val="2"/>
      <w:sz w:val="24"/>
      <w:szCs w:val="24"/>
      <w:lang w:val="en-US" w:eastAsia="zh-CN" w:bidi="ar-SA"/>
    </w:rPr>
  </w:style>
  <w:style w:type="character" w:customStyle="1" w:styleId="1076">
    <w:name w:val="H5 Char"/>
    <w:semiHidden/>
    <w:qFormat/>
    <w:uiPriority w:val="0"/>
    <w:rPr>
      <w:rFonts w:eastAsia="宋体"/>
      <w:b/>
      <w:sz w:val="28"/>
      <w:lang w:val="en-US" w:eastAsia="zh-CN" w:bidi="ar-SA"/>
    </w:rPr>
  </w:style>
  <w:style w:type="character" w:customStyle="1" w:styleId="1077">
    <w:name w:val="albumcount"/>
    <w:semiHidden/>
    <w:qFormat/>
    <w:uiPriority w:val="0"/>
  </w:style>
  <w:style w:type="character" w:customStyle="1" w:styleId="1078">
    <w:name w:val="bold1"/>
    <w:qFormat/>
    <w:uiPriority w:val="0"/>
    <w:rPr>
      <w:b/>
      <w:bCs/>
    </w:rPr>
  </w:style>
  <w:style w:type="character" w:customStyle="1" w:styleId="1079">
    <w:name w:val="Char Char261"/>
    <w:qFormat/>
    <w:uiPriority w:val="0"/>
    <w:rPr>
      <w:rFonts w:ascii="宋体" w:hAnsi="Courier New" w:eastAsia="宋体" w:cs="Times New Roman"/>
      <w:kern w:val="0"/>
      <w:szCs w:val="20"/>
    </w:rPr>
  </w:style>
  <w:style w:type="character" w:customStyle="1" w:styleId="1080">
    <w:name w:val="sxwt2u"/>
    <w:qFormat/>
    <w:uiPriority w:val="0"/>
  </w:style>
  <w:style w:type="character" w:customStyle="1" w:styleId="1081">
    <w:name w:val="p1481"/>
    <w:semiHidden/>
    <w:qFormat/>
    <w:uiPriority w:val="0"/>
    <w:rPr>
      <w:color w:val="515151"/>
      <w:sz w:val="22"/>
      <w:szCs w:val="22"/>
    </w:rPr>
  </w:style>
  <w:style w:type="character" w:customStyle="1" w:styleId="1082">
    <w:name w:val="zwc"/>
    <w:qFormat/>
    <w:uiPriority w:val="0"/>
  </w:style>
  <w:style w:type="character" w:customStyle="1" w:styleId="1083">
    <w:name w:val="9css21"/>
    <w:qFormat/>
    <w:uiPriority w:val="0"/>
    <w:rPr>
      <w:spacing w:val="268"/>
      <w:sz w:val="20"/>
      <w:szCs w:val="20"/>
    </w:rPr>
  </w:style>
  <w:style w:type="character" w:customStyle="1" w:styleId="1084">
    <w:name w:val="sfmq"/>
    <w:qFormat/>
    <w:uiPriority w:val="0"/>
  </w:style>
  <w:style w:type="character" w:customStyle="1" w:styleId="1085">
    <w:name w:val="style441"/>
    <w:qFormat/>
    <w:uiPriority w:val="0"/>
    <w:rPr>
      <w:sz w:val="18"/>
      <w:szCs w:val="18"/>
    </w:rPr>
  </w:style>
  <w:style w:type="character" w:customStyle="1" w:styleId="1086">
    <w:name w:val="博泵1 Char"/>
    <w:link w:val="1087"/>
    <w:semiHidden/>
    <w:qFormat/>
    <w:uiPriority w:val="0"/>
    <w:rPr>
      <w:rFonts w:hAnsi="宋体"/>
      <w:color w:val="000000"/>
      <w:sz w:val="24"/>
    </w:rPr>
  </w:style>
  <w:style w:type="paragraph" w:customStyle="1" w:styleId="1087">
    <w:name w:val="博泵1"/>
    <w:basedOn w:val="1"/>
    <w:link w:val="1086"/>
    <w:semiHidden/>
    <w:qFormat/>
    <w:uiPriority w:val="0"/>
    <w:pPr>
      <w:adjustRightInd w:val="0"/>
      <w:spacing w:line="480" w:lineRule="exact"/>
      <w:ind w:firstLine="200" w:firstLineChars="200"/>
      <w:jc w:val="left"/>
      <w:textAlignment w:val="baseline"/>
    </w:pPr>
    <w:rPr>
      <w:rFonts w:hAnsi="宋体"/>
      <w:color w:val="000000"/>
      <w:kern w:val="0"/>
      <w:sz w:val="24"/>
      <w:szCs w:val="20"/>
    </w:rPr>
  </w:style>
  <w:style w:type="character" w:customStyle="1" w:styleId="1088">
    <w:name w:val="hangju1"/>
    <w:semiHidden/>
    <w:qFormat/>
    <w:uiPriority w:val="0"/>
  </w:style>
  <w:style w:type="character" w:customStyle="1" w:styleId="1089">
    <w:name w:val="样式48 Char"/>
    <w:link w:val="1090"/>
    <w:semiHidden/>
    <w:qFormat/>
    <w:uiPriority w:val="0"/>
    <w:rPr>
      <w:rFonts w:ascii="宋体" w:hAnsi="宋体"/>
      <w:kern w:val="2"/>
      <w:sz w:val="28"/>
      <w:szCs w:val="28"/>
    </w:rPr>
  </w:style>
  <w:style w:type="paragraph" w:customStyle="1" w:styleId="1090">
    <w:name w:val="样式48"/>
    <w:basedOn w:val="1"/>
    <w:link w:val="1089"/>
    <w:semiHidden/>
    <w:qFormat/>
    <w:uiPriority w:val="0"/>
    <w:pPr>
      <w:spacing w:line="560" w:lineRule="exact"/>
      <w:ind w:firstLine="560" w:firstLineChars="200"/>
    </w:pPr>
    <w:rPr>
      <w:rFonts w:ascii="宋体" w:hAnsi="宋体"/>
      <w:sz w:val="28"/>
      <w:szCs w:val="28"/>
    </w:rPr>
  </w:style>
  <w:style w:type="character" w:customStyle="1" w:styleId="1091">
    <w:name w:val="ht1"/>
    <w:qFormat/>
    <w:uiPriority w:val="0"/>
    <w:rPr>
      <w:rFonts w:ascii="黑体" w:eastAsia="黑体"/>
      <w:b/>
      <w:bCs/>
    </w:rPr>
  </w:style>
  <w:style w:type="character" w:customStyle="1" w:styleId="1092">
    <w:name w:val="Char Char271"/>
    <w:semiHidden/>
    <w:qFormat/>
    <w:uiPriority w:val="0"/>
    <w:rPr>
      <w:rFonts w:ascii="Arial" w:hAnsi="Arial" w:eastAsia="仿宋_GB2312" w:cs="Times New Roman"/>
      <w:kern w:val="0"/>
      <w:sz w:val="18"/>
      <w:szCs w:val="18"/>
    </w:rPr>
  </w:style>
  <w:style w:type="character" w:customStyle="1" w:styleId="1093">
    <w:name w:val="Char Char151"/>
    <w:qFormat/>
    <w:uiPriority w:val="0"/>
    <w:rPr>
      <w:rFonts w:hint="eastAsia" w:ascii="宋体" w:hAnsi="Courier New" w:eastAsia="宋体"/>
      <w:sz w:val="18"/>
      <w:lang w:val="en-US" w:eastAsia="zh-CN" w:bidi="ar-SA"/>
    </w:rPr>
  </w:style>
  <w:style w:type="character" w:customStyle="1" w:styleId="1094">
    <w:name w:val="文本 Char1"/>
    <w:semiHidden/>
    <w:qFormat/>
    <w:uiPriority w:val="0"/>
    <w:rPr>
      <w:rFonts w:eastAsia="楷体_GB2312"/>
      <w:kern w:val="2"/>
      <w:sz w:val="28"/>
    </w:rPr>
  </w:style>
  <w:style w:type="character" w:customStyle="1" w:styleId="1095">
    <w:name w:val="H1 Char4"/>
    <w:semiHidden/>
    <w:qFormat/>
    <w:uiPriority w:val="0"/>
    <w:rPr>
      <w:rFonts w:ascii="宋体" w:hAnsi="宋体" w:eastAsia="宋体"/>
      <w:b/>
      <w:bCs/>
      <w:kern w:val="44"/>
      <w:sz w:val="44"/>
      <w:szCs w:val="44"/>
      <w:lang w:val="en-US" w:eastAsia="zh-CN" w:bidi="ar-SA"/>
    </w:rPr>
  </w:style>
  <w:style w:type="character" w:customStyle="1" w:styleId="1096">
    <w:name w:val="Char Char Char Char Char Char Char Char Char Char Char Char Char Char Char Char Char Char Char Cha Char Char"/>
    <w:semiHidden/>
    <w:qFormat/>
    <w:uiPriority w:val="0"/>
    <w:rPr>
      <w:rFonts w:eastAsia="宋体"/>
      <w:sz w:val="18"/>
      <w:szCs w:val="24"/>
      <w:lang w:val="en-US" w:eastAsia="zh-CN" w:bidi="ar-SA"/>
    </w:rPr>
  </w:style>
  <w:style w:type="character" w:customStyle="1" w:styleId="1097">
    <w:name w:val="Char Char42"/>
    <w:qFormat/>
    <w:uiPriority w:val="0"/>
    <w:rPr>
      <w:rFonts w:hint="eastAsia" w:ascii="宋体" w:hAnsi="宋体" w:eastAsia="宋体"/>
      <w:b/>
      <w:bCs/>
      <w:kern w:val="2"/>
      <w:sz w:val="24"/>
      <w:szCs w:val="24"/>
      <w:lang w:val="en-US" w:eastAsia="zh-CN" w:bidi="ar-SA"/>
    </w:rPr>
  </w:style>
  <w:style w:type="character" w:customStyle="1" w:styleId="1098">
    <w:name w:val="main1"/>
    <w:qFormat/>
    <w:uiPriority w:val="0"/>
    <w:rPr>
      <w:color w:val="000000"/>
      <w:sz w:val="21"/>
      <w:szCs w:val="21"/>
    </w:rPr>
  </w:style>
  <w:style w:type="character" w:customStyle="1" w:styleId="1099">
    <w:name w:val="style391"/>
    <w:qFormat/>
    <w:uiPriority w:val="0"/>
    <w:rPr>
      <w:b/>
      <w:bCs/>
      <w:color w:val="CC0000"/>
    </w:rPr>
  </w:style>
  <w:style w:type="character" w:customStyle="1" w:styleId="1100">
    <w:name w:val="Char Char38"/>
    <w:qFormat/>
    <w:uiPriority w:val="0"/>
    <w:rPr>
      <w:rFonts w:ascii="宋体" w:hAnsi="Times New Roman" w:eastAsia="宋体" w:cs="Times New Roman"/>
      <w:sz w:val="18"/>
      <w:szCs w:val="18"/>
    </w:rPr>
  </w:style>
  <w:style w:type="character" w:customStyle="1" w:styleId="1101">
    <w:name w:val="页码 Char"/>
    <w:qFormat/>
    <w:uiPriority w:val="0"/>
  </w:style>
  <w:style w:type="character" w:customStyle="1" w:styleId="1102">
    <w:name w:val="viewthreadtxt"/>
    <w:qFormat/>
    <w:uiPriority w:val="0"/>
  </w:style>
  <w:style w:type="character" w:customStyle="1" w:styleId="1103">
    <w:name w:val="一"/>
    <w:semiHidden/>
    <w:qFormat/>
    <w:uiPriority w:val="0"/>
    <w:rPr>
      <w:rFonts w:ascii="Times New Roman" w:hAnsi="Times New Roman" w:eastAsia="宋体"/>
      <w:b/>
      <w:bCs/>
      <w:sz w:val="24"/>
    </w:rPr>
  </w:style>
  <w:style w:type="character" w:customStyle="1" w:styleId="1104">
    <w:name w:val="文字缩进 Char Char"/>
    <w:qFormat/>
    <w:uiPriority w:val="0"/>
    <w:rPr>
      <w:rFonts w:ascii="宋体" w:hAnsi="Courier New" w:eastAsia="宋体"/>
      <w:kern w:val="2"/>
      <w:sz w:val="21"/>
      <w:lang w:val="en-US" w:eastAsia="zh-CN" w:bidi="ar-SA"/>
    </w:rPr>
  </w:style>
  <w:style w:type="character" w:customStyle="1" w:styleId="1105">
    <w:name w:val="Char Char121"/>
    <w:qFormat/>
    <w:uiPriority w:val="0"/>
    <w:rPr>
      <w:sz w:val="18"/>
      <w:szCs w:val="18"/>
    </w:rPr>
  </w:style>
  <w:style w:type="character" w:customStyle="1" w:styleId="1106">
    <w:name w:val="style311"/>
    <w:qFormat/>
    <w:uiPriority w:val="0"/>
    <w:rPr>
      <w:b/>
      <w:bCs/>
      <w:color w:val="000000"/>
      <w:sz w:val="18"/>
      <w:szCs w:val="18"/>
    </w:rPr>
  </w:style>
  <w:style w:type="character" w:customStyle="1" w:styleId="1107">
    <w:name w:val="a51"/>
    <w:qFormat/>
    <w:uiPriority w:val="0"/>
    <w:rPr>
      <w:rFonts w:ascii="黑体" w:hAnsi="黑体" w:eastAsia="宋体"/>
      <w:b/>
      <w:color w:val="000000"/>
      <w:spacing w:val="10"/>
      <w:kern w:val="2"/>
      <w:sz w:val="21"/>
      <w:szCs w:val="21"/>
      <w:u w:val="none"/>
      <w:lang w:val="en-US" w:eastAsia="zh-CN" w:bidi="ar-SA"/>
    </w:rPr>
  </w:style>
  <w:style w:type="character" w:customStyle="1" w:styleId="1108">
    <w:name w:val="样式 仿宋_GB2312 四号"/>
    <w:semiHidden/>
    <w:qFormat/>
    <w:uiPriority w:val="0"/>
    <w:rPr>
      <w:rFonts w:ascii="仿宋_GB2312" w:hAnsi="仿宋_GB2312" w:eastAsia="仿宋_GB2312"/>
      <w:sz w:val="24"/>
    </w:rPr>
  </w:style>
  <w:style w:type="character" w:customStyle="1" w:styleId="1109">
    <w:name w:val="a5"/>
    <w:semiHidden/>
    <w:qFormat/>
    <w:uiPriority w:val="0"/>
  </w:style>
  <w:style w:type="character" w:customStyle="1" w:styleId="1110">
    <w:name w:val="sss1"/>
    <w:qFormat/>
    <w:uiPriority w:val="0"/>
    <w:rPr>
      <w:rFonts w:hint="eastAsia" w:ascii="宋体" w:hAnsi="宋体" w:eastAsia="宋体"/>
      <w:color w:val="999999"/>
      <w:sz w:val="21"/>
      <w:szCs w:val="21"/>
      <w:u w:val="none"/>
    </w:rPr>
  </w:style>
  <w:style w:type="character" w:customStyle="1" w:styleId="1111">
    <w:name w:val="Char Char282"/>
    <w:semiHidden/>
    <w:qFormat/>
    <w:uiPriority w:val="0"/>
    <w:rPr>
      <w:rFonts w:ascii="@黑体" w:hAnsi="@黑体"/>
      <w:kern w:val="2"/>
      <w:sz w:val="21"/>
      <w:szCs w:val="24"/>
    </w:rPr>
  </w:style>
  <w:style w:type="character" w:customStyle="1" w:styleId="1112">
    <w:name w:val="Char Char161"/>
    <w:qFormat/>
    <w:uiPriority w:val="0"/>
    <w:rPr>
      <w:rFonts w:eastAsia="仿宋_GB2312"/>
      <w:kern w:val="2"/>
      <w:sz w:val="28"/>
      <w:lang w:val="en-US" w:eastAsia="zh-CN" w:bidi="ar-SA"/>
    </w:rPr>
  </w:style>
  <w:style w:type="character" w:customStyle="1" w:styleId="1113">
    <w:name w:val="f141"/>
    <w:qFormat/>
    <w:uiPriority w:val="0"/>
    <w:rPr>
      <w:sz w:val="21"/>
      <w:szCs w:val="21"/>
    </w:rPr>
  </w:style>
  <w:style w:type="character" w:customStyle="1" w:styleId="1114">
    <w:name w:val="博泵正文"/>
    <w:semiHidden/>
    <w:qFormat/>
    <w:uiPriority w:val="0"/>
    <w:rPr>
      <w:rFonts w:eastAsia="宋体"/>
      <w:spacing w:val="-25"/>
      <w:sz w:val="24"/>
    </w:rPr>
  </w:style>
  <w:style w:type="character" w:customStyle="1" w:styleId="1115">
    <w:name w:val="style51"/>
    <w:qFormat/>
    <w:uiPriority w:val="0"/>
    <w:rPr>
      <w:sz w:val="21"/>
      <w:szCs w:val="21"/>
    </w:rPr>
  </w:style>
  <w:style w:type="character" w:customStyle="1" w:styleId="1116">
    <w:name w:val="h9 Char2"/>
    <w:qFormat/>
    <w:uiPriority w:val="0"/>
    <w:rPr>
      <w:rFonts w:ascii="Arial" w:hAnsi="Arial" w:eastAsia="黑体"/>
      <w:kern w:val="2"/>
      <w:sz w:val="24"/>
      <w:lang w:val="en-US" w:eastAsia="zh-CN" w:bidi="ar-SA"/>
    </w:rPr>
  </w:style>
  <w:style w:type="character" w:customStyle="1" w:styleId="1117">
    <w:name w:val="p9l1"/>
    <w:qFormat/>
    <w:uiPriority w:val="0"/>
    <w:rPr>
      <w:rFonts w:ascii="黑体" w:hAnsi="黑体" w:eastAsia="宋体"/>
      <w:b/>
      <w:spacing w:val="10"/>
      <w:kern w:val="2"/>
      <w:sz w:val="18"/>
      <w:szCs w:val="18"/>
      <w:u w:val="none"/>
      <w:lang w:val="en-US" w:eastAsia="zh-CN" w:bidi="ar-SA"/>
    </w:rPr>
  </w:style>
  <w:style w:type="character" w:customStyle="1" w:styleId="1118">
    <w:name w:val="文本框小四 Char Char"/>
    <w:qFormat/>
    <w:uiPriority w:val="0"/>
    <w:rPr>
      <w:rFonts w:ascii="宋体" w:hAnsi="宋体" w:eastAsia="仿宋_GB2312" w:cs="Courier New"/>
      <w:kern w:val="2"/>
      <w:sz w:val="24"/>
      <w:szCs w:val="24"/>
      <w:lang w:val="en-US" w:eastAsia="zh-CN" w:bidi="ar-SA"/>
    </w:rPr>
  </w:style>
  <w:style w:type="character" w:customStyle="1" w:styleId="1119">
    <w:name w:val="环正文 Char4"/>
    <w:qFormat/>
    <w:uiPriority w:val="0"/>
    <w:rPr>
      <w:rFonts w:ascii="宋体" w:hAnsi="宋体" w:eastAsia="宋体"/>
      <w:color w:val="000000"/>
      <w:sz w:val="24"/>
      <w:lang w:val="en-US" w:eastAsia="zh-CN" w:bidi="ar-SA"/>
    </w:rPr>
  </w:style>
  <w:style w:type="character" w:customStyle="1" w:styleId="1120">
    <w:name w:val="gray"/>
    <w:qFormat/>
    <w:uiPriority w:val="0"/>
  </w:style>
  <w:style w:type="character" w:customStyle="1" w:styleId="1121">
    <w:name w:val="tpc_content1"/>
    <w:qFormat/>
    <w:uiPriority w:val="0"/>
    <w:rPr>
      <w:sz w:val="20"/>
      <w:szCs w:val="20"/>
    </w:rPr>
  </w:style>
  <w:style w:type="character" w:customStyle="1" w:styleId="1122">
    <w:name w:val="tdword"/>
    <w:qFormat/>
    <w:uiPriority w:val="0"/>
  </w:style>
  <w:style w:type="character" w:customStyle="1" w:styleId="1123">
    <w:name w:val="环正文 Char5"/>
    <w:qFormat/>
    <w:uiPriority w:val="0"/>
    <w:rPr>
      <w:rFonts w:ascii="宋体" w:hAnsi="宋体" w:eastAsia="宋体"/>
      <w:color w:val="000000"/>
      <w:kern w:val="2"/>
      <w:sz w:val="24"/>
      <w:szCs w:val="24"/>
      <w:lang w:val="en-US" w:eastAsia="zh-CN" w:bidi="ar-SA"/>
    </w:rPr>
  </w:style>
  <w:style w:type="character" w:customStyle="1" w:styleId="1124">
    <w:name w:val="font201"/>
    <w:qFormat/>
    <w:uiPriority w:val="0"/>
  </w:style>
  <w:style w:type="character" w:customStyle="1" w:styleId="1125">
    <w:name w:val="正文文字缩进 2 Char"/>
    <w:qFormat/>
    <w:uiPriority w:val="0"/>
    <w:rPr>
      <w:rFonts w:ascii="宋体" w:hAnsi="宋体" w:eastAsia="宋体"/>
      <w:kern w:val="2"/>
      <w:sz w:val="24"/>
      <w:szCs w:val="24"/>
      <w:lang w:val="en-US" w:eastAsia="zh-CN" w:bidi="ar-SA"/>
    </w:rPr>
  </w:style>
  <w:style w:type="character" w:customStyle="1" w:styleId="1126">
    <w:name w:val="H2 Char2"/>
    <w:qFormat/>
    <w:uiPriority w:val="0"/>
    <w:rPr>
      <w:rFonts w:ascii="Arial" w:hAnsi="Arial" w:eastAsia="黑体"/>
      <w:b/>
      <w:bCs/>
      <w:kern w:val="2"/>
      <w:sz w:val="32"/>
      <w:szCs w:val="32"/>
      <w:lang w:val="en-US" w:eastAsia="zh-CN" w:bidi="ar-SA"/>
    </w:rPr>
  </w:style>
  <w:style w:type="character" w:customStyle="1" w:styleId="1127">
    <w:name w:val="ft-hanggao"/>
    <w:qFormat/>
    <w:uiPriority w:val="0"/>
  </w:style>
  <w:style w:type="character" w:customStyle="1" w:styleId="1128">
    <w:name w:val="正文首行缩进2个字 Char"/>
    <w:link w:val="1129"/>
    <w:semiHidden/>
    <w:qFormat/>
    <w:uiPriority w:val="0"/>
    <w:rPr>
      <w:rFonts w:ascii="@黑体" w:hAnsi="@黑体" w:eastAsia="Tahoma"/>
      <w:kern w:val="2"/>
      <w:sz w:val="24"/>
      <w:szCs w:val="24"/>
    </w:rPr>
  </w:style>
  <w:style w:type="paragraph" w:customStyle="1" w:styleId="1129">
    <w:name w:val="正文首行缩进2个字"/>
    <w:basedOn w:val="1"/>
    <w:link w:val="1128"/>
    <w:semiHidden/>
    <w:qFormat/>
    <w:uiPriority w:val="0"/>
    <w:pPr>
      <w:ind w:firstLine="480" w:firstLineChars="200"/>
    </w:pPr>
    <w:rPr>
      <w:rFonts w:ascii="@黑体" w:hAnsi="@黑体" w:eastAsia="Tahoma"/>
      <w:sz w:val="24"/>
    </w:rPr>
  </w:style>
  <w:style w:type="character" w:customStyle="1" w:styleId="1130">
    <w:name w:val="s c c"/>
    <w:qFormat/>
    <w:uiPriority w:val="0"/>
  </w:style>
  <w:style w:type="character" w:customStyle="1" w:styleId="1131">
    <w:name w:val="Char Char29"/>
    <w:semiHidden/>
    <w:qFormat/>
    <w:uiPriority w:val="0"/>
    <w:rPr>
      <w:rFonts w:ascii="Arial" w:hAnsi="Arial" w:eastAsia="宋体" w:cs="Arial"/>
      <w:b/>
      <w:bCs/>
      <w:kern w:val="2"/>
      <w:sz w:val="36"/>
      <w:szCs w:val="32"/>
      <w:lang w:val="en-US" w:eastAsia="zh-CN" w:bidi="ar-SA"/>
    </w:rPr>
  </w:style>
  <w:style w:type="character" w:customStyle="1" w:styleId="1132">
    <w:name w:val="style401"/>
    <w:qFormat/>
    <w:uiPriority w:val="0"/>
    <w:rPr>
      <w:color w:val="000000"/>
    </w:rPr>
  </w:style>
  <w:style w:type="character" w:customStyle="1" w:styleId="1133">
    <w:name w:val="表蕊 Char"/>
    <w:semiHidden/>
    <w:qFormat/>
    <w:uiPriority w:val="0"/>
    <w:rPr>
      <w:rFonts w:eastAsia="楷体"/>
      <w:spacing w:val="-10"/>
      <w:kern w:val="0"/>
      <w:sz w:val="21"/>
    </w:rPr>
  </w:style>
  <w:style w:type="character" w:customStyle="1" w:styleId="1134">
    <w:name w:val="k"/>
    <w:semiHidden/>
    <w:qFormat/>
    <w:uiPriority w:val="0"/>
  </w:style>
  <w:style w:type="character" w:customStyle="1" w:styleId="1135">
    <w:name w:val="表格1 Char Char"/>
    <w:qFormat/>
    <w:uiPriority w:val="0"/>
    <w:rPr>
      <w:rFonts w:ascii="宋体"/>
      <w:kern w:val="2"/>
      <w:sz w:val="24"/>
    </w:rPr>
  </w:style>
  <w:style w:type="character" w:customStyle="1" w:styleId="1136">
    <w:name w:val="f9bg"/>
    <w:semiHidden/>
    <w:qFormat/>
    <w:uiPriority w:val="0"/>
  </w:style>
  <w:style w:type="character" w:customStyle="1" w:styleId="1137">
    <w:name w:val="newstitle1"/>
    <w:semiHidden/>
    <w:qFormat/>
    <w:uiPriority w:val="0"/>
    <w:rPr>
      <w:b/>
      <w:bCs/>
      <w:color w:val="444444"/>
      <w:sz w:val="24"/>
      <w:szCs w:val="24"/>
    </w:rPr>
  </w:style>
  <w:style w:type="character" w:customStyle="1" w:styleId="1138">
    <w:name w:val="正文首行缩进 2 + Times New Roman Char"/>
    <w:qFormat/>
    <w:uiPriority w:val="0"/>
    <w:rPr>
      <w:rFonts w:ascii="黑体" w:hAnsi="宋体" w:eastAsia="宋体"/>
      <w:b/>
      <w:spacing w:val="10"/>
      <w:kern w:val="2"/>
      <w:sz w:val="24"/>
      <w:szCs w:val="24"/>
      <w:lang w:val="en-US" w:eastAsia="zh-CN" w:bidi="ar-SA"/>
    </w:rPr>
  </w:style>
  <w:style w:type="character" w:customStyle="1" w:styleId="1139">
    <w:name w:val="head121"/>
    <w:qFormat/>
    <w:uiPriority w:val="0"/>
    <w:rPr>
      <w:sz w:val="22"/>
      <w:szCs w:val="22"/>
    </w:rPr>
  </w:style>
  <w:style w:type="character" w:customStyle="1" w:styleId="1140">
    <w:name w:val="H2 Char1"/>
    <w:qFormat/>
    <w:uiPriority w:val="0"/>
    <w:rPr>
      <w:rFonts w:ascii="宋体" w:hAnsi="宋体"/>
      <w:b/>
      <w:bCs/>
      <w:kern w:val="2"/>
      <w:sz w:val="28"/>
      <w:szCs w:val="32"/>
    </w:rPr>
  </w:style>
  <w:style w:type="character" w:customStyle="1" w:styleId="1141">
    <w:name w:val="javascript"/>
    <w:qFormat/>
    <w:uiPriority w:val="0"/>
    <w:rPr>
      <w:rFonts w:ascii="黑体" w:hAnsi="黑体" w:eastAsia="宋体"/>
      <w:b/>
      <w:spacing w:val="10"/>
      <w:kern w:val="2"/>
      <w:sz w:val="28"/>
      <w:szCs w:val="28"/>
      <w:lang w:val="en-US" w:eastAsia="zh-CN" w:bidi="ar-SA"/>
    </w:rPr>
  </w:style>
  <w:style w:type="character" w:customStyle="1" w:styleId="1142">
    <w:name w:val="Char Char36"/>
    <w:qFormat/>
    <w:uiPriority w:val="0"/>
    <w:rPr>
      <w:rFonts w:ascii="Times New Roman" w:hAnsi="Times New Roman" w:eastAsia="宋体" w:cs="Times New Roman"/>
      <w:b/>
      <w:bCs/>
      <w:szCs w:val="20"/>
    </w:rPr>
  </w:style>
  <w:style w:type="character" w:customStyle="1" w:styleId="1143">
    <w:name w:val="font121"/>
    <w:qFormat/>
    <w:uiPriority w:val="0"/>
    <w:rPr>
      <w:rFonts w:hint="eastAsia" w:ascii="宋体" w:hAnsi="宋体" w:eastAsia="宋体" w:cs="宋体"/>
      <w:color w:val="000000"/>
      <w:sz w:val="20"/>
      <w:szCs w:val="20"/>
      <w:u w:val="none"/>
      <w:vertAlign w:val="subscript"/>
    </w:rPr>
  </w:style>
  <w:style w:type="character" w:customStyle="1" w:styleId="1144">
    <w:name w:val="111表头 Char"/>
    <w:link w:val="1145"/>
    <w:qFormat/>
    <w:uiPriority w:val="0"/>
    <w:rPr>
      <w:rFonts w:ascii="宋体" w:hAnsi="宋体"/>
      <w:b/>
      <w:kern w:val="2"/>
      <w:sz w:val="24"/>
      <w:szCs w:val="22"/>
    </w:rPr>
  </w:style>
  <w:style w:type="paragraph" w:customStyle="1" w:styleId="1145">
    <w:name w:val="111表头"/>
    <w:basedOn w:val="1"/>
    <w:link w:val="1144"/>
    <w:qFormat/>
    <w:uiPriority w:val="0"/>
    <w:pPr>
      <w:tabs>
        <w:tab w:val="left" w:pos="600"/>
      </w:tabs>
      <w:spacing w:line="360" w:lineRule="auto"/>
      <w:jc w:val="center"/>
    </w:pPr>
    <w:rPr>
      <w:rFonts w:ascii="宋体" w:hAnsi="宋体"/>
      <w:b/>
      <w:sz w:val="24"/>
      <w:szCs w:val="22"/>
    </w:rPr>
  </w:style>
  <w:style w:type="character" w:customStyle="1" w:styleId="1146">
    <w:name w:val="font91"/>
    <w:qFormat/>
    <w:uiPriority w:val="0"/>
    <w:rPr>
      <w:rFonts w:hint="default" w:ascii="Times New Roman" w:hAnsi="Times New Roman" w:cs="Times New Roman"/>
      <w:color w:val="000000"/>
      <w:sz w:val="21"/>
      <w:szCs w:val="21"/>
      <w:u w:val="none"/>
      <w:vertAlign w:val="subscript"/>
    </w:rPr>
  </w:style>
  <w:style w:type="character" w:customStyle="1" w:styleId="1147">
    <w:name w:val="Char Char351"/>
    <w:semiHidden/>
    <w:qFormat/>
    <w:uiPriority w:val="0"/>
    <w:rPr>
      <w:rFonts w:ascii="Times New Roman" w:hAnsi="Times New Roman" w:eastAsia="宋体" w:cs="Times New Roman"/>
      <w:sz w:val="18"/>
      <w:szCs w:val="18"/>
    </w:rPr>
  </w:style>
  <w:style w:type="character" w:customStyle="1" w:styleId="1148">
    <w:name w:val="question-title2"/>
    <w:qFormat/>
    <w:uiPriority w:val="0"/>
  </w:style>
  <w:style w:type="character" w:customStyle="1" w:styleId="1149">
    <w:name w:val="s4 Cha"/>
    <w:qFormat/>
    <w:uiPriority w:val="0"/>
    <w:rPr>
      <w:rFonts w:ascii="仿宋_GB2312" w:eastAsia="仿宋_GB2312"/>
      <w:kern w:val="2"/>
      <w:sz w:val="28"/>
      <w:szCs w:val="24"/>
      <w:lang w:val="en-US" w:eastAsia="zh-CN" w:bidi="ar-SA"/>
    </w:rPr>
  </w:style>
  <w:style w:type="character" w:customStyle="1" w:styleId="1150">
    <w:name w:val="样式 样式 首行缩进:  2 字符 + 首行缩进:  2 字符2 Char"/>
    <w:link w:val="1151"/>
    <w:qFormat/>
    <w:uiPriority w:val="0"/>
    <w:rPr>
      <w:rFonts w:eastAsia="楷体_GB2312"/>
      <w:spacing w:val="6"/>
      <w:sz w:val="28"/>
    </w:rPr>
  </w:style>
  <w:style w:type="paragraph" w:customStyle="1" w:styleId="1151">
    <w:name w:val="样式 样式 首行缩进:  2 字符 + 首行缩进:  2 字符2"/>
    <w:basedOn w:val="1"/>
    <w:link w:val="1150"/>
    <w:qFormat/>
    <w:uiPriority w:val="0"/>
    <w:pPr>
      <w:spacing w:line="440" w:lineRule="exact"/>
      <w:ind w:firstLine="584" w:firstLineChars="200"/>
    </w:pPr>
    <w:rPr>
      <w:rFonts w:eastAsia="楷体_GB2312"/>
      <w:spacing w:val="6"/>
      <w:kern w:val="0"/>
      <w:sz w:val="28"/>
      <w:szCs w:val="20"/>
    </w:rPr>
  </w:style>
  <w:style w:type="character" w:customStyle="1" w:styleId="1152">
    <w:name w:val="文本框五号 Char Char Char Char"/>
    <w:qFormat/>
    <w:uiPriority w:val="0"/>
    <w:rPr>
      <w:rFonts w:ascii="宋体" w:hAnsi="宋体" w:eastAsia="仿宋_GB2312" w:cs="Courier New"/>
      <w:kern w:val="2"/>
      <w:sz w:val="21"/>
      <w:szCs w:val="21"/>
      <w:lang w:val="en-US" w:eastAsia="zh-CN" w:bidi="ar-SA"/>
    </w:rPr>
  </w:style>
  <w:style w:type="character" w:customStyle="1" w:styleId="1153">
    <w:name w:val="样式 报告正文 + 首行缩进:  2 字符 Char Char Char"/>
    <w:semiHidden/>
    <w:qFormat/>
    <w:uiPriority w:val="0"/>
    <w:rPr>
      <w:rFonts w:ascii="Times New Roman" w:hAnsi="Times New Roman" w:eastAsia="楷体_GB2312" w:cs="宋体"/>
      <w:bCs/>
      <w:kern w:val="2"/>
      <w:sz w:val="30"/>
      <w:szCs w:val="24"/>
    </w:rPr>
  </w:style>
  <w:style w:type="character" w:customStyle="1" w:styleId="1154">
    <w:name w:val="hangju"/>
    <w:semiHidden/>
    <w:qFormat/>
    <w:uiPriority w:val="0"/>
  </w:style>
  <w:style w:type="character" w:customStyle="1" w:styleId="1155">
    <w:name w:val="hhcwt表头 Char Char"/>
    <w:link w:val="1156"/>
    <w:qFormat/>
    <w:uiPriority w:val="0"/>
    <w:rPr>
      <w:rFonts w:ascii="楷体_GB2312" w:eastAsia="楷体_GB2312"/>
      <w:b/>
      <w:bCs/>
      <w:sz w:val="24"/>
    </w:rPr>
  </w:style>
  <w:style w:type="paragraph" w:customStyle="1" w:styleId="1156">
    <w:name w:val="hhcwt表头"/>
    <w:basedOn w:val="1"/>
    <w:link w:val="1155"/>
    <w:qFormat/>
    <w:uiPriority w:val="0"/>
    <w:pPr>
      <w:spacing w:after="120" w:line="500" w:lineRule="exact"/>
      <w:jc w:val="center"/>
    </w:pPr>
    <w:rPr>
      <w:rFonts w:ascii="楷体_GB2312" w:eastAsia="楷体_GB2312"/>
      <w:b/>
      <w:bCs/>
      <w:kern w:val="0"/>
      <w:sz w:val="24"/>
      <w:szCs w:val="20"/>
    </w:rPr>
  </w:style>
  <w:style w:type="character" w:customStyle="1" w:styleId="1157">
    <w:name w:val="unnamed3"/>
    <w:qFormat/>
    <w:uiPriority w:val="0"/>
  </w:style>
  <w:style w:type="character" w:customStyle="1" w:styleId="1158">
    <w:name w:val="Char Char35"/>
    <w:qFormat/>
    <w:uiPriority w:val="0"/>
    <w:rPr>
      <w:rFonts w:ascii="Times New Roman" w:hAnsi="Times New Roman" w:eastAsia="宋体" w:cs="Times New Roman"/>
      <w:sz w:val="18"/>
      <w:szCs w:val="18"/>
    </w:rPr>
  </w:style>
  <w:style w:type="character" w:customStyle="1" w:styleId="1159">
    <w:name w:val="批注主题 Char Char"/>
    <w:semiHidden/>
    <w:qFormat/>
    <w:uiPriority w:val="0"/>
    <w:rPr>
      <w:rFonts w:ascii="宋体" w:hAnsi="宋体" w:eastAsia="宋体"/>
      <w:b/>
      <w:bCs/>
      <w:kern w:val="2"/>
      <w:sz w:val="24"/>
      <w:lang w:val="en-US" w:eastAsia="zh-CN" w:bidi="ar-SA"/>
    </w:rPr>
  </w:style>
  <w:style w:type="character" w:customStyle="1" w:styleId="1160">
    <w:name w:val="Char Char Char3"/>
    <w:qFormat/>
    <w:uiPriority w:val="0"/>
    <w:rPr>
      <w:rFonts w:hint="eastAsia" w:ascii="宋体" w:hAnsi="Arial" w:eastAsia="宋体"/>
      <w:kern w:val="2"/>
      <w:sz w:val="28"/>
      <w:lang w:val="en-US" w:eastAsia="zh-CN" w:bidi="ar-SA"/>
    </w:rPr>
  </w:style>
  <w:style w:type="character" w:customStyle="1" w:styleId="1161">
    <w:name w:val="style5"/>
    <w:qFormat/>
    <w:uiPriority w:val="0"/>
  </w:style>
  <w:style w:type="character" w:customStyle="1" w:styleId="1162">
    <w:name w:val="ca-2"/>
    <w:semiHidden/>
    <w:qFormat/>
    <w:uiPriority w:val="0"/>
  </w:style>
  <w:style w:type="character" w:customStyle="1" w:styleId="1163">
    <w:name w:val="特点标题 Char Char1"/>
    <w:qFormat/>
    <w:uiPriority w:val="0"/>
    <w:rPr>
      <w:rFonts w:ascii="Bookman Old Style" w:hAnsi="Bookman Old Style" w:eastAsia="宋体"/>
      <w:kern w:val="2"/>
      <w:sz w:val="24"/>
      <w:lang w:val="en-US" w:eastAsia="zh-CN" w:bidi="ar-SA"/>
    </w:rPr>
  </w:style>
  <w:style w:type="character" w:customStyle="1" w:styleId="1164">
    <w:name w:val="sub_title1"/>
    <w:qFormat/>
    <w:uiPriority w:val="0"/>
    <w:rPr>
      <w:rFonts w:hint="default"/>
      <w:color w:val="FF6600"/>
      <w:sz w:val="21"/>
      <w:szCs w:val="21"/>
    </w:rPr>
  </w:style>
  <w:style w:type="character" w:customStyle="1" w:styleId="1165">
    <w:name w:val="Char Char131"/>
    <w:qFormat/>
    <w:uiPriority w:val="0"/>
    <w:rPr>
      <w:rFonts w:eastAsia="宋体"/>
      <w:kern w:val="2"/>
      <w:sz w:val="21"/>
      <w:lang w:val="en-US" w:eastAsia="zh-CN" w:bidi="ar-SA"/>
    </w:rPr>
  </w:style>
  <w:style w:type="character" w:customStyle="1" w:styleId="1166">
    <w:name w:val="注释1 Char"/>
    <w:link w:val="1167"/>
    <w:qFormat/>
    <w:uiPriority w:val="0"/>
    <w:rPr>
      <w:szCs w:val="24"/>
    </w:rPr>
  </w:style>
  <w:style w:type="paragraph" w:customStyle="1" w:styleId="1167">
    <w:name w:val="注释1"/>
    <w:basedOn w:val="1"/>
    <w:next w:val="1"/>
    <w:link w:val="1166"/>
    <w:qFormat/>
    <w:uiPriority w:val="0"/>
    <w:pPr>
      <w:spacing w:line="320" w:lineRule="exact"/>
      <w:ind w:firstLine="200" w:firstLineChars="200"/>
      <w:jc w:val="left"/>
    </w:pPr>
    <w:rPr>
      <w:kern w:val="0"/>
      <w:sz w:val="20"/>
    </w:rPr>
  </w:style>
  <w:style w:type="character" w:customStyle="1" w:styleId="1168">
    <w:name w:val="Char Char50"/>
    <w:semiHidden/>
    <w:qFormat/>
    <w:uiPriority w:val="0"/>
    <w:rPr>
      <w:rFonts w:eastAsia="宋体"/>
      <w:kern w:val="2"/>
      <w:sz w:val="24"/>
      <w:lang w:val="en-US" w:eastAsia="zh-CN" w:bidi="ar-SA"/>
    </w:rPr>
  </w:style>
  <w:style w:type="character" w:customStyle="1" w:styleId="1169">
    <w:name w:val="detail_style1"/>
    <w:qFormat/>
    <w:uiPriority w:val="0"/>
    <w:rPr>
      <w:sz w:val="26"/>
      <w:szCs w:val="26"/>
      <w:u w:val="none"/>
    </w:rPr>
  </w:style>
  <w:style w:type="character" w:customStyle="1" w:styleId="1170">
    <w:name w:val="H1 Char5"/>
    <w:qFormat/>
    <w:uiPriority w:val="0"/>
    <w:rPr>
      <w:rFonts w:ascii="宋体" w:hAnsi="宋体" w:eastAsia="宋体"/>
      <w:b/>
      <w:bCs/>
      <w:kern w:val="44"/>
      <w:sz w:val="44"/>
      <w:szCs w:val="44"/>
      <w:lang w:val="en-US" w:eastAsia="zh-CN" w:bidi="ar-SA"/>
    </w:rPr>
  </w:style>
  <w:style w:type="character" w:customStyle="1" w:styleId="1171">
    <w:name w:val="HBZW"/>
    <w:semiHidden/>
    <w:qFormat/>
    <w:uiPriority w:val="0"/>
    <w:rPr>
      <w:rFonts w:ascii="宋体" w:hAnsi="宋体" w:eastAsia="宋体"/>
      <w:kern w:val="0"/>
      <w:sz w:val="24"/>
      <w:lang w:val="en-US" w:eastAsia="zh-CN" w:bidi="ar-SA"/>
    </w:rPr>
  </w:style>
  <w:style w:type="character" w:customStyle="1" w:styleId="1172">
    <w:name w:val="注释 Char"/>
    <w:semiHidden/>
    <w:qFormat/>
    <w:uiPriority w:val="0"/>
    <w:rPr>
      <w:rFonts w:ascii="宋体" w:eastAsia="仿宋_GB2312" w:cs="宋体"/>
      <w:snapToGrid/>
      <w:spacing w:val="4"/>
      <w:sz w:val="24"/>
      <w:lang w:val="en-US" w:eastAsia="zh-CN" w:bidi="ar-SA"/>
    </w:rPr>
  </w:style>
  <w:style w:type="character" w:customStyle="1" w:styleId="1173">
    <w:name w:val="ssmj9"/>
    <w:qFormat/>
    <w:uiPriority w:val="0"/>
  </w:style>
  <w:style w:type="character" w:customStyle="1" w:styleId="1174">
    <w:name w:val="表格题注 Char"/>
    <w:semiHidden/>
    <w:qFormat/>
    <w:uiPriority w:val="0"/>
    <w:rPr>
      <w:rFonts w:ascii="宋体" w:hAnsi="宋体" w:eastAsia="宋体" w:cs="宋体"/>
      <w:snapToGrid/>
      <w:kern w:val="24"/>
      <w:sz w:val="24"/>
      <w:szCs w:val="24"/>
      <w:lang w:val="en-US" w:eastAsia="zh-CN" w:bidi="ar-SA"/>
    </w:rPr>
  </w:style>
  <w:style w:type="character" w:customStyle="1" w:styleId="1175">
    <w:name w:val="Char Char182"/>
    <w:semiHidden/>
    <w:qFormat/>
    <w:uiPriority w:val="0"/>
    <w:rPr>
      <w:rFonts w:ascii="@黑体" w:hAnsi="@黑体"/>
      <w:kern w:val="2"/>
      <w:sz w:val="16"/>
      <w:szCs w:val="16"/>
    </w:rPr>
  </w:style>
  <w:style w:type="character" w:customStyle="1" w:styleId="1176">
    <w:name w:val="正文（首行缩进两字） Char Char1 Char"/>
    <w:qFormat/>
    <w:uiPriority w:val="0"/>
    <w:rPr>
      <w:rFonts w:ascii="仿宋_GB2312" w:eastAsia="仿宋_GB2312"/>
      <w:color w:val="000000"/>
      <w:kern w:val="2"/>
      <w:sz w:val="28"/>
      <w:szCs w:val="24"/>
      <w:lang w:val="en-US" w:eastAsia="zh-CN" w:bidi="ar-SA"/>
    </w:rPr>
  </w:style>
  <w:style w:type="character" w:customStyle="1" w:styleId="1177">
    <w:name w:val="sy1"/>
    <w:semiHidden/>
    <w:qFormat/>
    <w:uiPriority w:val="0"/>
  </w:style>
  <w:style w:type="character" w:customStyle="1" w:styleId="1178">
    <w:name w:val="文本框五号1.5倍行距 Char Char"/>
    <w:qFormat/>
    <w:uiPriority w:val="0"/>
    <w:rPr>
      <w:rFonts w:ascii="宋体" w:hAnsi="宋体" w:eastAsia="仿宋_GB2312" w:cs="Courier New"/>
      <w:kern w:val="2"/>
      <w:sz w:val="21"/>
      <w:szCs w:val="21"/>
      <w:lang w:val="en-US" w:eastAsia="zh-CN" w:bidi="ar-SA"/>
    </w:rPr>
  </w:style>
  <w:style w:type="character" w:customStyle="1" w:styleId="1179">
    <w:name w:val="word_break"/>
    <w:semiHidden/>
    <w:qFormat/>
    <w:uiPriority w:val="0"/>
  </w:style>
  <w:style w:type="character" w:customStyle="1" w:styleId="1180">
    <w:name w:val="正文（首行缩进两字） Char Char Char Char Char Char Char C"/>
    <w:qFormat/>
    <w:uiPriority w:val="0"/>
    <w:rPr>
      <w:rFonts w:ascii="仿宋_GB2312" w:eastAsia="仿宋_GB2312"/>
      <w:kern w:val="2"/>
      <w:sz w:val="28"/>
      <w:szCs w:val="24"/>
      <w:lang w:val="en-US" w:eastAsia="zh-CN" w:bidi="ar-SA"/>
    </w:rPr>
  </w:style>
  <w:style w:type="character" w:customStyle="1" w:styleId="1181">
    <w:name w:val="标题 1 Char Char Char Char"/>
    <w:semiHidden/>
    <w:qFormat/>
    <w:uiPriority w:val="0"/>
  </w:style>
  <w:style w:type="character" w:customStyle="1" w:styleId="1182">
    <w:name w:val="hg1"/>
    <w:qFormat/>
    <w:uiPriority w:val="0"/>
  </w:style>
  <w:style w:type="character" w:customStyle="1" w:styleId="1183">
    <w:name w:val="节 Char1"/>
    <w:semiHidden/>
    <w:qFormat/>
    <w:uiPriority w:val="0"/>
    <w:rPr>
      <w:kern w:val="0"/>
    </w:rPr>
  </w:style>
  <w:style w:type="character" w:customStyle="1" w:styleId="1184">
    <w:name w:val="dash Char2"/>
    <w:qFormat/>
    <w:uiPriority w:val="0"/>
    <w:rPr>
      <w:rFonts w:eastAsia="宋体"/>
      <w:b/>
      <w:kern w:val="2"/>
      <w:sz w:val="28"/>
      <w:lang w:val="en-US" w:eastAsia="zh-CN" w:bidi="ar-SA"/>
    </w:rPr>
  </w:style>
  <w:style w:type="character" w:customStyle="1" w:styleId="1185">
    <w:name w:val="Lead-in Emphasis"/>
    <w:semiHidden/>
    <w:qFormat/>
    <w:uiPriority w:val="0"/>
    <w:rPr>
      <w:rFonts w:ascii="Tahoma" w:hAnsi="Tahoma"/>
      <w:b/>
      <w:spacing w:val="-8"/>
      <w:sz w:val="18"/>
    </w:rPr>
  </w:style>
  <w:style w:type="character" w:customStyle="1" w:styleId="1186">
    <w:name w:val="al11"/>
    <w:qFormat/>
    <w:uiPriority w:val="0"/>
    <w:rPr>
      <w:color w:val="333333"/>
      <w:sz w:val="18"/>
      <w:szCs w:val="18"/>
    </w:rPr>
  </w:style>
  <w:style w:type="character" w:customStyle="1" w:styleId="1187">
    <w:name w:val="样式 方程式 + 宋体 Char Char"/>
    <w:link w:val="1188"/>
    <w:semiHidden/>
    <w:qFormat/>
    <w:uiPriority w:val="0"/>
    <w:rPr>
      <w:rFonts w:ascii="宋体" w:hAnsi="宋体"/>
      <w:b/>
      <w:sz w:val="24"/>
    </w:rPr>
  </w:style>
  <w:style w:type="paragraph" w:customStyle="1" w:styleId="1188">
    <w:name w:val="样式 方程式 + 宋体"/>
    <w:link w:val="1187"/>
    <w:semiHidden/>
    <w:qFormat/>
    <w:uiPriority w:val="0"/>
    <w:rPr>
      <w:rFonts w:ascii="宋体" w:hAnsi="宋体" w:eastAsia="宋体" w:cs="Times New Roman"/>
      <w:b/>
      <w:sz w:val="24"/>
      <w:lang w:val="en-US" w:eastAsia="zh-CN" w:bidi="ar-SA"/>
    </w:rPr>
  </w:style>
  <w:style w:type="paragraph" w:customStyle="1" w:styleId="1189">
    <w:name w:val="方程式"/>
    <w:basedOn w:val="1"/>
    <w:link w:val="1190"/>
    <w:semiHidden/>
    <w:qFormat/>
    <w:uiPriority w:val="0"/>
    <w:pPr>
      <w:spacing w:line="360" w:lineRule="auto"/>
      <w:ind w:firstLine="723" w:firstLineChars="300"/>
    </w:pPr>
    <w:rPr>
      <w:rFonts w:ascii="宋体" w:hAnsi="宋体" w:cs="Calibri"/>
      <w:b/>
      <w:kern w:val="0"/>
      <w:sz w:val="24"/>
      <w:szCs w:val="20"/>
    </w:rPr>
  </w:style>
  <w:style w:type="character" w:customStyle="1" w:styleId="1190">
    <w:name w:val="方程式 Char Char"/>
    <w:link w:val="1189"/>
    <w:semiHidden/>
    <w:qFormat/>
    <w:uiPriority w:val="0"/>
    <w:rPr>
      <w:rFonts w:ascii="宋体" w:hAnsi="宋体" w:cs="Calibri"/>
      <w:b/>
      <w:sz w:val="24"/>
    </w:rPr>
  </w:style>
  <w:style w:type="character" w:customStyle="1" w:styleId="1191">
    <w:name w:val="9n1"/>
    <w:qFormat/>
    <w:uiPriority w:val="0"/>
    <w:rPr>
      <w:color w:val="000000"/>
      <w:sz w:val="18"/>
      <w:szCs w:val="18"/>
      <w:u w:val="none"/>
    </w:rPr>
  </w:style>
  <w:style w:type="character" w:customStyle="1" w:styleId="1192">
    <w:name w:val="p41"/>
    <w:qFormat/>
    <w:uiPriority w:val="0"/>
    <w:rPr>
      <w:rFonts w:hint="eastAsia" w:ascii="宋体" w:hAnsi="宋体" w:eastAsia="宋体"/>
      <w:sz w:val="21"/>
      <w:szCs w:val="21"/>
    </w:rPr>
  </w:style>
  <w:style w:type="character" w:customStyle="1" w:styleId="1193">
    <w:name w:val="unnamed51"/>
    <w:qFormat/>
    <w:uiPriority w:val="0"/>
    <w:rPr>
      <w:rFonts w:hint="eastAsia" w:ascii="宋体" w:hAnsi="宋体" w:eastAsia="宋体"/>
      <w:sz w:val="24"/>
      <w:szCs w:val="24"/>
    </w:rPr>
  </w:style>
  <w:style w:type="character" w:customStyle="1" w:styleId="1194">
    <w:name w:val="f14b1"/>
    <w:qFormat/>
    <w:uiPriority w:val="0"/>
    <w:rPr>
      <w:b/>
      <w:bCs/>
      <w:sz w:val="21"/>
      <w:szCs w:val="21"/>
    </w:rPr>
  </w:style>
  <w:style w:type="character" w:customStyle="1" w:styleId="1195">
    <w:name w:val="批注主题 Char2"/>
    <w:semiHidden/>
    <w:qFormat/>
    <w:uiPriority w:val="99"/>
    <w:rPr>
      <w:rFonts w:ascii="Times New Roman" w:hAnsi="Times New Roman" w:eastAsia="宋体" w:cs="Times New Roman"/>
      <w:b/>
      <w:bCs/>
      <w:szCs w:val="20"/>
    </w:rPr>
  </w:style>
  <w:style w:type="character" w:customStyle="1" w:styleId="1196">
    <w:name w:val="标准文本 首行缩进:2 字符 行距1倍 Char Char Char Char"/>
    <w:semiHidden/>
    <w:qFormat/>
    <w:uiPriority w:val="0"/>
    <w:rPr>
      <w:rFonts w:eastAsia="宋体" w:cs="宋体"/>
      <w:kern w:val="2"/>
      <w:sz w:val="24"/>
      <w:szCs w:val="24"/>
      <w:lang w:val="en-US" w:eastAsia="zh-CN" w:bidi="ar-SA"/>
    </w:rPr>
  </w:style>
  <w:style w:type="character" w:customStyle="1" w:styleId="1197">
    <w:name w:val="Char Char23"/>
    <w:qFormat/>
    <w:uiPriority w:val="0"/>
    <w:rPr>
      <w:rFonts w:ascii="Arial" w:hAnsi="Arial" w:eastAsia="仿宋_GB2312" w:cs="Times New Roman"/>
      <w:kern w:val="0"/>
      <w:sz w:val="18"/>
      <w:szCs w:val="18"/>
    </w:rPr>
  </w:style>
  <w:style w:type="character" w:customStyle="1" w:styleId="1198">
    <w:name w:val="表文字 Char1"/>
    <w:qFormat/>
    <w:uiPriority w:val="0"/>
    <w:rPr>
      <w:rFonts w:ascii="宋体" w:hAnsi="宋体"/>
      <w:sz w:val="21"/>
      <w:szCs w:val="21"/>
    </w:rPr>
  </w:style>
  <w:style w:type="character" w:customStyle="1" w:styleId="1199">
    <w:name w:val="样式 题注 + 居中 Char"/>
    <w:link w:val="1200"/>
    <w:semiHidden/>
    <w:qFormat/>
    <w:uiPriority w:val="0"/>
    <w:rPr>
      <w:b/>
      <w:bCs/>
      <w:sz w:val="24"/>
    </w:rPr>
  </w:style>
  <w:style w:type="paragraph" w:customStyle="1" w:styleId="1200">
    <w:name w:val="样式 题注 + 居中"/>
    <w:basedOn w:val="24"/>
    <w:next w:val="1"/>
    <w:link w:val="1199"/>
    <w:semiHidden/>
    <w:qFormat/>
    <w:uiPriority w:val="0"/>
    <w:pPr>
      <w:spacing w:before="120" w:after="120"/>
      <w:jc w:val="center"/>
    </w:pPr>
    <w:rPr>
      <w:rFonts w:ascii="Times New Roman" w:hAnsi="Times New Roman" w:eastAsia="宋体"/>
      <w:b/>
      <w:bCs/>
      <w:kern w:val="0"/>
      <w:sz w:val="24"/>
      <w:lang w:val="en-US"/>
    </w:rPr>
  </w:style>
  <w:style w:type="character" w:customStyle="1" w:styleId="1201">
    <w:name w:val="tex-biaoti1"/>
    <w:qFormat/>
    <w:uiPriority w:val="0"/>
  </w:style>
  <w:style w:type="character" w:customStyle="1" w:styleId="1202">
    <w:name w:val="chen正文字体11 Char"/>
    <w:link w:val="1203"/>
    <w:qFormat/>
    <w:uiPriority w:val="0"/>
    <w:rPr>
      <w:color w:val="000000"/>
      <w:kern w:val="2"/>
      <w:sz w:val="24"/>
      <w:szCs w:val="24"/>
    </w:rPr>
  </w:style>
  <w:style w:type="paragraph" w:customStyle="1" w:styleId="1203">
    <w:name w:val="chen正文字体11"/>
    <w:basedOn w:val="1"/>
    <w:link w:val="1202"/>
    <w:qFormat/>
    <w:uiPriority w:val="0"/>
    <w:pPr>
      <w:spacing w:line="360" w:lineRule="auto"/>
      <w:ind w:firstLine="480" w:firstLineChars="200"/>
    </w:pPr>
    <w:rPr>
      <w:color w:val="000000"/>
      <w:sz w:val="24"/>
    </w:rPr>
  </w:style>
  <w:style w:type="character" w:customStyle="1" w:styleId="1204">
    <w:name w:val="news_c_da1"/>
    <w:qFormat/>
    <w:uiPriority w:val="0"/>
    <w:rPr>
      <w:rFonts w:hint="default" w:ascii="ˎ̥" w:hAnsi="ˎ̥"/>
      <w:b/>
      <w:bCs/>
      <w:color w:val="000000"/>
      <w:sz w:val="24"/>
      <w:szCs w:val="24"/>
    </w:rPr>
  </w:style>
  <w:style w:type="character" w:customStyle="1" w:styleId="1205">
    <w:name w:val="title6"/>
    <w:qFormat/>
    <w:uiPriority w:val="0"/>
  </w:style>
  <w:style w:type="character" w:customStyle="1" w:styleId="1206">
    <w:name w:val="font"/>
    <w:qFormat/>
    <w:uiPriority w:val="0"/>
  </w:style>
  <w:style w:type="character" w:customStyle="1" w:styleId="1207">
    <w:name w:val="正文文本 + 10.5 pt19"/>
    <w:semiHidden/>
    <w:qFormat/>
    <w:uiPriority w:val="0"/>
    <w:rPr>
      <w:rFonts w:ascii="宋体" w:hAnsi="宋体" w:cs="宋体"/>
      <w:sz w:val="21"/>
      <w:szCs w:val="21"/>
      <w:u w:val="none"/>
      <w:lang w:val="en-US" w:eastAsia="en-US"/>
    </w:rPr>
  </w:style>
  <w:style w:type="character" w:customStyle="1" w:styleId="1208">
    <w:name w:val="样式 宋体 小四 Char"/>
    <w:semiHidden/>
    <w:qFormat/>
    <w:uiPriority w:val="0"/>
    <w:rPr>
      <w:rFonts w:ascii="宋体" w:eastAsia="仿宋_GB2312" w:cs="宋体"/>
      <w:kern w:val="2"/>
      <w:sz w:val="24"/>
      <w:szCs w:val="24"/>
      <w:lang w:val="zh-CN" w:eastAsia="zh-CN" w:bidi="ar-SA"/>
    </w:rPr>
  </w:style>
  <w:style w:type="character" w:customStyle="1" w:styleId="1209">
    <w:name w:val="Char Char15"/>
    <w:qFormat/>
    <w:uiPriority w:val="0"/>
    <w:rPr>
      <w:rFonts w:eastAsia="宋体"/>
      <w:kern w:val="2"/>
      <w:sz w:val="21"/>
      <w:lang w:val="en-US" w:eastAsia="zh-CN" w:bidi="ar-SA"/>
    </w:rPr>
  </w:style>
  <w:style w:type="character" w:customStyle="1" w:styleId="1210">
    <w:name w:val="标题 3 Char1 Char Char1"/>
    <w:semiHidden/>
    <w:qFormat/>
    <w:uiPriority w:val="0"/>
    <w:rPr>
      <w:rFonts w:eastAsia="宋体"/>
      <w:b/>
      <w:bCs/>
      <w:kern w:val="2"/>
      <w:sz w:val="32"/>
      <w:szCs w:val="32"/>
      <w:lang w:val="en-US" w:eastAsia="zh-CN" w:bidi="ar-SA"/>
    </w:rPr>
  </w:style>
  <w:style w:type="character" w:customStyle="1" w:styleId="1211">
    <w:name w:val="正文  首行缩进: 2 字符 Char"/>
    <w:link w:val="1212"/>
    <w:qFormat/>
    <w:uiPriority w:val="0"/>
    <w:rPr>
      <w:rFonts w:ascii="Arial" w:hAnsi="Arial"/>
      <w:kern w:val="2"/>
      <w:sz w:val="24"/>
      <w:szCs w:val="24"/>
    </w:rPr>
  </w:style>
  <w:style w:type="paragraph" w:customStyle="1" w:styleId="1212">
    <w:name w:val="正文  首行缩进: 2 字符"/>
    <w:basedOn w:val="1"/>
    <w:link w:val="1211"/>
    <w:qFormat/>
    <w:uiPriority w:val="0"/>
    <w:pPr>
      <w:snapToGrid w:val="0"/>
      <w:spacing w:line="360" w:lineRule="auto"/>
      <w:ind w:firstLine="480" w:firstLineChars="200"/>
    </w:pPr>
    <w:rPr>
      <w:rFonts w:ascii="Arial" w:hAnsi="Arial"/>
      <w:sz w:val="24"/>
    </w:rPr>
  </w:style>
  <w:style w:type="character" w:customStyle="1" w:styleId="1213">
    <w:name w:val="链接"/>
    <w:qFormat/>
    <w:uiPriority w:val="0"/>
    <w:rPr>
      <w:rFonts w:ascii="Times New Roman" w:eastAsia="宋体"/>
      <w:color w:val="0000FF"/>
      <w:sz w:val="21"/>
      <w:u w:val="single" w:color="0000FF"/>
      <w:vertAlign w:val="baseline"/>
      <w:lang w:val="en-US" w:eastAsia="zh-CN"/>
    </w:rPr>
  </w:style>
  <w:style w:type="character" w:customStyle="1" w:styleId="1214">
    <w:name w:val="报告正文 Char"/>
    <w:link w:val="522"/>
    <w:qFormat/>
    <w:uiPriority w:val="0"/>
    <w:rPr>
      <w:rFonts w:eastAsia="仿宋_GB2312" w:cs="宋体"/>
      <w:sz w:val="24"/>
    </w:rPr>
  </w:style>
  <w:style w:type="character" w:customStyle="1" w:styleId="1215">
    <w:name w:val="title_16px1"/>
    <w:qFormat/>
    <w:uiPriority w:val="0"/>
    <w:rPr>
      <w:rFonts w:hint="eastAsia" w:ascii="黑体" w:eastAsia="黑体"/>
      <w:color w:val="333333"/>
      <w:sz w:val="27"/>
      <w:szCs w:val="27"/>
    </w:rPr>
  </w:style>
  <w:style w:type="character" w:customStyle="1" w:styleId="1216">
    <w:name w:val="H6 Char4"/>
    <w:qFormat/>
    <w:uiPriority w:val="9"/>
    <w:rPr>
      <w:rFonts w:ascii="Arial" w:hAnsi="Arial" w:eastAsia="黑体"/>
      <w:b/>
      <w:sz w:val="24"/>
      <w:lang w:val="en-US" w:eastAsia="zh-CN" w:bidi="ar-SA"/>
    </w:rPr>
  </w:style>
  <w:style w:type="character" w:customStyle="1" w:styleId="1217">
    <w:name w:val="detailtitle1"/>
    <w:qFormat/>
    <w:uiPriority w:val="0"/>
    <w:rPr>
      <w:rFonts w:hint="eastAsia" w:ascii="黑体" w:eastAsia="黑体"/>
      <w:b/>
      <w:bCs/>
      <w:sz w:val="18"/>
      <w:szCs w:val="18"/>
    </w:rPr>
  </w:style>
  <w:style w:type="character" w:customStyle="1" w:styleId="1218">
    <w:name w:val="小四+首行缩进 Char2"/>
    <w:link w:val="1219"/>
    <w:qFormat/>
    <w:uiPriority w:val="0"/>
    <w:rPr>
      <w:rFonts w:ascii="宋体" w:hAnsi="宋体"/>
      <w:kern w:val="2"/>
      <w:sz w:val="24"/>
    </w:rPr>
  </w:style>
  <w:style w:type="paragraph" w:customStyle="1" w:styleId="1219">
    <w:name w:val="小四+首行缩进"/>
    <w:basedOn w:val="1"/>
    <w:link w:val="1218"/>
    <w:qFormat/>
    <w:uiPriority w:val="0"/>
    <w:pPr>
      <w:spacing w:line="360" w:lineRule="auto"/>
      <w:ind w:firstLine="482"/>
    </w:pPr>
    <w:rPr>
      <w:rFonts w:ascii="宋体" w:hAnsi="宋体"/>
      <w:sz w:val="24"/>
      <w:szCs w:val="20"/>
    </w:rPr>
  </w:style>
  <w:style w:type="character" w:customStyle="1" w:styleId="1220">
    <w:name w:val="样式1 Char Char"/>
    <w:qFormat/>
    <w:uiPriority w:val="0"/>
    <w:rPr>
      <w:rFonts w:eastAsia="宋体"/>
      <w:sz w:val="21"/>
      <w:lang w:val="en-US" w:eastAsia="zh-CN" w:bidi="ar-SA"/>
    </w:rPr>
  </w:style>
  <w:style w:type="character" w:customStyle="1" w:styleId="1221">
    <w:name w:val="line1"/>
    <w:qFormat/>
    <w:uiPriority w:val="0"/>
  </w:style>
  <w:style w:type="character" w:customStyle="1" w:styleId="1222">
    <w:name w:val="参数解释 Char"/>
    <w:link w:val="1223"/>
    <w:semiHidden/>
    <w:qFormat/>
    <w:uiPriority w:val="0"/>
    <w:rPr>
      <w:sz w:val="24"/>
    </w:rPr>
  </w:style>
  <w:style w:type="paragraph" w:customStyle="1" w:styleId="1223">
    <w:name w:val="参数解释"/>
    <w:link w:val="1222"/>
    <w:semiHidden/>
    <w:qFormat/>
    <w:uiPriority w:val="0"/>
    <w:pPr>
      <w:ind w:firstLine="1274" w:firstLineChars="531"/>
    </w:pPr>
    <w:rPr>
      <w:rFonts w:ascii="Times New Roman" w:hAnsi="Times New Roman" w:eastAsia="宋体" w:cs="Times New Roman"/>
      <w:sz w:val="24"/>
      <w:lang w:val="en-US" w:eastAsia="zh-CN" w:bidi="ar-SA"/>
    </w:rPr>
  </w:style>
  <w:style w:type="character" w:customStyle="1" w:styleId="1224">
    <w:name w:val="样式7 Char"/>
    <w:link w:val="1225"/>
    <w:qFormat/>
    <w:uiPriority w:val="0"/>
    <w:rPr>
      <w:rFonts w:ascii="宋体" w:hAnsi="宋体"/>
      <w:color w:val="000000"/>
      <w:kern w:val="2"/>
      <w:sz w:val="24"/>
      <w:szCs w:val="24"/>
    </w:rPr>
  </w:style>
  <w:style w:type="paragraph" w:customStyle="1" w:styleId="1225">
    <w:name w:val="样式7"/>
    <w:basedOn w:val="1"/>
    <w:next w:val="1"/>
    <w:link w:val="1224"/>
    <w:qFormat/>
    <w:uiPriority w:val="0"/>
    <w:pPr>
      <w:spacing w:line="360" w:lineRule="auto"/>
      <w:ind w:firstLine="480" w:firstLineChars="200"/>
    </w:pPr>
    <w:rPr>
      <w:rFonts w:ascii="宋体" w:hAnsi="宋体"/>
      <w:color w:val="000000"/>
      <w:sz w:val="24"/>
    </w:rPr>
  </w:style>
  <w:style w:type="character" w:customStyle="1" w:styleId="1226">
    <w:name w:val="正文1-1 Char"/>
    <w:link w:val="1227"/>
    <w:qFormat/>
    <w:uiPriority w:val="0"/>
    <w:rPr>
      <w:rFonts w:ascii="宋体" w:hAnsi="宋体" w:eastAsia="仿宋_GB2312"/>
      <w:sz w:val="28"/>
      <w:szCs w:val="24"/>
    </w:rPr>
  </w:style>
  <w:style w:type="paragraph" w:customStyle="1" w:styleId="1227">
    <w:name w:val="正文1-1"/>
    <w:basedOn w:val="1"/>
    <w:link w:val="1226"/>
    <w:qFormat/>
    <w:uiPriority w:val="0"/>
    <w:pPr>
      <w:widowControl/>
      <w:snapToGrid w:val="0"/>
      <w:spacing w:line="360" w:lineRule="auto"/>
      <w:ind w:firstLine="200" w:firstLineChars="200"/>
      <w:jc w:val="left"/>
    </w:pPr>
    <w:rPr>
      <w:rFonts w:ascii="宋体" w:hAnsi="宋体" w:eastAsia="仿宋_GB2312"/>
      <w:kern w:val="0"/>
      <w:sz w:val="28"/>
    </w:rPr>
  </w:style>
  <w:style w:type="character" w:customStyle="1" w:styleId="1228">
    <w:name w:val="text31"/>
    <w:qFormat/>
    <w:uiPriority w:val="0"/>
    <w:rPr>
      <w:rFonts w:hint="eastAsia" w:ascii="宋体" w:hAnsi="宋体" w:eastAsia="宋体"/>
      <w:color w:val="673434"/>
      <w:sz w:val="22"/>
      <w:szCs w:val="22"/>
      <w:u w:val="none"/>
    </w:rPr>
  </w:style>
  <w:style w:type="character" w:customStyle="1" w:styleId="1229">
    <w:name w:val="Char Char212"/>
    <w:qFormat/>
    <w:uiPriority w:val="0"/>
    <w:rPr>
      <w:rFonts w:ascii="Arial" w:hAnsi="Arial" w:eastAsia="宋体" w:cs="Arial"/>
      <w:b/>
      <w:bCs/>
      <w:kern w:val="2"/>
      <w:sz w:val="36"/>
      <w:szCs w:val="32"/>
      <w:lang w:val="en-US" w:eastAsia="zh-CN" w:bidi="ar-SA"/>
    </w:rPr>
  </w:style>
  <w:style w:type="character" w:customStyle="1" w:styleId="1230">
    <w:name w:val="Char Char310"/>
    <w:qFormat/>
    <w:uiPriority w:val="0"/>
    <w:rPr>
      <w:rFonts w:ascii="Arial" w:hAnsi="Arial" w:eastAsia="宋体" w:cs="Arial"/>
      <w:b/>
      <w:bCs/>
      <w:kern w:val="2"/>
      <w:sz w:val="32"/>
      <w:szCs w:val="32"/>
      <w:lang w:val="en-US" w:eastAsia="zh-CN" w:bidi="ar-SA"/>
    </w:rPr>
  </w:style>
  <w:style w:type="character" w:customStyle="1" w:styleId="1231">
    <w:name w:val="font131"/>
    <w:qFormat/>
    <w:uiPriority w:val="0"/>
    <w:rPr>
      <w:rFonts w:hint="eastAsia" w:ascii="宋体" w:hAnsi="宋体" w:eastAsia="宋体" w:cs="宋体"/>
      <w:color w:val="FF0000"/>
      <w:sz w:val="20"/>
      <w:szCs w:val="20"/>
      <w:u w:val="none"/>
      <w:vertAlign w:val="subscript"/>
    </w:rPr>
  </w:style>
  <w:style w:type="character" w:customStyle="1" w:styleId="1232">
    <w:name w:val="14red1"/>
    <w:semiHidden/>
    <w:qFormat/>
    <w:uiPriority w:val="0"/>
    <w:rPr>
      <w:color w:val="FF0000"/>
      <w:sz w:val="21"/>
      <w:szCs w:val="21"/>
      <w:u w:val="none"/>
    </w:rPr>
  </w:style>
  <w:style w:type="character" w:customStyle="1" w:styleId="1233">
    <w:name w:val="目标题 1) Char Char"/>
    <w:semiHidden/>
    <w:qFormat/>
    <w:uiPriority w:val="0"/>
    <w:rPr>
      <w:rFonts w:ascii="Arial" w:hAnsi="Arial" w:eastAsia="黑体"/>
      <w:sz w:val="24"/>
      <w:lang w:val="en-US" w:eastAsia="zh-CN" w:bidi="ar-SA"/>
    </w:rPr>
  </w:style>
  <w:style w:type="character" w:customStyle="1" w:styleId="1234">
    <w:name w:val="fsl1"/>
    <w:qFormat/>
    <w:uiPriority w:val="0"/>
    <w:rPr>
      <w:rFonts w:ascii="黑体" w:hAnsi="黑体" w:eastAsia="黑体"/>
      <w:b/>
      <w:color w:val="0082C6"/>
      <w:spacing w:val="10"/>
      <w:kern w:val="44"/>
      <w:sz w:val="21"/>
      <w:lang w:val="en-US" w:eastAsia="zh-CN"/>
    </w:rPr>
  </w:style>
  <w:style w:type="character" w:customStyle="1" w:styleId="1235">
    <w:name w:val="d1"/>
    <w:qFormat/>
    <w:uiPriority w:val="0"/>
    <w:rPr>
      <w:color w:val="333333"/>
    </w:rPr>
  </w:style>
  <w:style w:type="character" w:customStyle="1" w:styleId="1236">
    <w:name w:val="表、图名 Char"/>
    <w:link w:val="1237"/>
    <w:qFormat/>
    <w:uiPriority w:val="0"/>
    <w:rPr>
      <w:rFonts w:eastAsia="黑体"/>
      <w:sz w:val="21"/>
      <w:szCs w:val="21"/>
    </w:rPr>
  </w:style>
  <w:style w:type="paragraph" w:customStyle="1" w:styleId="1237">
    <w:name w:val="表、图名"/>
    <w:basedOn w:val="1"/>
    <w:link w:val="1236"/>
    <w:qFormat/>
    <w:uiPriority w:val="0"/>
    <w:pPr>
      <w:adjustRightInd w:val="0"/>
      <w:snapToGrid w:val="0"/>
      <w:jc w:val="center"/>
    </w:pPr>
    <w:rPr>
      <w:rFonts w:eastAsia="黑体"/>
      <w:kern w:val="0"/>
      <w:szCs w:val="21"/>
    </w:rPr>
  </w:style>
  <w:style w:type="character" w:customStyle="1" w:styleId="1238">
    <w:name w:val="Char Char222"/>
    <w:semiHidden/>
    <w:qFormat/>
    <w:uiPriority w:val="0"/>
    <w:rPr>
      <w:rFonts w:ascii="@黑体" w:hAnsi="@黑体"/>
      <w:kern w:val="2"/>
      <w:sz w:val="21"/>
      <w:szCs w:val="24"/>
    </w:rPr>
  </w:style>
  <w:style w:type="character" w:customStyle="1" w:styleId="1239">
    <w:name w:val="单学凯小节标题 Char"/>
    <w:link w:val="1240"/>
    <w:qFormat/>
    <w:uiPriority w:val="0"/>
    <w:rPr>
      <w:rFonts w:ascii="宋体" w:hAnsi="宋体"/>
      <w:bCs/>
      <w:color w:val="000000"/>
      <w:sz w:val="24"/>
      <w:szCs w:val="24"/>
    </w:rPr>
  </w:style>
  <w:style w:type="paragraph" w:customStyle="1" w:styleId="1240">
    <w:name w:val="单学凯小节标题"/>
    <w:basedOn w:val="1"/>
    <w:link w:val="1239"/>
    <w:qFormat/>
    <w:uiPriority w:val="0"/>
    <w:pPr>
      <w:widowControl/>
      <w:tabs>
        <w:tab w:val="left" w:pos="5094"/>
      </w:tabs>
      <w:adjustRightInd w:val="0"/>
      <w:spacing w:beforeLines="50" w:afterLines="50" w:line="500" w:lineRule="exact"/>
      <w:ind w:firstLine="480" w:firstLineChars="200"/>
      <w:textAlignment w:val="baseline"/>
    </w:pPr>
    <w:rPr>
      <w:rFonts w:ascii="宋体" w:hAnsi="宋体"/>
      <w:bCs/>
      <w:color w:val="000000"/>
      <w:kern w:val="0"/>
      <w:sz w:val="24"/>
    </w:rPr>
  </w:style>
  <w:style w:type="character" w:customStyle="1" w:styleId="1241">
    <w:name w:val="headline-1-index"/>
    <w:semiHidden/>
    <w:qFormat/>
    <w:uiPriority w:val="0"/>
  </w:style>
  <w:style w:type="character" w:customStyle="1" w:styleId="1242">
    <w:name w:val="标题1.1.1.1.1.1 Char1"/>
    <w:qFormat/>
    <w:uiPriority w:val="0"/>
    <w:rPr>
      <w:rFonts w:ascii="Arial" w:hAnsi="Arial" w:eastAsia="黑体" w:cs="Times New Roman"/>
      <w:b/>
      <w:kern w:val="0"/>
      <w:sz w:val="24"/>
      <w:szCs w:val="20"/>
    </w:rPr>
  </w:style>
  <w:style w:type="character" w:customStyle="1" w:styleId="1243">
    <w:name w:val="doc_title"/>
    <w:semiHidden/>
    <w:qFormat/>
    <w:uiPriority w:val="0"/>
  </w:style>
  <w:style w:type="character" w:customStyle="1" w:styleId="1244">
    <w:name w:val="主标题 Char Char5"/>
    <w:semiHidden/>
    <w:qFormat/>
    <w:uiPriority w:val="0"/>
    <w:rPr>
      <w:rFonts w:ascii="Arial" w:hAnsi="Arial" w:eastAsia="宋体" w:cs="Arial"/>
      <w:b/>
      <w:bCs/>
      <w:kern w:val="2"/>
      <w:sz w:val="32"/>
      <w:szCs w:val="32"/>
      <w:lang w:val="en-US" w:eastAsia="zh-CN" w:bidi="ar-SA"/>
    </w:rPr>
  </w:style>
  <w:style w:type="character" w:customStyle="1" w:styleId="1245">
    <w:name w:val="表格标题标题 Char"/>
    <w:semiHidden/>
    <w:qFormat/>
    <w:uiPriority w:val="0"/>
    <w:rPr>
      <w:b/>
      <w:kern w:val="18"/>
      <w:sz w:val="24"/>
    </w:rPr>
  </w:style>
  <w:style w:type="character" w:customStyle="1" w:styleId="1246">
    <w:name w:val="标题 3 Char Char1"/>
    <w:qFormat/>
    <w:uiPriority w:val="0"/>
    <w:rPr>
      <w:rFonts w:eastAsia="宋体"/>
      <w:b/>
      <w:bCs/>
      <w:kern w:val="2"/>
      <w:sz w:val="28"/>
      <w:szCs w:val="32"/>
      <w:lang w:val="en-US" w:eastAsia="zh-CN" w:bidi="ar-SA"/>
    </w:rPr>
  </w:style>
  <w:style w:type="character" w:customStyle="1" w:styleId="1247">
    <w:name w:val="sl0m"/>
    <w:qFormat/>
    <w:uiPriority w:val="0"/>
  </w:style>
  <w:style w:type="character" w:customStyle="1" w:styleId="1248">
    <w:name w:val="列表1 Char Char"/>
    <w:semiHidden/>
    <w:qFormat/>
    <w:uiPriority w:val="0"/>
    <w:rPr>
      <w:rFonts w:ascii="Arial" w:hAnsi="Arial" w:eastAsia="仿宋_GB2312"/>
      <w:sz w:val="24"/>
      <w:lang w:val="en-US" w:eastAsia="zh-CN" w:bidi="ar-SA"/>
    </w:rPr>
  </w:style>
  <w:style w:type="character" w:customStyle="1" w:styleId="1249">
    <w:name w:val="维度 Char Char"/>
    <w:link w:val="1250"/>
    <w:qFormat/>
    <w:uiPriority w:val="0"/>
    <w:rPr>
      <w:color w:val="000000"/>
      <w:sz w:val="24"/>
      <w:szCs w:val="24"/>
    </w:rPr>
  </w:style>
  <w:style w:type="paragraph" w:customStyle="1" w:styleId="1250">
    <w:name w:val="维度"/>
    <w:basedOn w:val="1"/>
    <w:link w:val="1249"/>
    <w:qFormat/>
    <w:uiPriority w:val="0"/>
    <w:pPr>
      <w:topLinePunct/>
      <w:spacing w:line="360" w:lineRule="auto"/>
      <w:ind w:firstLine="480" w:firstLineChars="200"/>
      <w:jc w:val="left"/>
    </w:pPr>
    <w:rPr>
      <w:color w:val="000000"/>
      <w:kern w:val="0"/>
      <w:sz w:val="24"/>
    </w:rPr>
  </w:style>
  <w:style w:type="character" w:customStyle="1" w:styleId="1251">
    <w:name w:val="artiword1"/>
    <w:qFormat/>
    <w:uiPriority w:val="0"/>
    <w:rPr>
      <w:rFonts w:hint="default" w:ascii="??" w:hAnsi="??"/>
      <w:color w:val="333333"/>
      <w:spacing w:val="330"/>
      <w:sz w:val="21"/>
      <w:szCs w:val="21"/>
      <w:u w:val="none"/>
    </w:rPr>
  </w:style>
  <w:style w:type="character" w:customStyle="1" w:styleId="1252">
    <w:name w:val="Char Char52"/>
    <w:qFormat/>
    <w:uiPriority w:val="0"/>
    <w:rPr>
      <w:rFonts w:ascii="仿宋_GB2312" w:eastAsia="仿宋_GB2312"/>
      <w:spacing w:val="-18"/>
      <w:kern w:val="2"/>
      <w:sz w:val="28"/>
      <w:szCs w:val="24"/>
      <w:lang w:val="en-US" w:eastAsia="zh-CN" w:bidi="ar-SA"/>
    </w:rPr>
  </w:style>
  <w:style w:type="character" w:customStyle="1" w:styleId="1253">
    <w:name w:val="标题 3 Char Char Char"/>
    <w:semiHidden/>
    <w:qFormat/>
    <w:uiPriority w:val="0"/>
    <w:rPr>
      <w:rFonts w:ascii="宋体" w:eastAsia="宋体"/>
      <w:b/>
      <w:bCs/>
    </w:rPr>
  </w:style>
  <w:style w:type="character" w:customStyle="1" w:styleId="1254">
    <w:name w:val="样式 样式 标题 4 + (西文) Times New Roman (中文) 宋体 非加粗 段前: 0 磅 段后: 0 磅 ..... Char Char"/>
    <w:semiHidden/>
    <w:qFormat/>
    <w:uiPriority w:val="0"/>
  </w:style>
  <w:style w:type="character" w:customStyle="1" w:styleId="1255">
    <w:name w:val="rsdesckey1"/>
    <w:semiHidden/>
    <w:qFormat/>
    <w:uiPriority w:val="0"/>
    <w:rPr>
      <w:color w:val="FF0000"/>
    </w:rPr>
  </w:style>
  <w:style w:type="character" w:customStyle="1" w:styleId="1256">
    <w:name w:val="项标题(1) Char4"/>
    <w:qFormat/>
    <w:uiPriority w:val="0"/>
    <w:rPr>
      <w:rFonts w:ascii="Arial" w:hAnsi="Arial" w:eastAsia="仿宋_GB2312"/>
      <w:b/>
      <w:sz w:val="24"/>
      <w:lang w:val="en-US" w:eastAsia="zh-CN" w:bidi="ar-SA"/>
    </w:rPr>
  </w:style>
  <w:style w:type="character" w:customStyle="1" w:styleId="1257">
    <w:name w:val="wbz2"/>
    <w:semiHidden/>
    <w:qFormat/>
    <w:uiPriority w:val="0"/>
    <w:rPr>
      <w:rFonts w:hint="default"/>
      <w:color w:val="000000"/>
      <w:spacing w:val="0"/>
      <w:sz w:val="18"/>
      <w:szCs w:val="18"/>
      <w:u w:val="none"/>
    </w:rPr>
  </w:style>
  <w:style w:type="character" w:customStyle="1" w:styleId="1258">
    <w:name w:val="样式正文 Char"/>
    <w:link w:val="1259"/>
    <w:qFormat/>
    <w:uiPriority w:val="0"/>
    <w:rPr>
      <w:kern w:val="2"/>
      <w:sz w:val="24"/>
      <w:szCs w:val="24"/>
    </w:rPr>
  </w:style>
  <w:style w:type="paragraph" w:customStyle="1" w:styleId="1259">
    <w:name w:val="样式正文"/>
    <w:basedOn w:val="1"/>
    <w:link w:val="1258"/>
    <w:qFormat/>
    <w:uiPriority w:val="0"/>
    <w:pPr>
      <w:spacing w:line="400" w:lineRule="exact"/>
      <w:ind w:firstLine="200" w:firstLineChars="200"/>
    </w:pPr>
    <w:rPr>
      <w:sz w:val="24"/>
    </w:rPr>
  </w:style>
  <w:style w:type="character" w:customStyle="1" w:styleId="1260">
    <w:name w:val="样式 宋体 小四"/>
    <w:semiHidden/>
    <w:qFormat/>
    <w:uiPriority w:val="0"/>
    <w:rPr>
      <w:rFonts w:ascii="宋体" w:eastAsia="宋体" w:cs="Times New Roman"/>
      <w:b/>
      <w:sz w:val="30"/>
      <w:szCs w:val="30"/>
    </w:rPr>
  </w:style>
  <w:style w:type="character" w:customStyle="1" w:styleId="1261">
    <w:name w:val="search_content1"/>
    <w:qFormat/>
    <w:uiPriority w:val="0"/>
    <w:rPr>
      <w:sz w:val="20"/>
      <w:szCs w:val="20"/>
    </w:rPr>
  </w:style>
  <w:style w:type="character" w:customStyle="1" w:styleId="1262">
    <w:name w:val="样式 正文缩进 + 首行缩进:  2 字符 Char"/>
    <w:link w:val="1263"/>
    <w:qFormat/>
    <w:uiPriority w:val="0"/>
    <w:rPr>
      <w:sz w:val="28"/>
    </w:rPr>
  </w:style>
  <w:style w:type="paragraph" w:customStyle="1" w:styleId="1263">
    <w:name w:val="样式 正文缩进 + 首行缩进:  2 字符"/>
    <w:basedOn w:val="23"/>
    <w:link w:val="1262"/>
    <w:qFormat/>
    <w:uiPriority w:val="0"/>
    <w:pPr>
      <w:adjustRightInd/>
      <w:spacing w:line="520" w:lineRule="atLeast"/>
    </w:pPr>
    <w:rPr>
      <w:rFonts w:ascii="Times New Roman" w:eastAsia="宋体"/>
      <w:kern w:val="0"/>
      <w:lang w:val="en-US"/>
    </w:rPr>
  </w:style>
  <w:style w:type="character" w:customStyle="1" w:styleId="1264">
    <w:name w:val="文本框五号 Char Char Char"/>
    <w:qFormat/>
    <w:uiPriority w:val="0"/>
    <w:rPr>
      <w:rFonts w:ascii="宋体" w:hAnsi="宋体" w:eastAsia="仿宋_GB2312" w:cs="Courier New"/>
      <w:kern w:val="2"/>
      <w:sz w:val="21"/>
      <w:szCs w:val="21"/>
      <w:lang w:val="en-US" w:eastAsia="zh-CN" w:bidi="ar-SA"/>
    </w:rPr>
  </w:style>
  <w:style w:type="character" w:customStyle="1" w:styleId="1265">
    <w:name w:val="Char Char26"/>
    <w:qFormat/>
    <w:uiPriority w:val="0"/>
    <w:rPr>
      <w:rFonts w:ascii="宋体" w:hAnsi="Courier New" w:eastAsia="宋体" w:cs="Times New Roman"/>
      <w:kern w:val="0"/>
      <w:szCs w:val="20"/>
    </w:rPr>
  </w:style>
  <w:style w:type="character" w:customStyle="1" w:styleId="1266">
    <w:name w:val="s9zsb3q"/>
    <w:qFormat/>
    <w:uiPriority w:val="0"/>
  </w:style>
  <w:style w:type="character" w:customStyle="1" w:styleId="1267">
    <w:name w:val="标题 1 Char1"/>
    <w:qFormat/>
    <w:uiPriority w:val="0"/>
    <w:rPr>
      <w:rFonts w:eastAsia="宋体"/>
      <w:b/>
      <w:bCs/>
      <w:kern w:val="44"/>
      <w:sz w:val="44"/>
      <w:szCs w:val="44"/>
      <w:lang w:val="en-US" w:eastAsia="zh-CN" w:bidi="ar-SA"/>
    </w:rPr>
  </w:style>
  <w:style w:type="character" w:customStyle="1" w:styleId="1268">
    <w:name w:val="dectext1"/>
    <w:qFormat/>
    <w:uiPriority w:val="0"/>
    <w:rPr>
      <w:rFonts w:hint="eastAsia" w:ascii="宋体" w:hAnsi="宋体" w:eastAsia="宋体"/>
      <w:color w:val="333333"/>
      <w:sz w:val="21"/>
      <w:szCs w:val="21"/>
      <w:u w:val="none"/>
    </w:rPr>
  </w:style>
  <w:style w:type="character" w:customStyle="1" w:styleId="1269">
    <w:name w:val="正文首行缩进 Char1 Char Char"/>
    <w:qFormat/>
    <w:uiPriority w:val="0"/>
    <w:rPr>
      <w:rFonts w:eastAsia="宋体"/>
      <w:kern w:val="2"/>
      <w:sz w:val="21"/>
      <w:szCs w:val="24"/>
      <w:lang w:val="en-US" w:eastAsia="zh-CN" w:bidi="ar-SA"/>
    </w:rPr>
  </w:style>
  <w:style w:type="character" w:customStyle="1" w:styleId="1270">
    <w:name w:val="paragragh1"/>
    <w:qFormat/>
    <w:uiPriority w:val="0"/>
    <w:rPr>
      <w:color w:val="004040"/>
      <w:sz w:val="21"/>
      <w:szCs w:val="21"/>
    </w:rPr>
  </w:style>
  <w:style w:type="character" w:customStyle="1" w:styleId="1271">
    <w:name w:val="style3"/>
    <w:qFormat/>
    <w:uiPriority w:val="0"/>
  </w:style>
  <w:style w:type="character" w:customStyle="1" w:styleId="1272">
    <w:name w:val="hhcwt标题1 Char Char"/>
    <w:link w:val="1273"/>
    <w:qFormat/>
    <w:uiPriority w:val="0"/>
    <w:rPr>
      <w:rFonts w:eastAsia="黑体"/>
      <w:kern w:val="44"/>
      <w:sz w:val="36"/>
      <w:szCs w:val="24"/>
      <w:lang w:val="zh-CN"/>
    </w:rPr>
  </w:style>
  <w:style w:type="paragraph" w:customStyle="1" w:styleId="1273">
    <w:name w:val="hhcwt标题1"/>
    <w:basedOn w:val="1"/>
    <w:link w:val="1272"/>
    <w:qFormat/>
    <w:uiPriority w:val="0"/>
    <w:pPr>
      <w:keepNext/>
      <w:keepLines/>
      <w:autoSpaceDE w:val="0"/>
      <w:autoSpaceDN w:val="0"/>
      <w:adjustRightInd w:val="0"/>
      <w:spacing w:before="120" w:after="120" w:line="336" w:lineRule="auto"/>
      <w:outlineLvl w:val="0"/>
    </w:pPr>
    <w:rPr>
      <w:rFonts w:eastAsia="黑体"/>
      <w:kern w:val="44"/>
      <w:sz w:val="36"/>
      <w:lang w:val="zh-CN"/>
    </w:rPr>
  </w:style>
  <w:style w:type="character" w:customStyle="1" w:styleId="1274">
    <w:name w:val="纯文本2 Char"/>
    <w:semiHidden/>
    <w:qFormat/>
    <w:uiPriority w:val="0"/>
    <w:rPr>
      <w:rFonts w:ascii="宋体" w:hAnsi="Courier New" w:eastAsia="宋体" w:cs="Courier New"/>
      <w:kern w:val="2"/>
      <w:sz w:val="21"/>
      <w:szCs w:val="21"/>
      <w:lang w:val="en-US" w:eastAsia="zh-CN" w:bidi="ar-SA"/>
    </w:rPr>
  </w:style>
  <w:style w:type="character" w:customStyle="1" w:styleId="1275">
    <w:name w:val="样式 方程式 + 首行缩进:  3 字符 Char Char"/>
    <w:link w:val="1276"/>
    <w:semiHidden/>
    <w:qFormat/>
    <w:uiPriority w:val="0"/>
    <w:rPr>
      <w:rFonts w:ascii="宋体" w:hAnsi="宋体"/>
      <w:b/>
      <w:sz w:val="24"/>
    </w:rPr>
  </w:style>
  <w:style w:type="paragraph" w:customStyle="1" w:styleId="1276">
    <w:name w:val="样式 方程式 + 首行缩进:  3 字符"/>
    <w:basedOn w:val="1189"/>
    <w:link w:val="1275"/>
    <w:semiHidden/>
    <w:qFormat/>
    <w:uiPriority w:val="0"/>
    <w:pPr>
      <w:outlineLvl w:val="4"/>
    </w:pPr>
    <w:rPr>
      <w:rFonts w:cs="Times New Roman"/>
    </w:rPr>
  </w:style>
  <w:style w:type="character" w:customStyle="1" w:styleId="1277">
    <w:name w:val="样式 (中文) 仿宋_GB2312 四号1"/>
    <w:semiHidden/>
    <w:qFormat/>
    <w:uiPriority w:val="0"/>
    <w:rPr>
      <w:rFonts w:eastAsia="Tahoma"/>
      <w:kern w:val="0"/>
      <w:sz w:val="24"/>
    </w:rPr>
  </w:style>
  <w:style w:type="character" w:customStyle="1" w:styleId="1278">
    <w:name w:val="Char Char21"/>
    <w:qFormat/>
    <w:uiPriority w:val="0"/>
    <w:rPr>
      <w:rFonts w:ascii="宋体" w:hAnsi="宋体" w:eastAsia="宋体"/>
      <w:kern w:val="2"/>
      <w:sz w:val="18"/>
      <w:szCs w:val="18"/>
      <w:lang w:val="en-US" w:eastAsia="zh-CN" w:bidi="ar-SA"/>
    </w:rPr>
  </w:style>
  <w:style w:type="character" w:customStyle="1" w:styleId="1279">
    <w:name w:val="样式 报告正文 + 首行缩进:  2 字符 Char Char"/>
    <w:semiHidden/>
    <w:qFormat/>
    <w:uiPriority w:val="0"/>
    <w:rPr>
      <w:rFonts w:cs="宋体"/>
      <w:sz w:val="24"/>
    </w:rPr>
  </w:style>
  <w:style w:type="character" w:customStyle="1" w:styleId="1280">
    <w:name w:val="环评正文 Char Char"/>
    <w:qFormat/>
    <w:uiPriority w:val="0"/>
    <w:rPr>
      <w:rFonts w:ascii="Times New Roman" w:hAnsi="Times New Roman" w:eastAsia="宋体" w:cs="Times New Roman"/>
      <w:sz w:val="24"/>
      <w:szCs w:val="20"/>
    </w:rPr>
  </w:style>
  <w:style w:type="character" w:customStyle="1" w:styleId="1281">
    <w:name w:val="表格文本 五号 居中 单倍行距 Char Char Char Char"/>
    <w:semiHidden/>
    <w:qFormat/>
    <w:uiPriority w:val="0"/>
    <w:rPr>
      <w:rFonts w:eastAsia="宋体" w:cs="宋体"/>
      <w:kern w:val="2"/>
      <w:sz w:val="21"/>
      <w:szCs w:val="21"/>
      <w:lang w:val="en-US" w:eastAsia="zh-CN" w:bidi="ar-SA"/>
    </w:rPr>
  </w:style>
  <w:style w:type="character" w:customStyle="1" w:styleId="1282">
    <w:name w:val="样式 样式 方程式 + 首行缩进:  3 字符 + 宋体 Char Char"/>
    <w:link w:val="1283"/>
    <w:semiHidden/>
    <w:qFormat/>
    <w:uiPriority w:val="0"/>
    <w:rPr>
      <w:rFonts w:ascii="宋体" w:hAnsi="宋体"/>
      <w:b/>
      <w:bCs/>
      <w:sz w:val="24"/>
    </w:rPr>
  </w:style>
  <w:style w:type="paragraph" w:customStyle="1" w:styleId="1283">
    <w:name w:val="样式 样式 方程式 + 首行缩进:  3 字符 + 宋体"/>
    <w:basedOn w:val="1276"/>
    <w:link w:val="1282"/>
    <w:semiHidden/>
    <w:qFormat/>
    <w:uiPriority w:val="0"/>
    <w:rPr>
      <w:bCs/>
    </w:rPr>
  </w:style>
  <w:style w:type="character" w:customStyle="1" w:styleId="1284">
    <w:name w:val="表格标题 Char Char"/>
    <w:qFormat/>
    <w:uiPriority w:val="0"/>
    <w:rPr>
      <w:rFonts w:eastAsia="微软简标宋"/>
      <w:spacing w:val="8"/>
      <w:sz w:val="24"/>
      <w:lang w:val="en-US" w:eastAsia="zh-CN" w:bidi="ar-SA"/>
    </w:rPr>
  </w:style>
  <w:style w:type="character" w:customStyle="1" w:styleId="1285">
    <w:name w:val="scs62"/>
    <w:qFormat/>
    <w:uiPriority w:val="0"/>
  </w:style>
  <w:style w:type="character" w:customStyle="1" w:styleId="1286">
    <w:name w:val="题注 Char Char3"/>
    <w:qFormat/>
    <w:uiPriority w:val="0"/>
    <w:rPr>
      <w:rFonts w:ascii="Arial" w:hAnsi="Arial" w:eastAsia="黑体" w:cs="Arial"/>
      <w:kern w:val="2"/>
      <w:lang w:val="en-US" w:eastAsia="zh-CN" w:bidi="ar-SA"/>
    </w:rPr>
  </w:style>
  <w:style w:type="character" w:customStyle="1" w:styleId="1287">
    <w:name w:val="Char Char311"/>
    <w:qFormat/>
    <w:uiPriority w:val="0"/>
    <w:rPr>
      <w:rFonts w:ascii="Arial" w:hAnsi="Arial" w:eastAsia="仿宋_GB2312" w:cs="Times New Roman"/>
      <w:i/>
      <w:iCs/>
      <w:kern w:val="0"/>
      <w:sz w:val="24"/>
      <w:szCs w:val="20"/>
    </w:rPr>
  </w:style>
  <w:style w:type="character" w:customStyle="1" w:styleId="1288">
    <w:name w:val="王涵 表格 Char"/>
    <w:link w:val="1289"/>
    <w:semiHidden/>
    <w:qFormat/>
    <w:uiPriority w:val="0"/>
    <w:rPr>
      <w:rFonts w:hAnsi="宋体"/>
      <w:kern w:val="2"/>
      <w:sz w:val="21"/>
      <w:szCs w:val="21"/>
    </w:rPr>
  </w:style>
  <w:style w:type="paragraph" w:customStyle="1" w:styleId="1289">
    <w:name w:val="王涵 表格"/>
    <w:basedOn w:val="1"/>
    <w:link w:val="1288"/>
    <w:semiHidden/>
    <w:qFormat/>
    <w:uiPriority w:val="0"/>
    <w:pPr>
      <w:jc w:val="center"/>
    </w:pPr>
    <w:rPr>
      <w:rFonts w:hAnsi="宋体"/>
      <w:szCs w:val="21"/>
    </w:rPr>
  </w:style>
  <w:style w:type="character" w:customStyle="1" w:styleId="1290">
    <w:name w:val="批注文字 Char2"/>
    <w:qFormat/>
    <w:uiPriority w:val="0"/>
    <w:rPr>
      <w:rFonts w:eastAsia="宋体"/>
      <w:kern w:val="2"/>
      <w:sz w:val="21"/>
      <w:lang w:val="en-US" w:eastAsia="zh-CN" w:bidi="ar-SA"/>
    </w:rPr>
  </w:style>
  <w:style w:type="character" w:customStyle="1" w:styleId="1291">
    <w:name w:val="报告标题3 Char"/>
    <w:link w:val="1292"/>
    <w:semiHidden/>
    <w:qFormat/>
    <w:uiPriority w:val="0"/>
    <w:rPr>
      <w:bCs/>
      <w:color w:val="000000"/>
      <w:sz w:val="24"/>
      <w:szCs w:val="28"/>
    </w:rPr>
  </w:style>
  <w:style w:type="paragraph" w:customStyle="1" w:styleId="1292">
    <w:name w:val="报告标题3"/>
    <w:basedOn w:val="5"/>
    <w:link w:val="1291"/>
    <w:semiHidden/>
    <w:qFormat/>
    <w:uiPriority w:val="0"/>
    <w:pPr>
      <w:numPr>
        <w:ilvl w:val="0"/>
        <w:numId w:val="0"/>
      </w:numPr>
      <w:adjustRightInd w:val="0"/>
      <w:spacing w:before="60" w:after="60" w:line="360" w:lineRule="auto"/>
    </w:pPr>
    <w:rPr>
      <w:b w:val="0"/>
      <w:color w:val="000000"/>
      <w:kern w:val="0"/>
      <w:sz w:val="24"/>
      <w:szCs w:val="28"/>
      <w:lang w:val="en-US"/>
    </w:rPr>
  </w:style>
  <w:style w:type="character" w:customStyle="1" w:styleId="1293">
    <w:name w:val="1表头 Char"/>
    <w:link w:val="1294"/>
    <w:semiHidden/>
    <w:qFormat/>
    <w:uiPriority w:val="0"/>
    <w:rPr>
      <w:b/>
      <w:kern w:val="2"/>
      <w:sz w:val="24"/>
    </w:rPr>
  </w:style>
  <w:style w:type="paragraph" w:customStyle="1" w:styleId="1294">
    <w:name w:val="1表头"/>
    <w:basedOn w:val="1"/>
    <w:link w:val="1293"/>
    <w:semiHidden/>
    <w:qFormat/>
    <w:uiPriority w:val="0"/>
    <w:pPr>
      <w:spacing w:line="360" w:lineRule="auto"/>
      <w:jc w:val="center"/>
    </w:pPr>
    <w:rPr>
      <w:b/>
      <w:sz w:val="24"/>
      <w:szCs w:val="20"/>
    </w:rPr>
  </w:style>
  <w:style w:type="character" w:customStyle="1" w:styleId="1295">
    <w:name w:val="页眉 Char2"/>
    <w:qFormat/>
    <w:uiPriority w:val="0"/>
    <w:rPr>
      <w:rFonts w:eastAsia="宋体"/>
      <w:kern w:val="2"/>
      <w:sz w:val="18"/>
      <w:lang w:val="en-US" w:eastAsia="zh-CN" w:bidi="ar-SA"/>
    </w:rPr>
  </w:style>
  <w:style w:type="character" w:customStyle="1" w:styleId="1296">
    <w:name w:val="s6lx"/>
    <w:qFormat/>
    <w:uiPriority w:val="0"/>
  </w:style>
  <w:style w:type="character" w:customStyle="1" w:styleId="1297">
    <w:name w:val="H6 Char3"/>
    <w:qFormat/>
    <w:uiPriority w:val="0"/>
    <w:rPr>
      <w:rFonts w:ascii="Arial" w:hAnsi="Arial" w:eastAsia="黑体"/>
      <w:b/>
      <w:sz w:val="24"/>
      <w:lang w:val="en-US" w:eastAsia="zh-CN" w:bidi="ar-SA"/>
    </w:rPr>
  </w:style>
  <w:style w:type="character" w:customStyle="1" w:styleId="1298">
    <w:name w:val="信息计划书 标题样式 Char Char"/>
    <w:semiHidden/>
    <w:qFormat/>
    <w:uiPriority w:val="0"/>
    <w:rPr>
      <w:rFonts w:ascii="Times New Roman" w:hAnsi="Times New Roman"/>
      <w:kern w:val="2"/>
      <w:sz w:val="24"/>
      <w:szCs w:val="24"/>
    </w:rPr>
  </w:style>
  <w:style w:type="character" w:customStyle="1" w:styleId="1299">
    <w:name w:val="Char Char19"/>
    <w:qFormat/>
    <w:uiPriority w:val="0"/>
    <w:rPr>
      <w:rFonts w:eastAsia="宋体"/>
      <w:kern w:val="2"/>
      <w:sz w:val="24"/>
      <w:lang w:val="en-US" w:eastAsia="zh-CN" w:bidi="ar-SA"/>
    </w:rPr>
  </w:style>
  <w:style w:type="character" w:customStyle="1" w:styleId="1300">
    <w:name w:val="环表头 Char6"/>
    <w:qFormat/>
    <w:uiPriority w:val="0"/>
    <w:rPr>
      <w:rFonts w:ascii="宋体" w:hAnsi="宋体" w:eastAsia="宋体" w:cs="Courier New"/>
      <w:b/>
      <w:color w:val="000000"/>
      <w:kern w:val="2"/>
      <w:sz w:val="24"/>
      <w:szCs w:val="21"/>
      <w:lang w:val="en-US" w:eastAsia="zh-CN" w:bidi="ar-SA"/>
    </w:rPr>
  </w:style>
  <w:style w:type="character" w:customStyle="1" w:styleId="1301">
    <w:name w:val="金兰 Char"/>
    <w:link w:val="1302"/>
    <w:qFormat/>
    <w:uiPriority w:val="0"/>
    <w:rPr>
      <w:sz w:val="28"/>
      <w:szCs w:val="28"/>
    </w:rPr>
  </w:style>
  <w:style w:type="paragraph" w:customStyle="1" w:styleId="1302">
    <w:name w:val="金兰"/>
    <w:basedOn w:val="1"/>
    <w:link w:val="1301"/>
    <w:qFormat/>
    <w:uiPriority w:val="0"/>
    <w:pPr>
      <w:topLinePunct/>
      <w:spacing w:line="480" w:lineRule="exact"/>
      <w:ind w:firstLine="560" w:firstLineChars="200"/>
      <w:jc w:val="left"/>
    </w:pPr>
    <w:rPr>
      <w:kern w:val="0"/>
      <w:sz w:val="28"/>
      <w:szCs w:val="28"/>
    </w:rPr>
  </w:style>
  <w:style w:type="character" w:customStyle="1" w:styleId="1303">
    <w:name w:val="我的样式（正文） Char Char"/>
    <w:qFormat/>
    <w:uiPriority w:val="0"/>
    <w:rPr>
      <w:rFonts w:ascii="宋体" w:hAnsi="华文楷体" w:eastAsia="宋体" w:cs="宋体"/>
      <w:b/>
      <w:spacing w:val="10"/>
      <w:kern w:val="2"/>
      <w:sz w:val="24"/>
      <w:szCs w:val="24"/>
      <w:lang w:val="en-US" w:eastAsia="zh-CN" w:bidi="ar-SA"/>
    </w:rPr>
  </w:style>
  <w:style w:type="character" w:customStyle="1" w:styleId="1304">
    <w:name w:val="Char Char164"/>
    <w:semiHidden/>
    <w:qFormat/>
    <w:uiPriority w:val="0"/>
    <w:rPr>
      <w:rFonts w:eastAsia="宋体"/>
      <w:kern w:val="2"/>
      <w:sz w:val="21"/>
      <w:lang w:val="en-US" w:eastAsia="zh-CN" w:bidi="ar-SA"/>
    </w:rPr>
  </w:style>
  <w:style w:type="character" w:customStyle="1" w:styleId="1305">
    <w:name w:val="批注框文本 Char1"/>
    <w:qFormat/>
    <w:uiPriority w:val="0"/>
    <w:rPr>
      <w:rFonts w:ascii="Calibri" w:hAnsi="Calibri" w:eastAsia="宋体" w:cs="Times New Roman"/>
      <w:sz w:val="18"/>
      <w:szCs w:val="18"/>
    </w:rPr>
  </w:style>
  <w:style w:type="character" w:customStyle="1" w:styleId="1306">
    <w:name w:val="text_body"/>
    <w:semiHidden/>
    <w:qFormat/>
    <w:uiPriority w:val="0"/>
  </w:style>
  <w:style w:type="character" w:customStyle="1" w:styleId="1307">
    <w:name w:val="wz13_31"/>
    <w:semiHidden/>
    <w:qFormat/>
    <w:uiPriority w:val="0"/>
    <w:rPr>
      <w:b/>
      <w:bCs/>
      <w:color w:val="00246B"/>
      <w:sz w:val="20"/>
      <w:szCs w:val="20"/>
    </w:rPr>
  </w:style>
  <w:style w:type="character" w:customStyle="1" w:styleId="1308">
    <w:name w:val="word131"/>
    <w:qFormat/>
    <w:uiPriority w:val="0"/>
    <w:rPr>
      <w:rFonts w:hint="default" w:ascii="ˎ̥" w:hAnsi="ˎ̥"/>
      <w:color w:val="000000"/>
      <w:sz w:val="20"/>
      <w:szCs w:val="20"/>
      <w:u w:val="none"/>
    </w:rPr>
  </w:style>
  <w:style w:type="character" w:customStyle="1" w:styleId="1309">
    <w:name w:val="h9 Char1"/>
    <w:qFormat/>
    <w:uiPriority w:val="0"/>
    <w:rPr>
      <w:rFonts w:ascii="Arial" w:hAnsi="Arial" w:eastAsia="黑体"/>
      <w:kern w:val="2"/>
      <w:sz w:val="24"/>
      <w:lang w:val="en-US" w:eastAsia="zh-CN" w:bidi="ar-SA"/>
    </w:rPr>
  </w:style>
  <w:style w:type="character" w:customStyle="1" w:styleId="1310">
    <w:name w:val="css-text3"/>
    <w:qFormat/>
    <w:uiPriority w:val="0"/>
  </w:style>
  <w:style w:type="character" w:customStyle="1" w:styleId="1311">
    <w:name w:val="公示 Char"/>
    <w:link w:val="1312"/>
    <w:semiHidden/>
    <w:qFormat/>
    <w:uiPriority w:val="0"/>
  </w:style>
  <w:style w:type="paragraph" w:customStyle="1" w:styleId="1312">
    <w:name w:val="公示"/>
    <w:basedOn w:val="1"/>
    <w:link w:val="1311"/>
    <w:semiHidden/>
    <w:qFormat/>
    <w:uiPriority w:val="0"/>
    <w:pPr>
      <w:spacing w:line="360" w:lineRule="auto"/>
      <w:ind w:firstLine="200" w:firstLineChars="200"/>
      <w:jc w:val="center"/>
    </w:pPr>
    <w:rPr>
      <w:kern w:val="0"/>
      <w:sz w:val="20"/>
      <w:szCs w:val="20"/>
    </w:rPr>
  </w:style>
  <w:style w:type="character" w:customStyle="1" w:styleId="1313">
    <w:name w:val="shekj8m"/>
    <w:qFormat/>
    <w:uiPriority w:val="0"/>
  </w:style>
  <w:style w:type="character" w:customStyle="1" w:styleId="1314">
    <w:name w:val="si16"/>
    <w:qFormat/>
    <w:uiPriority w:val="0"/>
  </w:style>
  <w:style w:type="character" w:customStyle="1" w:styleId="1315">
    <w:name w:val="textcontents"/>
    <w:semiHidden/>
    <w:qFormat/>
    <w:uiPriority w:val="0"/>
  </w:style>
  <w:style w:type="character" w:customStyle="1" w:styleId="1316">
    <w:name w:val="1表格 Char"/>
    <w:link w:val="1317"/>
    <w:qFormat/>
    <w:uiPriority w:val="0"/>
    <w:rPr>
      <w:rFonts w:ascii="宋体" w:hAnsi="宋体"/>
      <w:spacing w:val="4"/>
      <w:kern w:val="2"/>
      <w:sz w:val="24"/>
      <w:szCs w:val="24"/>
    </w:rPr>
  </w:style>
  <w:style w:type="paragraph" w:customStyle="1" w:styleId="1317">
    <w:name w:val="1表格"/>
    <w:basedOn w:val="1"/>
    <w:link w:val="1316"/>
    <w:qFormat/>
    <w:uiPriority w:val="0"/>
    <w:pPr>
      <w:adjustRightInd w:val="0"/>
      <w:snapToGrid w:val="0"/>
      <w:jc w:val="center"/>
      <w:textAlignment w:val="baseline"/>
    </w:pPr>
    <w:rPr>
      <w:rFonts w:ascii="宋体" w:hAnsi="宋体"/>
      <w:spacing w:val="4"/>
      <w:sz w:val="24"/>
    </w:rPr>
  </w:style>
  <w:style w:type="character" w:customStyle="1" w:styleId="1318">
    <w:name w:val="环正文 Char1"/>
    <w:qFormat/>
    <w:uiPriority w:val="0"/>
    <w:rPr>
      <w:rFonts w:eastAsia="宋体"/>
      <w:color w:val="000000"/>
      <w:sz w:val="24"/>
      <w:szCs w:val="24"/>
      <w:lang w:val="en-US" w:eastAsia="zh-CN" w:bidi="ar-SA"/>
    </w:rPr>
  </w:style>
  <w:style w:type="character" w:customStyle="1" w:styleId="1319">
    <w:name w:val="l12"/>
    <w:qFormat/>
    <w:uiPriority w:val="0"/>
  </w:style>
  <w:style w:type="character" w:customStyle="1" w:styleId="1320">
    <w:name w:val="main-1"/>
    <w:qFormat/>
    <w:uiPriority w:val="0"/>
  </w:style>
  <w:style w:type="character" w:customStyle="1" w:styleId="1321">
    <w:name w:val="3zw"/>
    <w:qFormat/>
    <w:uiPriority w:val="0"/>
  </w:style>
  <w:style w:type="character" w:customStyle="1" w:styleId="1322">
    <w:name w:val="Char Char210"/>
    <w:semiHidden/>
    <w:qFormat/>
    <w:uiPriority w:val="0"/>
    <w:rPr>
      <w:rFonts w:ascii="Arial" w:hAnsi="Arial" w:eastAsia="宋体" w:cs="Arial"/>
      <w:b/>
      <w:bCs/>
      <w:kern w:val="2"/>
      <w:sz w:val="36"/>
      <w:szCs w:val="32"/>
      <w:lang w:val="en-US" w:eastAsia="zh-CN" w:bidi="ar-SA"/>
    </w:rPr>
  </w:style>
  <w:style w:type="character" w:customStyle="1" w:styleId="1323">
    <w:name w:val="Char Char392"/>
    <w:semiHidden/>
    <w:qFormat/>
    <w:uiPriority w:val="0"/>
    <w:rPr>
      <w:rFonts w:eastAsia="宋体"/>
      <w:kern w:val="2"/>
      <w:sz w:val="21"/>
      <w:szCs w:val="21"/>
      <w:lang w:val="en-US" w:eastAsia="zh-CN" w:bidi="ar-SA"/>
    </w:rPr>
  </w:style>
  <w:style w:type="character" w:customStyle="1" w:styleId="1324">
    <w:name w:val="正文（首行缩进两字） Char3"/>
    <w:qFormat/>
    <w:uiPriority w:val="0"/>
    <w:rPr>
      <w:rFonts w:eastAsia="宋体"/>
      <w:bCs/>
      <w:sz w:val="28"/>
      <w:lang w:val="en-US" w:eastAsia="zh-CN" w:bidi="ar-SA"/>
    </w:rPr>
  </w:style>
  <w:style w:type="character" w:customStyle="1" w:styleId="1325">
    <w:name w:val="redfont"/>
    <w:qFormat/>
    <w:uiPriority w:val="0"/>
    <w:rPr>
      <w:rFonts w:ascii="宋体" w:hAnsi="宋体" w:eastAsia="黑体" w:cs="宋体"/>
      <w:kern w:val="2"/>
      <w:sz w:val="28"/>
      <w:szCs w:val="24"/>
      <w:lang w:val="en-US" w:eastAsia="zh-CN" w:bidi="ar-SA"/>
    </w:rPr>
  </w:style>
  <w:style w:type="character" w:customStyle="1" w:styleId="1326">
    <w:name w:val="Char Char91"/>
    <w:qFormat/>
    <w:uiPriority w:val="0"/>
    <w:rPr>
      <w:rFonts w:ascii="Arial" w:hAnsi="Arial" w:eastAsia="宋体" w:cs="Arial"/>
      <w:b/>
      <w:bCs/>
      <w:kern w:val="2"/>
      <w:sz w:val="32"/>
      <w:szCs w:val="32"/>
      <w:lang w:val="en-US" w:eastAsia="zh-CN" w:bidi="ar-SA"/>
    </w:rPr>
  </w:style>
  <w:style w:type="character" w:customStyle="1" w:styleId="1327">
    <w:name w:val="日期 Char1"/>
    <w:qFormat/>
    <w:uiPriority w:val="99"/>
    <w:rPr>
      <w:rFonts w:ascii="Calibri" w:hAnsi="Calibri" w:eastAsia="宋体" w:cs="Times New Roman"/>
    </w:rPr>
  </w:style>
  <w:style w:type="character" w:customStyle="1" w:styleId="1328">
    <w:name w:val="环表头 Char4"/>
    <w:qFormat/>
    <w:uiPriority w:val="0"/>
    <w:rPr>
      <w:rFonts w:ascii="宋体" w:hAnsi="宋体" w:eastAsia="宋体" w:cs="Courier New"/>
      <w:b/>
      <w:color w:val="000000"/>
      <w:sz w:val="24"/>
      <w:lang w:val="en-US" w:eastAsia="zh-CN" w:bidi="ar-SA"/>
    </w:rPr>
  </w:style>
  <w:style w:type="character" w:customStyle="1" w:styleId="1329">
    <w:name w:val="标准文本 居中 行距1.5倍 Char Char"/>
    <w:semiHidden/>
    <w:qFormat/>
    <w:uiPriority w:val="0"/>
    <w:rPr>
      <w:rFonts w:eastAsia="宋体" w:cs="宋体"/>
      <w:kern w:val="2"/>
      <w:sz w:val="24"/>
      <w:lang w:val="en-US" w:eastAsia="zh-CN" w:bidi="ar-SA"/>
    </w:rPr>
  </w:style>
  <w:style w:type="character" w:customStyle="1" w:styleId="1330">
    <w:name w:val="下标 Char"/>
    <w:link w:val="1331"/>
    <w:qFormat/>
    <w:uiPriority w:val="0"/>
    <w:rPr>
      <w:rFonts w:ascii="仿宋_GB2312" w:eastAsia="仿宋_GB2312"/>
      <w:kern w:val="2"/>
      <w:sz w:val="28"/>
      <w:szCs w:val="28"/>
      <w:vertAlign w:val="subscript"/>
    </w:rPr>
  </w:style>
  <w:style w:type="paragraph" w:customStyle="1" w:styleId="1331">
    <w:name w:val="下标"/>
    <w:link w:val="1330"/>
    <w:qFormat/>
    <w:uiPriority w:val="0"/>
    <w:pPr>
      <w:ind w:firstLine="1200" w:firstLineChars="500"/>
    </w:pPr>
    <w:rPr>
      <w:rFonts w:ascii="仿宋_GB2312" w:hAnsi="Times New Roman" w:eastAsia="仿宋_GB2312" w:cs="Times New Roman"/>
      <w:kern w:val="2"/>
      <w:sz w:val="28"/>
      <w:szCs w:val="28"/>
      <w:vertAlign w:val="subscript"/>
      <w:lang w:val="en-US" w:eastAsia="zh-CN" w:bidi="ar-SA"/>
    </w:rPr>
  </w:style>
  <w:style w:type="paragraph" w:customStyle="1" w:styleId="1332">
    <w:name w:val="正文小四"/>
    <w:link w:val="1333"/>
    <w:qFormat/>
    <w:uiPriority w:val="0"/>
    <w:pPr>
      <w:adjustRightInd w:val="0"/>
      <w:snapToGrid w:val="0"/>
      <w:spacing w:line="360" w:lineRule="auto"/>
      <w:ind w:firstLine="560" w:firstLineChars="200"/>
      <w:jc w:val="both"/>
    </w:pPr>
    <w:rPr>
      <w:rFonts w:ascii="仿宋_GB2312" w:hAnsi="Calibri" w:eastAsia="仿宋_GB2312" w:cs="Calibri"/>
      <w:kern w:val="2"/>
      <w:sz w:val="28"/>
      <w:szCs w:val="28"/>
      <w:lang w:val="en-US" w:eastAsia="zh-CN" w:bidi="ar-SA"/>
    </w:rPr>
  </w:style>
  <w:style w:type="character" w:customStyle="1" w:styleId="1333">
    <w:name w:val="正文小四 Char"/>
    <w:link w:val="1332"/>
    <w:qFormat/>
    <w:uiPriority w:val="0"/>
    <w:rPr>
      <w:rFonts w:ascii="仿宋_GB2312" w:hAnsi="Calibri" w:eastAsia="仿宋_GB2312" w:cs="Calibri"/>
      <w:kern w:val="2"/>
      <w:sz w:val="28"/>
      <w:szCs w:val="28"/>
    </w:rPr>
  </w:style>
  <w:style w:type="character" w:customStyle="1" w:styleId="1334">
    <w:name w:val="Char Char17"/>
    <w:qFormat/>
    <w:uiPriority w:val="0"/>
    <w:rPr>
      <w:rFonts w:ascii="宋体" w:eastAsia="宋体"/>
      <w:kern w:val="2"/>
      <w:sz w:val="24"/>
      <w:lang w:val="en-US" w:eastAsia="zh-CN" w:bidi="ar-SA"/>
    </w:rPr>
  </w:style>
  <w:style w:type="character" w:customStyle="1" w:styleId="1335">
    <w:name w:val="z-窗体顶部 Char Char"/>
    <w:semiHidden/>
    <w:qFormat/>
    <w:uiPriority w:val="0"/>
    <w:rPr>
      <w:rFonts w:ascii="Arial" w:hAnsi="Arial" w:eastAsia="仿宋_GB2312" w:cs="Arial"/>
      <w:vanish/>
      <w:sz w:val="16"/>
      <w:szCs w:val="16"/>
    </w:rPr>
  </w:style>
  <w:style w:type="character" w:customStyle="1" w:styleId="1336">
    <w:name w:val="干标题(a) Char1"/>
    <w:qFormat/>
    <w:uiPriority w:val="0"/>
    <w:rPr>
      <w:rFonts w:ascii="Arial" w:hAnsi="Arial" w:eastAsia="黑体"/>
      <w:kern w:val="2"/>
      <w:sz w:val="24"/>
      <w:lang w:val="en-US" w:eastAsia="zh-CN" w:bidi="ar-SA"/>
    </w:rPr>
  </w:style>
  <w:style w:type="character" w:customStyle="1" w:styleId="1337">
    <w:name w:val="样式 标题 1章标题章节H1NMP Heading 1Section HeadHeader1h11st leve... Char"/>
    <w:semiHidden/>
    <w:qFormat/>
    <w:uiPriority w:val="0"/>
    <w:rPr>
      <w:rFonts w:eastAsia="方正仿宋_GBK" w:cs="宋体"/>
      <w:b/>
      <w:bCs/>
      <w:kern w:val="2"/>
      <w:sz w:val="44"/>
      <w:lang w:val="en-US" w:eastAsia="zh-CN" w:bidi="ar-SA"/>
    </w:rPr>
  </w:style>
  <w:style w:type="character" w:customStyle="1" w:styleId="1338">
    <w:name w:val="样式 样式 样式 样式 样式 宋体 小四 行距: 1.5 倍行距 + 首行缩进:  2 字符 + 蓝色 首行缩进:  2 字符 ...2 Char"/>
    <w:link w:val="1339"/>
    <w:semiHidden/>
    <w:qFormat/>
    <w:uiPriority w:val="0"/>
    <w:rPr>
      <w:rFonts w:ascii="宋体" w:hAnsi="宋体"/>
      <w:color w:val="000000"/>
      <w:kern w:val="2"/>
      <w:sz w:val="24"/>
      <w:szCs w:val="24"/>
    </w:rPr>
  </w:style>
  <w:style w:type="paragraph" w:customStyle="1" w:styleId="1339">
    <w:name w:val="样式 样式 样式 样式 样式 宋体 小四 行距: 1.5 倍行距 + 首行缩进:  2 字符 + 蓝色 首行缩进:  2 字符 ...2"/>
    <w:basedOn w:val="1"/>
    <w:link w:val="1338"/>
    <w:semiHidden/>
    <w:qFormat/>
    <w:uiPriority w:val="0"/>
    <w:pPr>
      <w:spacing w:line="360" w:lineRule="auto"/>
      <w:ind w:firstLine="480" w:firstLineChars="200"/>
    </w:pPr>
    <w:rPr>
      <w:rFonts w:ascii="宋体" w:hAnsi="宋体"/>
      <w:color w:val="000000"/>
      <w:sz w:val="24"/>
    </w:rPr>
  </w:style>
  <w:style w:type="character" w:customStyle="1" w:styleId="1340">
    <w:name w:val="16p"/>
    <w:qFormat/>
    <w:uiPriority w:val="0"/>
  </w:style>
  <w:style w:type="character" w:customStyle="1" w:styleId="1341">
    <w:name w:val="wenzi1"/>
    <w:semiHidden/>
    <w:qFormat/>
    <w:uiPriority w:val="0"/>
    <w:rPr>
      <w:rFonts w:hint="default" w:ascii="ˎ̥" w:hAnsi="ˎ̥"/>
      <w:color w:val="666666"/>
      <w:sz w:val="18"/>
      <w:szCs w:val="18"/>
      <w:u w:val="none"/>
    </w:rPr>
  </w:style>
  <w:style w:type="character" w:customStyle="1" w:styleId="1342">
    <w:name w:val="headline-content2"/>
    <w:qFormat/>
    <w:uiPriority w:val="0"/>
  </w:style>
  <w:style w:type="character" w:customStyle="1" w:styleId="1343">
    <w:name w:val="a1 Char"/>
    <w:link w:val="1344"/>
    <w:qFormat/>
    <w:uiPriority w:val="0"/>
    <w:rPr>
      <w:rFonts w:ascii="宋体" w:hAnsi="宋体"/>
      <w:color w:val="000000"/>
      <w:sz w:val="24"/>
      <w:szCs w:val="24"/>
    </w:rPr>
  </w:style>
  <w:style w:type="paragraph" w:customStyle="1" w:styleId="1344">
    <w:name w:val="a1"/>
    <w:basedOn w:val="1"/>
    <w:link w:val="1343"/>
    <w:qFormat/>
    <w:uiPriority w:val="0"/>
    <w:pPr>
      <w:widowControl/>
      <w:spacing w:before="100" w:beforeAutospacing="1" w:after="100" w:afterAutospacing="1"/>
      <w:jc w:val="left"/>
    </w:pPr>
    <w:rPr>
      <w:rFonts w:ascii="宋体" w:hAnsi="宋体"/>
      <w:color w:val="000000"/>
      <w:kern w:val="0"/>
      <w:sz w:val="24"/>
    </w:rPr>
  </w:style>
  <w:style w:type="character" w:customStyle="1" w:styleId="1345">
    <w:name w:val="text_edit editable-title"/>
    <w:qFormat/>
    <w:uiPriority w:val="0"/>
  </w:style>
  <w:style w:type="character" w:customStyle="1" w:styleId="1346">
    <w:name w:val="Char Char352"/>
    <w:semiHidden/>
    <w:qFormat/>
    <w:uiPriority w:val="0"/>
    <w:rPr>
      <w:rFonts w:ascii="Tahoma" w:hAnsi="Tahoma" w:eastAsia="@黑体"/>
      <w:b/>
      <w:bCs/>
      <w:kern w:val="2"/>
      <w:sz w:val="28"/>
      <w:szCs w:val="28"/>
    </w:rPr>
  </w:style>
  <w:style w:type="character" w:customStyle="1" w:styleId="1347">
    <w:name w:val="text_green_bold1"/>
    <w:qFormat/>
    <w:uiPriority w:val="0"/>
    <w:rPr>
      <w:b/>
      <w:bCs/>
      <w:color w:val="056E7B"/>
      <w:sz w:val="18"/>
      <w:szCs w:val="18"/>
    </w:rPr>
  </w:style>
  <w:style w:type="character" w:customStyle="1" w:styleId="1348">
    <w:name w:val="Char Char163"/>
    <w:semiHidden/>
    <w:qFormat/>
    <w:uiPriority w:val="0"/>
    <w:rPr>
      <w:rFonts w:eastAsia="宋体"/>
      <w:kern w:val="2"/>
      <w:sz w:val="21"/>
      <w:lang w:val="en-US" w:eastAsia="zh-CN" w:bidi="ar-SA"/>
    </w:rPr>
  </w:style>
  <w:style w:type="character" w:customStyle="1" w:styleId="1349">
    <w:name w:val="z-窗体顶端 字符"/>
    <w:link w:val="1350"/>
    <w:qFormat/>
    <w:uiPriority w:val="0"/>
    <w:rPr>
      <w:rFonts w:ascii="Arial" w:hAnsi="Arial" w:eastAsia="Arial Unicode MS"/>
      <w:vanish/>
      <w:sz w:val="16"/>
      <w:szCs w:val="16"/>
    </w:rPr>
  </w:style>
  <w:style w:type="paragraph" w:customStyle="1" w:styleId="1350">
    <w:name w:val="z-窗体顶端11"/>
    <w:basedOn w:val="1"/>
    <w:next w:val="1"/>
    <w:link w:val="1349"/>
    <w:qFormat/>
    <w:uiPriority w:val="0"/>
    <w:pPr>
      <w:widowControl/>
      <w:pBdr>
        <w:bottom w:val="single" w:color="auto" w:sz="6" w:space="1"/>
      </w:pBdr>
      <w:jc w:val="center"/>
    </w:pPr>
    <w:rPr>
      <w:rFonts w:ascii="Arial" w:hAnsi="Arial" w:eastAsia="Arial Unicode MS"/>
      <w:vanish/>
      <w:kern w:val="0"/>
      <w:sz w:val="16"/>
      <w:szCs w:val="16"/>
    </w:rPr>
  </w:style>
  <w:style w:type="character" w:customStyle="1" w:styleId="1351">
    <w:name w:val="text_edit"/>
    <w:semiHidden/>
    <w:qFormat/>
    <w:uiPriority w:val="0"/>
  </w:style>
  <w:style w:type="character" w:customStyle="1" w:styleId="1352">
    <w:name w:val="1正文 Char Char"/>
    <w:semiHidden/>
    <w:qFormat/>
    <w:uiPriority w:val="0"/>
    <w:rPr>
      <w:rFonts w:eastAsia="宋体" w:cs="宋体"/>
      <w:kern w:val="2"/>
      <w:sz w:val="24"/>
      <w:lang w:val="en-US" w:eastAsia="zh-CN" w:bidi="ar-SA"/>
    </w:rPr>
  </w:style>
  <w:style w:type="character" w:customStyle="1" w:styleId="1353">
    <w:name w:val="Heading 1 Char"/>
    <w:semiHidden/>
    <w:qFormat/>
    <w:uiPriority w:val="0"/>
    <w:rPr>
      <w:rFonts w:cs="Times New Roman"/>
      <w:b/>
      <w:bCs/>
      <w:kern w:val="44"/>
      <w:sz w:val="44"/>
      <w:szCs w:val="44"/>
    </w:rPr>
  </w:style>
  <w:style w:type="character" w:customStyle="1" w:styleId="1354">
    <w:name w:val="aa正文 Char"/>
    <w:link w:val="1355"/>
    <w:qFormat/>
    <w:uiPriority w:val="0"/>
    <w:rPr>
      <w:sz w:val="24"/>
      <w:szCs w:val="22"/>
    </w:rPr>
  </w:style>
  <w:style w:type="paragraph" w:customStyle="1" w:styleId="1355">
    <w:name w:val="aa正文"/>
    <w:basedOn w:val="1"/>
    <w:link w:val="1354"/>
    <w:qFormat/>
    <w:uiPriority w:val="0"/>
    <w:pPr>
      <w:widowControl/>
      <w:spacing w:line="360" w:lineRule="auto"/>
      <w:ind w:firstLine="200" w:firstLineChars="200"/>
      <w:jc w:val="left"/>
    </w:pPr>
    <w:rPr>
      <w:kern w:val="0"/>
      <w:sz w:val="24"/>
      <w:szCs w:val="22"/>
    </w:rPr>
  </w:style>
  <w:style w:type="character" w:customStyle="1" w:styleId="1356">
    <w:name w:val="hd"/>
    <w:semiHidden/>
    <w:qFormat/>
    <w:uiPriority w:val="0"/>
  </w:style>
  <w:style w:type="character" w:customStyle="1" w:styleId="1357">
    <w:name w:val="标题4改 Char"/>
    <w:link w:val="1358"/>
    <w:qFormat/>
    <w:uiPriority w:val="0"/>
    <w:rPr>
      <w:rFonts w:ascii="黑体" w:hAnsi="黑体" w:eastAsia="黑体"/>
      <w:sz w:val="28"/>
      <w:szCs w:val="28"/>
    </w:rPr>
  </w:style>
  <w:style w:type="paragraph" w:customStyle="1" w:styleId="1358">
    <w:name w:val="标题4改"/>
    <w:basedOn w:val="1"/>
    <w:link w:val="1357"/>
    <w:qFormat/>
    <w:uiPriority w:val="0"/>
    <w:pPr>
      <w:spacing w:line="560" w:lineRule="exact"/>
      <w:ind w:firstLine="200" w:firstLineChars="200"/>
      <w:outlineLvl w:val="3"/>
    </w:pPr>
    <w:rPr>
      <w:rFonts w:ascii="黑体" w:hAnsi="黑体" w:eastAsia="黑体"/>
      <w:kern w:val="0"/>
      <w:sz w:val="28"/>
      <w:szCs w:val="28"/>
    </w:rPr>
  </w:style>
  <w:style w:type="character" w:customStyle="1" w:styleId="1359">
    <w:name w:val="环表头 Char3"/>
    <w:link w:val="1360"/>
    <w:qFormat/>
    <w:uiPriority w:val="0"/>
    <w:rPr>
      <w:rFonts w:ascii="仿宋_GB2312" w:hAnsi="宋体" w:eastAsia="仿宋_GB2312"/>
      <w:b/>
      <w:kern w:val="2"/>
      <w:sz w:val="28"/>
      <w:szCs w:val="28"/>
    </w:rPr>
  </w:style>
  <w:style w:type="paragraph" w:customStyle="1" w:styleId="1360">
    <w:name w:val="环表头"/>
    <w:next w:val="1"/>
    <w:link w:val="1359"/>
    <w:qFormat/>
    <w:uiPriority w:val="0"/>
    <w:pPr>
      <w:tabs>
        <w:tab w:val="left" w:pos="1464"/>
        <w:tab w:val="left" w:pos="5094"/>
      </w:tabs>
      <w:suppressAutoHyphens/>
      <w:spacing w:before="100" w:beforeAutospacing="1" w:after="60" w:line="240" w:lineRule="atLeast"/>
      <w:ind w:left="6" w:right="28" w:firstLine="593"/>
      <w:jc w:val="center"/>
    </w:pPr>
    <w:rPr>
      <w:rFonts w:ascii="仿宋_GB2312" w:hAnsi="宋体" w:eastAsia="仿宋_GB2312" w:cs="Times New Roman"/>
      <w:b/>
      <w:kern w:val="2"/>
      <w:sz w:val="28"/>
      <w:szCs w:val="28"/>
      <w:lang w:val="en-US" w:eastAsia="zh-CN" w:bidi="ar-SA"/>
    </w:rPr>
  </w:style>
  <w:style w:type="paragraph" w:customStyle="1" w:styleId="1361">
    <w:name w:val="环正文"/>
    <w:basedOn w:val="1"/>
    <w:link w:val="1362"/>
    <w:qFormat/>
    <w:uiPriority w:val="0"/>
    <w:pPr>
      <w:widowControl/>
      <w:tabs>
        <w:tab w:val="left" w:pos="5094"/>
      </w:tabs>
      <w:adjustRightInd w:val="0"/>
      <w:snapToGrid w:val="0"/>
      <w:spacing w:line="500" w:lineRule="exact"/>
      <w:ind w:firstLine="560" w:firstLineChars="200"/>
      <w:textAlignment w:val="baseline"/>
    </w:pPr>
    <w:rPr>
      <w:rFonts w:ascii="Calibri" w:hAnsi="Calibri" w:cs="Calibri"/>
      <w:color w:val="FF00FF"/>
      <w:sz w:val="28"/>
      <w:szCs w:val="28"/>
    </w:rPr>
  </w:style>
  <w:style w:type="character" w:customStyle="1" w:styleId="1362">
    <w:name w:val="环正文 Char"/>
    <w:link w:val="1361"/>
    <w:qFormat/>
    <w:uiPriority w:val="0"/>
    <w:rPr>
      <w:rFonts w:ascii="Calibri" w:hAnsi="Calibri" w:cs="Calibri"/>
      <w:color w:val="FF00FF"/>
      <w:kern w:val="2"/>
      <w:sz w:val="28"/>
      <w:szCs w:val="28"/>
    </w:rPr>
  </w:style>
  <w:style w:type="character" w:customStyle="1" w:styleId="1363">
    <w:name w:val="Char Char113"/>
    <w:qFormat/>
    <w:uiPriority w:val="0"/>
    <w:rPr>
      <w:rFonts w:ascii="Arial" w:hAnsi="Arial" w:eastAsia="宋体" w:cs="Arial"/>
      <w:b/>
      <w:bCs/>
      <w:kern w:val="2"/>
      <w:sz w:val="32"/>
      <w:szCs w:val="32"/>
      <w:lang w:val="en-US" w:eastAsia="zh-CN" w:bidi="ar-SA"/>
    </w:rPr>
  </w:style>
  <w:style w:type="character" w:customStyle="1" w:styleId="1364">
    <w:name w:val="Char Char41"/>
    <w:qFormat/>
    <w:uiPriority w:val="0"/>
    <w:rPr>
      <w:rFonts w:eastAsia="宋体"/>
      <w:kern w:val="2"/>
      <w:sz w:val="18"/>
      <w:szCs w:val="24"/>
      <w:lang w:val="en-US" w:eastAsia="zh-CN" w:bidi="ar-SA"/>
    </w:rPr>
  </w:style>
  <w:style w:type="character" w:customStyle="1" w:styleId="1365">
    <w:name w:val="soa7bda"/>
    <w:qFormat/>
    <w:uiPriority w:val="0"/>
  </w:style>
  <w:style w:type="character" w:customStyle="1" w:styleId="1366">
    <w:name w:val="Char Char20"/>
    <w:qFormat/>
    <w:uiPriority w:val="0"/>
    <w:rPr>
      <w:sz w:val="18"/>
      <w:szCs w:val="18"/>
    </w:rPr>
  </w:style>
  <w:style w:type="character" w:customStyle="1" w:styleId="1367">
    <w:name w:val="标题 Char2"/>
    <w:qFormat/>
    <w:uiPriority w:val="10"/>
    <w:rPr>
      <w:rFonts w:ascii="Arial" w:hAnsi="Arial" w:eastAsia="宋体" w:cs="Arial"/>
      <w:b/>
      <w:bCs/>
      <w:kern w:val="2"/>
      <w:sz w:val="32"/>
      <w:szCs w:val="32"/>
      <w:lang w:val="en-US" w:eastAsia="zh-CN" w:bidi="ar-SA"/>
    </w:rPr>
  </w:style>
  <w:style w:type="character" w:customStyle="1" w:styleId="1368">
    <w:name w:val="环表头 Char2"/>
    <w:qFormat/>
    <w:uiPriority w:val="0"/>
    <w:rPr>
      <w:rFonts w:ascii="黑体" w:hAnsi="宋体" w:eastAsia="黑体"/>
      <w:color w:val="000000"/>
      <w:sz w:val="24"/>
      <w:szCs w:val="24"/>
      <w:lang w:val="en-US" w:eastAsia="zh-CN" w:bidi="ar-SA"/>
    </w:rPr>
  </w:style>
  <w:style w:type="character" w:customStyle="1" w:styleId="1369">
    <w:name w:val="正文 Char"/>
    <w:qFormat/>
    <w:uiPriority w:val="0"/>
    <w:rPr>
      <w:rFonts w:ascii="仿宋_GB2312" w:hAnsi="宋体" w:eastAsia="仿宋_GB2312"/>
      <w:color w:val="000000"/>
      <w:kern w:val="2"/>
      <w:sz w:val="28"/>
      <w:szCs w:val="24"/>
      <w:lang w:val="en-US" w:eastAsia="zh-CN" w:bidi="ar-SA"/>
    </w:rPr>
  </w:style>
  <w:style w:type="character" w:customStyle="1" w:styleId="1370">
    <w:name w:val="style1"/>
    <w:qFormat/>
    <w:uiPriority w:val="0"/>
  </w:style>
  <w:style w:type="character" w:customStyle="1" w:styleId="1371">
    <w:name w:val="Char Char47"/>
    <w:qFormat/>
    <w:uiPriority w:val="0"/>
    <w:rPr>
      <w:rFonts w:ascii="Arial" w:hAnsi="Arial" w:eastAsia="仿宋_GB2312"/>
      <w:sz w:val="24"/>
      <w:lang w:val="en-US" w:eastAsia="zh-CN" w:bidi="ar-SA"/>
    </w:rPr>
  </w:style>
  <w:style w:type="character" w:customStyle="1" w:styleId="1372">
    <w:name w:val="【正文】 Char"/>
    <w:link w:val="1373"/>
    <w:qFormat/>
    <w:uiPriority w:val="0"/>
    <w:rPr>
      <w:spacing w:val="16"/>
      <w:kern w:val="2"/>
      <w:sz w:val="24"/>
    </w:rPr>
  </w:style>
  <w:style w:type="paragraph" w:customStyle="1" w:styleId="1373">
    <w:name w:val="【正文】"/>
    <w:basedOn w:val="1"/>
    <w:link w:val="1372"/>
    <w:qFormat/>
    <w:uiPriority w:val="0"/>
    <w:pPr>
      <w:spacing w:line="440" w:lineRule="exact"/>
      <w:ind w:firstLine="544" w:firstLineChars="200"/>
    </w:pPr>
    <w:rPr>
      <w:spacing w:val="16"/>
      <w:sz w:val="24"/>
      <w:szCs w:val="20"/>
    </w:rPr>
  </w:style>
  <w:style w:type="character" w:customStyle="1" w:styleId="1374">
    <w:name w:val="页眉 Char1"/>
    <w:qFormat/>
    <w:uiPriority w:val="0"/>
    <w:rPr>
      <w:rFonts w:ascii="Calibri" w:hAnsi="Calibri" w:eastAsia="宋体" w:cs="Times New Roman"/>
      <w:sz w:val="18"/>
      <w:szCs w:val="18"/>
    </w:rPr>
  </w:style>
  <w:style w:type="character" w:customStyle="1" w:styleId="1375">
    <w:name w:val="表格文字1 Char"/>
    <w:link w:val="1376"/>
    <w:qFormat/>
    <w:uiPriority w:val="0"/>
    <w:rPr>
      <w:rFonts w:ascii="宋体" w:hAnsi="宋体"/>
      <w:bCs/>
      <w:color w:val="000000"/>
      <w:szCs w:val="21"/>
    </w:rPr>
  </w:style>
  <w:style w:type="paragraph" w:customStyle="1" w:styleId="1376">
    <w:name w:val="表格文字1"/>
    <w:basedOn w:val="250"/>
    <w:link w:val="1375"/>
    <w:qFormat/>
    <w:uiPriority w:val="0"/>
    <w:pPr>
      <w:spacing w:line="240" w:lineRule="auto"/>
      <w:ind w:firstLine="0" w:firstLineChars="0"/>
    </w:pPr>
    <w:rPr>
      <w:rFonts w:ascii="宋体" w:hAnsi="宋体"/>
      <w:bCs/>
      <w:color w:val="000000"/>
      <w:spacing w:val="0"/>
      <w:kern w:val="0"/>
      <w:sz w:val="20"/>
      <w:szCs w:val="21"/>
      <w:lang w:val="en-US"/>
    </w:rPr>
  </w:style>
  <w:style w:type="character" w:customStyle="1" w:styleId="1377">
    <w:name w:val="f41"/>
    <w:qFormat/>
    <w:uiPriority w:val="0"/>
    <w:rPr>
      <w:color w:val="333333"/>
      <w:sz w:val="21"/>
      <w:szCs w:val="21"/>
    </w:rPr>
  </w:style>
  <w:style w:type="character" w:customStyle="1" w:styleId="1378">
    <w:name w:val="Char Char Char Char Char Char Char3"/>
    <w:link w:val="1379"/>
    <w:qFormat/>
    <w:uiPriority w:val="0"/>
    <w:rPr>
      <w:rFonts w:ascii="宋体" w:hAnsi="宋体"/>
      <w:sz w:val="24"/>
      <w:szCs w:val="24"/>
    </w:rPr>
  </w:style>
  <w:style w:type="paragraph" w:customStyle="1" w:styleId="1379">
    <w:name w:val="Char Char Char Char Char Char3"/>
    <w:basedOn w:val="1"/>
    <w:link w:val="1378"/>
    <w:qFormat/>
    <w:uiPriority w:val="0"/>
    <w:rPr>
      <w:rFonts w:ascii="宋体" w:hAnsi="宋体"/>
      <w:kern w:val="0"/>
      <w:sz w:val="24"/>
    </w:rPr>
  </w:style>
  <w:style w:type="character" w:customStyle="1" w:styleId="1380">
    <w:name w:val="标准文本 首行缩进:2 字符 行距1倍 Char Char Char Char Char"/>
    <w:semiHidden/>
    <w:qFormat/>
    <w:uiPriority w:val="0"/>
    <w:rPr>
      <w:rFonts w:eastAsia="宋体" w:cs="宋体"/>
      <w:kern w:val="2"/>
      <w:sz w:val="24"/>
      <w:szCs w:val="24"/>
      <w:lang w:val="en-US" w:eastAsia="zh-CN" w:bidi="ar-SA"/>
    </w:rPr>
  </w:style>
  <w:style w:type="character" w:customStyle="1" w:styleId="1381">
    <w:name w:val="样式 标题 1 + 加宽量  5 磅 Char Char"/>
    <w:semiHidden/>
    <w:qFormat/>
    <w:uiPriority w:val="0"/>
    <w:rPr>
      <w:rFonts w:eastAsia="宋体" w:cs="Times New Roman"/>
      <w:bCs/>
      <w:spacing w:val="100"/>
      <w:kern w:val="44"/>
      <w:sz w:val="44"/>
      <w:szCs w:val="44"/>
      <w:lang w:val="en-US" w:eastAsia="zh-CN" w:bidi="ar-SA"/>
    </w:rPr>
  </w:style>
  <w:style w:type="character" w:customStyle="1" w:styleId="1382">
    <w:name w:val="环评正文 Char1"/>
    <w:qFormat/>
    <w:uiPriority w:val="0"/>
    <w:rPr>
      <w:rFonts w:eastAsia="宋体"/>
      <w:bCs/>
      <w:kern w:val="2"/>
      <w:sz w:val="24"/>
      <w:szCs w:val="24"/>
      <w:lang w:val="en-US" w:eastAsia="zh-CN" w:bidi="ar-SA"/>
    </w:rPr>
  </w:style>
  <w:style w:type="character" w:customStyle="1" w:styleId="1383">
    <w:name w:val="项标题(1) Char Char"/>
    <w:qFormat/>
    <w:uiPriority w:val="0"/>
    <w:rPr>
      <w:rFonts w:eastAsia="宋体"/>
      <w:b/>
      <w:bCs/>
      <w:kern w:val="2"/>
      <w:sz w:val="24"/>
      <w:szCs w:val="24"/>
      <w:lang w:val="en-US" w:eastAsia="zh-CN" w:bidi="ar-SA"/>
    </w:rPr>
  </w:style>
  <w:style w:type="character" w:customStyle="1" w:styleId="1384">
    <w:name w:val="s8h0t"/>
    <w:qFormat/>
    <w:uiPriority w:val="0"/>
  </w:style>
  <w:style w:type="character" w:customStyle="1" w:styleId="1385">
    <w:name w:val="环标1 Char1"/>
    <w:link w:val="1386"/>
    <w:qFormat/>
    <w:uiPriority w:val="0"/>
    <w:rPr>
      <w:rFonts w:ascii="黑体" w:hAnsi="Courier New"/>
      <w:kern w:val="44"/>
      <w:sz w:val="28"/>
    </w:rPr>
  </w:style>
  <w:style w:type="paragraph" w:customStyle="1" w:styleId="1386">
    <w:name w:val="环标1"/>
    <w:basedOn w:val="3"/>
    <w:link w:val="1385"/>
    <w:qFormat/>
    <w:uiPriority w:val="0"/>
    <w:pPr>
      <w:keepNext w:val="0"/>
      <w:overflowPunct/>
      <w:adjustRightInd w:val="0"/>
      <w:snapToGrid/>
      <w:spacing w:before="0" w:after="120" w:line="312" w:lineRule="atLeast"/>
      <w:ind w:left="0" w:firstLine="0"/>
      <w:textAlignment w:val="baseline"/>
    </w:pPr>
    <w:rPr>
      <w:rFonts w:ascii="黑体" w:hAnsi="Courier New" w:eastAsia="宋体"/>
      <w:b w:val="0"/>
      <w:bCs w:val="0"/>
      <w:color w:val="auto"/>
      <w:sz w:val="28"/>
      <w:szCs w:val="20"/>
    </w:rPr>
  </w:style>
  <w:style w:type="character" w:customStyle="1" w:styleId="1387">
    <w:name w:val="Char Char25"/>
    <w:qFormat/>
    <w:uiPriority w:val="0"/>
    <w:rPr>
      <w:rFonts w:ascii="@黑体" w:hAnsi="@黑体"/>
      <w:kern w:val="2"/>
      <w:sz w:val="21"/>
      <w:szCs w:val="24"/>
    </w:rPr>
  </w:style>
  <w:style w:type="character" w:customStyle="1" w:styleId="1388">
    <w:name w:val="my Char"/>
    <w:link w:val="1389"/>
    <w:semiHidden/>
    <w:qFormat/>
    <w:uiPriority w:val="0"/>
    <w:rPr>
      <w:rFonts w:ascii="@黑体" w:hAnsi="@黑体" w:eastAsia="Times New Roman"/>
      <w:sz w:val="24"/>
      <w:szCs w:val="24"/>
    </w:rPr>
  </w:style>
  <w:style w:type="paragraph" w:customStyle="1" w:styleId="1389">
    <w:name w:val="my"/>
    <w:link w:val="1388"/>
    <w:semiHidden/>
    <w:qFormat/>
    <w:uiPriority w:val="0"/>
    <w:pPr>
      <w:widowControl w:val="0"/>
      <w:spacing w:before="60" w:line="460" w:lineRule="exact"/>
      <w:ind w:firstLine="200" w:firstLineChars="200"/>
    </w:pPr>
    <w:rPr>
      <w:rFonts w:ascii="@黑体" w:hAnsi="@黑体" w:eastAsia="Times New Roman" w:cs="Times New Roman"/>
      <w:sz w:val="24"/>
      <w:szCs w:val="24"/>
      <w:lang w:val="en-US" w:eastAsia="zh-CN" w:bidi="ar-SA"/>
    </w:rPr>
  </w:style>
  <w:style w:type="character" w:customStyle="1" w:styleId="1390">
    <w:name w:val="10dpi1"/>
    <w:qFormat/>
    <w:uiPriority w:val="0"/>
    <w:rPr>
      <w:spacing w:val="20"/>
      <w:sz w:val="21"/>
      <w:szCs w:val="21"/>
    </w:rPr>
  </w:style>
  <w:style w:type="character" w:customStyle="1" w:styleId="1391">
    <w:name w:val="Char Char411"/>
    <w:qFormat/>
    <w:uiPriority w:val="0"/>
    <w:rPr>
      <w:rFonts w:eastAsia="宋体"/>
      <w:kern w:val="2"/>
      <w:sz w:val="18"/>
      <w:szCs w:val="24"/>
      <w:lang w:val="en-US" w:eastAsia="zh-CN" w:bidi="ar-SA"/>
    </w:rPr>
  </w:style>
  <w:style w:type="character" w:customStyle="1" w:styleId="1392">
    <w:name w:val="样式 标题 2节标题 1.1节第一章 标题 2Heading 2 HiddenHeading 2 CCBSheadi... Char"/>
    <w:link w:val="1393"/>
    <w:semiHidden/>
    <w:qFormat/>
    <w:uiPriority w:val="0"/>
    <w:rPr>
      <w:b/>
      <w:kern w:val="2"/>
      <w:sz w:val="24"/>
      <w:szCs w:val="24"/>
    </w:rPr>
  </w:style>
  <w:style w:type="paragraph" w:customStyle="1" w:styleId="1393">
    <w:name w:val="样式 标题 2节标题 1.1节第一章 标题 2Heading 2 HiddenHeading 2 CCBSheadi..."/>
    <w:basedOn w:val="4"/>
    <w:link w:val="1392"/>
    <w:semiHidden/>
    <w:qFormat/>
    <w:uiPriority w:val="0"/>
    <w:pPr>
      <w:numPr>
        <w:ilvl w:val="0"/>
        <w:numId w:val="0"/>
      </w:numPr>
      <w:adjustRightInd w:val="0"/>
      <w:spacing w:beforeLines="50" w:line="480" w:lineRule="auto"/>
    </w:pPr>
    <w:rPr>
      <w:rFonts w:ascii="Times New Roman" w:hAnsi="Times New Roman" w:eastAsia="宋体"/>
      <w:bCs w:val="0"/>
      <w:sz w:val="24"/>
      <w:szCs w:val="24"/>
      <w:lang w:val="en-US"/>
    </w:rPr>
  </w:style>
  <w:style w:type="character" w:customStyle="1" w:styleId="1394">
    <w:name w:val="普通文字 Char Char Char Char Char C Char Char Char Char Char Char Char"/>
    <w:qFormat/>
    <w:uiPriority w:val="0"/>
    <w:rPr>
      <w:rFonts w:ascii="宋体" w:hAnsi="Courier New" w:eastAsia="宋体" w:cs="宋体"/>
      <w:kern w:val="2"/>
      <w:sz w:val="28"/>
      <w:szCs w:val="24"/>
      <w:lang w:val="en-US" w:eastAsia="zh-CN" w:bidi="ar-SA"/>
    </w:rPr>
  </w:style>
  <w:style w:type="character" w:customStyle="1" w:styleId="1395">
    <w:name w:val="style3 grey"/>
    <w:qFormat/>
    <w:uiPriority w:val="0"/>
  </w:style>
  <w:style w:type="character" w:customStyle="1" w:styleId="1396">
    <w:name w:val="tcnt3"/>
    <w:semiHidden/>
    <w:qFormat/>
    <w:uiPriority w:val="0"/>
  </w:style>
  <w:style w:type="character" w:customStyle="1" w:styleId="1397">
    <w:name w:val="环标1 Char"/>
    <w:qFormat/>
    <w:uiPriority w:val="0"/>
    <w:rPr>
      <w:rFonts w:ascii="宋体" w:hAnsi="Courier New" w:eastAsia="黑体"/>
      <w:b/>
      <w:kern w:val="44"/>
      <w:sz w:val="32"/>
      <w:lang w:val="en-US" w:eastAsia="zh-CN" w:bidi="ar-SA"/>
    </w:rPr>
  </w:style>
  <w:style w:type="character" w:customStyle="1" w:styleId="1398">
    <w:name w:val="标题 4 Char Char Char Char Char"/>
    <w:semiHidden/>
    <w:qFormat/>
    <w:uiPriority w:val="0"/>
    <w:rPr>
      <w:rFonts w:ascii="Arial" w:hAnsi="Arial" w:eastAsia="黑体"/>
      <w:sz w:val="24"/>
      <w:lang w:val="en-US" w:eastAsia="zh-CN" w:bidi="ar-SA"/>
    </w:rPr>
  </w:style>
  <w:style w:type="character" w:customStyle="1" w:styleId="1399">
    <w:name w:val="公式 首行缩进:  2 字符 Char Char"/>
    <w:semiHidden/>
    <w:qFormat/>
    <w:uiPriority w:val="0"/>
    <w:rPr>
      <w:rFonts w:eastAsia="宋体" w:cs="宋体"/>
      <w:kern w:val="2"/>
      <w:sz w:val="24"/>
      <w:szCs w:val="24"/>
      <w:lang w:val="en-US" w:eastAsia="zh-CN" w:bidi="ar-SA"/>
    </w:rPr>
  </w:style>
  <w:style w:type="character" w:customStyle="1" w:styleId="1400">
    <w:name w:val="grame"/>
    <w:qFormat/>
    <w:uiPriority w:val="0"/>
  </w:style>
  <w:style w:type="character" w:customStyle="1" w:styleId="1401">
    <w:name w:val="ak1"/>
    <w:qFormat/>
    <w:uiPriority w:val="0"/>
    <w:rPr>
      <w:sz w:val="18"/>
      <w:szCs w:val="18"/>
      <w:u w:val="none"/>
    </w:rPr>
  </w:style>
  <w:style w:type="character" w:customStyle="1" w:styleId="1402">
    <w:name w:val="sxuoj4"/>
    <w:qFormat/>
    <w:uiPriority w:val="0"/>
  </w:style>
  <w:style w:type="character" w:customStyle="1" w:styleId="1403">
    <w:name w:val="表中 Char"/>
    <w:link w:val="1404"/>
    <w:qFormat/>
    <w:uiPriority w:val="0"/>
    <w:rPr>
      <w:rFonts w:ascii="宋体"/>
      <w:kern w:val="2"/>
      <w:sz w:val="21"/>
      <w:szCs w:val="24"/>
    </w:rPr>
  </w:style>
  <w:style w:type="paragraph" w:customStyle="1" w:styleId="1404">
    <w:name w:val="表中"/>
    <w:basedOn w:val="1"/>
    <w:link w:val="1403"/>
    <w:qFormat/>
    <w:uiPriority w:val="0"/>
    <w:pPr>
      <w:spacing w:line="300" w:lineRule="exact"/>
      <w:jc w:val="center"/>
    </w:pPr>
    <w:rPr>
      <w:rFonts w:ascii="宋体"/>
    </w:rPr>
  </w:style>
  <w:style w:type="character" w:customStyle="1" w:styleId="1405">
    <w:name w:val="【表中文字】 Char"/>
    <w:link w:val="1406"/>
    <w:semiHidden/>
    <w:qFormat/>
    <w:uiPriority w:val="0"/>
    <w:rPr>
      <w:kern w:val="2"/>
      <w:sz w:val="21"/>
    </w:rPr>
  </w:style>
  <w:style w:type="paragraph" w:customStyle="1" w:styleId="1406">
    <w:name w:val="【表中文字】"/>
    <w:basedOn w:val="1"/>
    <w:link w:val="1405"/>
    <w:semiHidden/>
    <w:qFormat/>
    <w:uiPriority w:val="0"/>
    <w:pPr>
      <w:spacing w:line="380" w:lineRule="exact"/>
      <w:jc w:val="center"/>
    </w:pPr>
    <w:rPr>
      <w:szCs w:val="20"/>
    </w:rPr>
  </w:style>
  <w:style w:type="character" w:customStyle="1" w:styleId="1407">
    <w:name w:val="图号 Char"/>
    <w:semiHidden/>
    <w:qFormat/>
    <w:uiPriority w:val="0"/>
    <w:rPr>
      <w:rFonts w:eastAsia="宋体"/>
      <w:b/>
      <w:bCs/>
      <w:kern w:val="32"/>
      <w:sz w:val="24"/>
      <w:szCs w:val="24"/>
      <w:lang w:val="en-US" w:eastAsia="zh-CN" w:bidi="ar-SA"/>
    </w:rPr>
  </w:style>
  <w:style w:type="character" w:customStyle="1" w:styleId="1408">
    <w:name w:val="su21"/>
    <w:qFormat/>
    <w:uiPriority w:val="0"/>
  </w:style>
  <w:style w:type="character" w:customStyle="1" w:styleId="1409">
    <w:name w:val="主标题 Char Char7"/>
    <w:semiHidden/>
    <w:qFormat/>
    <w:uiPriority w:val="0"/>
    <w:rPr>
      <w:rFonts w:ascii="Arial" w:hAnsi="Arial" w:eastAsia="宋体" w:cs="Arial"/>
      <w:b/>
      <w:bCs/>
      <w:kern w:val="2"/>
      <w:sz w:val="32"/>
      <w:szCs w:val="32"/>
      <w:lang w:val="en-US" w:eastAsia="zh-CN" w:bidi="ar-SA"/>
    </w:rPr>
  </w:style>
  <w:style w:type="character" w:customStyle="1" w:styleId="1410">
    <w:name w:val="一级标题 Char"/>
    <w:link w:val="1411"/>
    <w:qFormat/>
    <w:uiPriority w:val="0"/>
    <w:rPr>
      <w:rFonts w:ascii="黑体" w:eastAsia="黑体"/>
      <w:b/>
      <w:kern w:val="2"/>
      <w:sz w:val="44"/>
      <w:szCs w:val="44"/>
    </w:rPr>
  </w:style>
  <w:style w:type="paragraph" w:customStyle="1" w:styleId="1411">
    <w:name w:val="一级标题"/>
    <w:basedOn w:val="1"/>
    <w:link w:val="1410"/>
    <w:qFormat/>
    <w:uiPriority w:val="0"/>
    <w:pPr>
      <w:keepNext/>
      <w:widowControl/>
      <w:tabs>
        <w:tab w:val="left" w:pos="454"/>
      </w:tabs>
      <w:spacing w:before="194" w:after="194"/>
      <w:ind w:left="454" w:hanging="397"/>
      <w:outlineLvl w:val="0"/>
    </w:pPr>
    <w:rPr>
      <w:rFonts w:ascii="黑体" w:eastAsia="黑体"/>
      <w:b/>
      <w:sz w:val="44"/>
      <w:szCs w:val="44"/>
    </w:rPr>
  </w:style>
  <w:style w:type="character" w:customStyle="1" w:styleId="1412">
    <w:name w:val="Char Char40"/>
    <w:qFormat/>
    <w:uiPriority w:val="0"/>
    <w:rPr>
      <w:rFonts w:eastAsia="宋体"/>
      <w:sz w:val="16"/>
      <w:szCs w:val="16"/>
      <w:lang w:val="en-US" w:eastAsia="zh-CN" w:bidi="ar-SA"/>
    </w:rPr>
  </w:style>
  <w:style w:type="character" w:customStyle="1" w:styleId="1413">
    <w:name w:val="Char Char81"/>
    <w:qFormat/>
    <w:uiPriority w:val="0"/>
    <w:rPr>
      <w:rFonts w:hint="eastAsia" w:ascii="仿宋_GB2312" w:eastAsia="仿宋_GB2312"/>
      <w:kern w:val="2"/>
      <w:sz w:val="28"/>
      <w:lang w:val="en-US" w:eastAsia="zh-CN" w:bidi="ar-SA"/>
    </w:rPr>
  </w:style>
  <w:style w:type="character" w:customStyle="1" w:styleId="1414">
    <w:name w:val="正文文本 + 10.5 pt"/>
    <w:semiHidden/>
    <w:qFormat/>
    <w:uiPriority w:val="0"/>
    <w:rPr>
      <w:rFonts w:ascii="宋体" w:hAnsi="宋体" w:cs="宋体"/>
      <w:sz w:val="21"/>
      <w:szCs w:val="21"/>
      <w:u w:val="none"/>
    </w:rPr>
  </w:style>
  <w:style w:type="character" w:customStyle="1" w:styleId="1415">
    <w:name w:val="text_new"/>
    <w:qFormat/>
    <w:uiPriority w:val="0"/>
  </w:style>
  <w:style w:type="character" w:customStyle="1" w:styleId="1416">
    <w:name w:val="正文样式1111 Char Char"/>
    <w:semiHidden/>
    <w:qFormat/>
    <w:uiPriority w:val="0"/>
    <w:rPr>
      <w:rFonts w:ascii="宋体" w:hAnsi="宋体" w:eastAsia="宋体"/>
      <w:color w:val="000000"/>
      <w:kern w:val="2"/>
      <w:sz w:val="24"/>
      <w:szCs w:val="24"/>
      <w:lang w:val="en-US" w:eastAsia="zh-CN" w:bidi="ar-SA"/>
    </w:rPr>
  </w:style>
  <w:style w:type="character" w:customStyle="1" w:styleId="1417">
    <w:name w:val="样式 仿宋_GB2312 小四2"/>
    <w:qFormat/>
    <w:uiPriority w:val="0"/>
    <w:rPr>
      <w:rFonts w:ascii="Times New Roman" w:hAnsi="Times New Roman" w:eastAsia="仿宋_GB2312" w:cs="Courier New"/>
      <w:kern w:val="2"/>
      <w:sz w:val="24"/>
      <w:szCs w:val="24"/>
      <w:lang w:val="en-US" w:eastAsia="zh-CN" w:bidi="ar-SA"/>
    </w:rPr>
  </w:style>
  <w:style w:type="character" w:customStyle="1" w:styleId="1418">
    <w:name w:val="seecix"/>
    <w:qFormat/>
    <w:uiPriority w:val="0"/>
  </w:style>
  <w:style w:type="character" w:customStyle="1" w:styleId="1419">
    <w:name w:val="标题2新 Char"/>
    <w:link w:val="1420"/>
    <w:qFormat/>
    <w:uiPriority w:val="0"/>
    <w:rPr>
      <w:rFonts w:ascii="楷体" w:hAnsi="楷体" w:eastAsia="楷体"/>
      <w:b/>
      <w:bCs/>
      <w:sz w:val="32"/>
      <w:szCs w:val="24"/>
    </w:rPr>
  </w:style>
  <w:style w:type="paragraph" w:customStyle="1" w:styleId="1420">
    <w:name w:val="标题2新"/>
    <w:basedOn w:val="4"/>
    <w:link w:val="1419"/>
    <w:qFormat/>
    <w:uiPriority w:val="0"/>
    <w:pPr>
      <w:numPr>
        <w:ilvl w:val="0"/>
        <w:numId w:val="0"/>
      </w:numPr>
      <w:adjustRightInd w:val="0"/>
      <w:spacing w:line="560" w:lineRule="exact"/>
      <w:jc w:val="center"/>
    </w:pPr>
    <w:rPr>
      <w:rFonts w:ascii="楷体" w:hAnsi="楷体" w:eastAsia="楷体"/>
      <w:kern w:val="0"/>
      <w:sz w:val="32"/>
      <w:szCs w:val="24"/>
      <w:lang w:val="en-US"/>
    </w:rPr>
  </w:style>
  <w:style w:type="character" w:customStyle="1" w:styleId="1421">
    <w:name w:val="sy7t"/>
    <w:qFormat/>
    <w:uiPriority w:val="0"/>
  </w:style>
  <w:style w:type="character" w:customStyle="1" w:styleId="1422">
    <w:name w:val="样式 样式 样式 宋体 小四 行距: 多倍行距 1.4 字行2 + 黑色 + Times New Roman1 Char"/>
    <w:link w:val="1423"/>
    <w:qFormat/>
    <w:uiPriority w:val="0"/>
    <w:rPr>
      <w:color w:val="000000"/>
      <w:kern w:val="2"/>
      <w:sz w:val="24"/>
      <w:szCs w:val="24"/>
    </w:rPr>
  </w:style>
  <w:style w:type="paragraph" w:customStyle="1" w:styleId="1423">
    <w:name w:val="样式 样式 样式 宋体 小四 行距: 多倍行距 1.4 字行2 + 黑色 + Times New Roman1"/>
    <w:basedOn w:val="1"/>
    <w:link w:val="1422"/>
    <w:qFormat/>
    <w:uiPriority w:val="0"/>
    <w:pPr>
      <w:spacing w:line="360" w:lineRule="auto"/>
      <w:ind w:firstLine="200" w:firstLineChars="200"/>
    </w:pPr>
    <w:rPr>
      <w:color w:val="000000"/>
      <w:sz w:val="24"/>
    </w:rPr>
  </w:style>
  <w:style w:type="character" w:customStyle="1" w:styleId="1424">
    <w:name w:val="特点标题 Char Char"/>
    <w:qFormat/>
    <w:uiPriority w:val="0"/>
    <w:rPr>
      <w:rFonts w:ascii="仿宋_GB2312" w:hAnsi="Courier New" w:eastAsia="仿宋_GB2312"/>
      <w:sz w:val="28"/>
      <w:lang w:val="en-US" w:eastAsia="zh-CN" w:bidi="ar-SA"/>
    </w:rPr>
  </w:style>
  <w:style w:type="character" w:customStyle="1" w:styleId="1425">
    <w:name w:val="Char Char44"/>
    <w:qFormat/>
    <w:uiPriority w:val="0"/>
    <w:rPr>
      <w:rFonts w:ascii="Arial" w:hAnsi="Arial" w:eastAsia="仿宋_GB2312"/>
      <w:sz w:val="24"/>
      <w:lang w:val="en-US" w:eastAsia="zh-CN" w:bidi="ar-SA"/>
    </w:rPr>
  </w:style>
  <w:style w:type="character" w:customStyle="1" w:styleId="1426">
    <w:name w:val="电子邮件签名 Char1"/>
    <w:qFormat/>
    <w:uiPriority w:val="0"/>
    <w:rPr>
      <w:kern w:val="2"/>
      <w:sz w:val="21"/>
      <w:szCs w:val="22"/>
    </w:rPr>
  </w:style>
  <w:style w:type="character" w:customStyle="1" w:styleId="1427">
    <w:name w:val="f915"/>
    <w:qFormat/>
    <w:uiPriority w:val="0"/>
  </w:style>
  <w:style w:type="character" w:customStyle="1" w:styleId="1428">
    <w:name w:val="Char Char471"/>
    <w:semiHidden/>
    <w:qFormat/>
    <w:uiPriority w:val="0"/>
    <w:rPr>
      <w:rFonts w:ascii="宋体" w:hAnsi="宋体" w:eastAsia="宋体"/>
      <w:kern w:val="2"/>
      <w:sz w:val="24"/>
      <w:lang w:val="en-US" w:eastAsia="zh-CN" w:bidi="ar-SA"/>
    </w:rPr>
  </w:style>
  <w:style w:type="character" w:customStyle="1" w:styleId="1429">
    <w:name w:val="keyword1"/>
    <w:qFormat/>
    <w:uiPriority w:val="0"/>
    <w:rPr>
      <w:color w:val="FF0000"/>
    </w:rPr>
  </w:style>
  <w:style w:type="character" w:customStyle="1" w:styleId="1430">
    <w:name w:val="attach-title1"/>
    <w:qFormat/>
    <w:uiPriority w:val="0"/>
    <w:rPr>
      <w:b/>
      <w:color w:val="008080"/>
      <w:sz w:val="27"/>
    </w:rPr>
  </w:style>
  <w:style w:type="character" w:customStyle="1" w:styleId="1431">
    <w:name w:val="td21"/>
    <w:qFormat/>
    <w:uiPriority w:val="0"/>
    <w:rPr>
      <w:sz w:val="21"/>
      <w:szCs w:val="21"/>
      <w:u w:val="none"/>
    </w:rPr>
  </w:style>
  <w:style w:type="character" w:customStyle="1" w:styleId="1432">
    <w:name w:val="Footer-Even Char1"/>
    <w:semiHidden/>
    <w:qFormat/>
    <w:uiPriority w:val="0"/>
    <w:rPr>
      <w:rFonts w:ascii="宋体" w:hAnsi="宋体" w:eastAsia="宋体"/>
      <w:kern w:val="2"/>
      <w:sz w:val="18"/>
      <w:szCs w:val="18"/>
      <w:lang w:val="en-US" w:eastAsia="zh-CN" w:bidi="ar-SA"/>
    </w:rPr>
  </w:style>
  <w:style w:type="character" w:customStyle="1" w:styleId="1433">
    <w:name w:val="题注1 Char Char"/>
    <w:semiHidden/>
    <w:qFormat/>
    <w:uiPriority w:val="0"/>
    <w:rPr>
      <w:rFonts w:ascii="Times New Roman" w:hAnsi="Times New Roman" w:eastAsia="宋体" w:cs="Times New Roman"/>
      <w:sz w:val="24"/>
      <w:szCs w:val="24"/>
    </w:rPr>
  </w:style>
  <w:style w:type="character" w:customStyle="1" w:styleId="1434">
    <w:name w:val="报告表格 Char"/>
    <w:link w:val="553"/>
    <w:qFormat/>
    <w:uiPriority w:val="0"/>
    <w:rPr>
      <w:rFonts w:ascii="宋体" w:hAnsi="宋体" w:cs="宋体"/>
      <w:sz w:val="24"/>
      <w:szCs w:val="24"/>
    </w:rPr>
  </w:style>
  <w:style w:type="character" w:customStyle="1" w:styleId="1435">
    <w:name w:val="标题 21"/>
    <w:qFormat/>
    <w:uiPriority w:val="0"/>
    <w:rPr>
      <w:rFonts w:ascii="黑体" w:hAnsi="Arial" w:eastAsia="黑体"/>
      <w:kern w:val="2"/>
      <w:sz w:val="36"/>
      <w:szCs w:val="32"/>
      <w:lang w:val="en-US" w:eastAsia="zh-CN" w:bidi="ar-SA"/>
    </w:rPr>
  </w:style>
  <w:style w:type="character" w:customStyle="1" w:styleId="1436">
    <w:name w:val="宋体四号 Char"/>
    <w:link w:val="1437"/>
    <w:qFormat/>
    <w:uiPriority w:val="0"/>
    <w:rPr>
      <w:sz w:val="28"/>
    </w:rPr>
  </w:style>
  <w:style w:type="paragraph" w:customStyle="1" w:styleId="1437">
    <w:name w:val="宋体四号"/>
    <w:basedOn w:val="1"/>
    <w:link w:val="1436"/>
    <w:qFormat/>
    <w:uiPriority w:val="0"/>
    <w:pPr>
      <w:spacing w:line="360" w:lineRule="auto"/>
      <w:ind w:firstLine="200" w:firstLineChars="200"/>
    </w:pPr>
    <w:rPr>
      <w:kern w:val="0"/>
      <w:sz w:val="28"/>
      <w:szCs w:val="20"/>
    </w:rPr>
  </w:style>
  <w:style w:type="character" w:customStyle="1" w:styleId="1438">
    <w:name w:val="日期 Char Char Char Char Char1"/>
    <w:semiHidden/>
    <w:qFormat/>
    <w:uiPriority w:val="0"/>
    <w:rPr>
      <w:rFonts w:ascii="宋体" w:eastAsia="宋体"/>
      <w:kern w:val="2"/>
      <w:sz w:val="24"/>
      <w:lang w:val="en-US" w:eastAsia="zh-CN" w:bidi="ar-SA"/>
    </w:rPr>
  </w:style>
  <w:style w:type="character" w:customStyle="1" w:styleId="1439">
    <w:name w:val="暂定图表名 Char Char Char"/>
    <w:link w:val="1440"/>
    <w:qFormat/>
    <w:uiPriority w:val="0"/>
    <w:rPr>
      <w:rFonts w:eastAsia="楷体_GB2312"/>
      <w:b/>
      <w:color w:val="008000"/>
      <w:kern w:val="2"/>
      <w:sz w:val="24"/>
      <w:szCs w:val="28"/>
    </w:rPr>
  </w:style>
  <w:style w:type="paragraph" w:customStyle="1" w:styleId="1440">
    <w:name w:val="暂定图表名 Char Char"/>
    <w:basedOn w:val="1"/>
    <w:link w:val="1439"/>
    <w:qFormat/>
    <w:uiPriority w:val="0"/>
    <w:pPr>
      <w:spacing w:line="360" w:lineRule="auto"/>
      <w:ind w:firstLine="560" w:firstLineChars="200"/>
    </w:pPr>
    <w:rPr>
      <w:rFonts w:eastAsia="楷体_GB2312"/>
      <w:b/>
      <w:color w:val="008000"/>
      <w:sz w:val="24"/>
      <w:szCs w:val="28"/>
    </w:rPr>
  </w:style>
  <w:style w:type="character" w:customStyle="1" w:styleId="1441">
    <w:name w:val="样式 标题 4 + 图案: 清除 (白色)1 Char"/>
    <w:link w:val="1442"/>
    <w:qFormat/>
    <w:uiPriority w:val="0"/>
    <w:rPr>
      <w:rFonts w:ascii="Arial Narrow" w:hAnsi="Arial Narrow" w:eastAsia="仿宋_GB2312"/>
      <w:b/>
      <w:sz w:val="24"/>
    </w:rPr>
  </w:style>
  <w:style w:type="paragraph" w:customStyle="1" w:styleId="1442">
    <w:name w:val="样式 标题 4 + 图案: 清除 (白色)1"/>
    <w:basedOn w:val="6"/>
    <w:link w:val="1441"/>
    <w:qFormat/>
    <w:uiPriority w:val="0"/>
    <w:pPr>
      <w:numPr>
        <w:ilvl w:val="0"/>
        <w:numId w:val="0"/>
      </w:numPr>
      <w:tabs>
        <w:tab w:val="left" w:pos="980"/>
        <w:tab w:val="left" w:pos="1704"/>
      </w:tabs>
      <w:adjustRightInd w:val="0"/>
      <w:snapToGrid w:val="0"/>
      <w:spacing w:before="0" w:after="0" w:line="300" w:lineRule="auto"/>
      <w:ind w:left="1704" w:hanging="864"/>
    </w:pPr>
    <w:rPr>
      <w:rFonts w:ascii="Arial Narrow" w:hAnsi="Arial Narrow" w:eastAsia="仿宋_GB2312"/>
      <w:kern w:val="0"/>
      <w:sz w:val="24"/>
      <w:shd w:val="clear" w:color="auto" w:fill="FFFFFF"/>
      <w:lang w:val="en-US"/>
    </w:rPr>
  </w:style>
  <w:style w:type="character" w:customStyle="1" w:styleId="1443">
    <w:name w:val="H6 Char1"/>
    <w:qFormat/>
    <w:uiPriority w:val="0"/>
    <w:rPr>
      <w:rFonts w:ascii="Arial" w:hAnsi="Arial" w:eastAsia="黑体"/>
      <w:b/>
      <w:sz w:val="24"/>
      <w:lang w:val="en-US" w:eastAsia="zh-CN" w:bidi="ar-SA"/>
    </w:rPr>
  </w:style>
  <w:style w:type="character" w:customStyle="1" w:styleId="1444">
    <w:name w:val="样式 (西文) 宋体 小四"/>
    <w:qFormat/>
    <w:uiPriority w:val="0"/>
    <w:rPr>
      <w:rFonts w:ascii="宋体" w:hAnsi="宋体" w:eastAsia="宋体"/>
      <w:sz w:val="24"/>
      <w:szCs w:val="24"/>
    </w:rPr>
  </w:style>
  <w:style w:type="character" w:customStyle="1" w:styleId="1445">
    <w:name w:val="Char Char43"/>
    <w:qFormat/>
    <w:uiPriority w:val="0"/>
    <w:rPr>
      <w:rFonts w:ascii="仿宋_GB2312" w:eastAsia="仿宋_GB2312"/>
      <w:kern w:val="2"/>
      <w:sz w:val="18"/>
      <w:szCs w:val="18"/>
      <w:lang w:val="en-US" w:eastAsia="zh-CN" w:bidi="ar-SA"/>
    </w:rPr>
  </w:style>
  <w:style w:type="character" w:customStyle="1" w:styleId="1446">
    <w:name w:val="正文缩进4 Char"/>
    <w:link w:val="1447"/>
    <w:qFormat/>
    <w:uiPriority w:val="0"/>
    <w:rPr>
      <w:rFonts w:ascii="仿宋_GB2312" w:eastAsia="仿宋_GB2312"/>
      <w:kern w:val="2"/>
      <w:sz w:val="28"/>
      <w:szCs w:val="24"/>
    </w:rPr>
  </w:style>
  <w:style w:type="paragraph" w:customStyle="1" w:styleId="1447">
    <w:name w:val="正文缩进4"/>
    <w:basedOn w:val="1"/>
    <w:link w:val="1446"/>
    <w:qFormat/>
    <w:uiPriority w:val="0"/>
    <w:pPr>
      <w:spacing w:line="500" w:lineRule="exact"/>
      <w:ind w:firstLine="560" w:firstLineChars="200"/>
    </w:pPr>
    <w:rPr>
      <w:rFonts w:ascii="仿宋_GB2312" w:eastAsia="仿宋_GB2312"/>
      <w:sz w:val="28"/>
    </w:rPr>
  </w:style>
  <w:style w:type="character" w:customStyle="1" w:styleId="1448">
    <w:name w:val="题注 Char Char2"/>
    <w:qFormat/>
    <w:uiPriority w:val="0"/>
    <w:rPr>
      <w:rFonts w:ascii="Arial" w:hAnsi="Arial" w:eastAsia="黑体" w:cs="Arial"/>
      <w:kern w:val="2"/>
      <w:lang w:val="en-US" w:eastAsia="zh-CN" w:bidi="ar-SA"/>
    </w:rPr>
  </w:style>
  <w:style w:type="character" w:customStyle="1" w:styleId="1449">
    <w:name w:val="at_8"/>
    <w:qFormat/>
    <w:uiPriority w:val="0"/>
  </w:style>
  <w:style w:type="character" w:customStyle="1" w:styleId="1450">
    <w:name w:val="报告 Char Char Char Char"/>
    <w:link w:val="1451"/>
    <w:qFormat/>
    <w:uiPriority w:val="0"/>
    <w:rPr>
      <w:kern w:val="2"/>
      <w:sz w:val="24"/>
      <w:szCs w:val="24"/>
    </w:rPr>
  </w:style>
  <w:style w:type="paragraph" w:customStyle="1" w:styleId="1451">
    <w:name w:val="报告 Char Char Char"/>
    <w:basedOn w:val="1"/>
    <w:link w:val="1450"/>
    <w:qFormat/>
    <w:uiPriority w:val="0"/>
    <w:pPr>
      <w:adjustRightInd w:val="0"/>
      <w:spacing w:line="360" w:lineRule="auto"/>
      <w:ind w:firstLine="505"/>
      <w:textAlignment w:val="baseline"/>
    </w:pPr>
    <w:rPr>
      <w:sz w:val="24"/>
    </w:rPr>
  </w:style>
  <w:style w:type="character" w:customStyle="1" w:styleId="1452">
    <w:name w:val="题注 Char Char4"/>
    <w:qFormat/>
    <w:uiPriority w:val="0"/>
    <w:rPr>
      <w:rFonts w:ascii="Arial" w:hAnsi="Arial" w:eastAsia="黑体" w:cs="Arial"/>
      <w:kern w:val="2"/>
      <w:lang w:val="en-US" w:eastAsia="zh-CN" w:bidi="ar-SA"/>
    </w:rPr>
  </w:style>
  <w:style w:type="character" w:customStyle="1" w:styleId="1453">
    <w:name w:val="Char Char371"/>
    <w:semiHidden/>
    <w:qFormat/>
    <w:uiPriority w:val="0"/>
    <w:rPr>
      <w:rFonts w:ascii="Times New Roman" w:hAnsi="Times New Roman" w:eastAsia="宋体" w:cs="Times New Roman"/>
      <w:szCs w:val="20"/>
    </w:rPr>
  </w:style>
  <w:style w:type="character" w:customStyle="1" w:styleId="1454">
    <w:name w:val="article1"/>
    <w:qFormat/>
    <w:uiPriority w:val="0"/>
    <w:rPr>
      <w:color w:val="000000"/>
      <w:spacing w:val="600"/>
      <w:sz w:val="18"/>
      <w:szCs w:val="18"/>
    </w:rPr>
  </w:style>
  <w:style w:type="character" w:customStyle="1" w:styleId="1455">
    <w:name w:val="Char Char64"/>
    <w:link w:val="1456"/>
    <w:qFormat/>
    <w:uiPriority w:val="0"/>
    <w:rPr>
      <w:b/>
      <w:bCs/>
      <w:kern w:val="44"/>
      <w:sz w:val="44"/>
      <w:szCs w:val="44"/>
    </w:rPr>
  </w:style>
  <w:style w:type="paragraph" w:customStyle="1" w:styleId="1456">
    <w:name w:val="Char61"/>
    <w:basedOn w:val="1"/>
    <w:link w:val="1455"/>
    <w:qFormat/>
    <w:uiPriority w:val="0"/>
    <w:pPr>
      <w:autoSpaceDE w:val="0"/>
      <w:autoSpaceDN w:val="0"/>
      <w:adjustRightInd w:val="0"/>
      <w:snapToGrid w:val="0"/>
      <w:spacing w:before="50" w:after="50" w:line="360" w:lineRule="auto"/>
      <w:ind w:firstLine="560" w:firstLineChars="200"/>
    </w:pPr>
    <w:rPr>
      <w:b/>
      <w:bCs/>
      <w:kern w:val="44"/>
      <w:sz w:val="44"/>
      <w:szCs w:val="44"/>
    </w:rPr>
  </w:style>
  <w:style w:type="character" w:customStyle="1" w:styleId="1457">
    <w:name w:val="s9n1k0c"/>
    <w:qFormat/>
    <w:uiPriority w:val="0"/>
  </w:style>
  <w:style w:type="character" w:customStyle="1" w:styleId="1458">
    <w:name w:val="Char Char211"/>
    <w:qFormat/>
    <w:uiPriority w:val="0"/>
    <w:rPr>
      <w:rFonts w:hint="default" w:ascii="Arial" w:hAnsi="Arial" w:eastAsia="黑体" w:cs="Arial"/>
      <w:kern w:val="2"/>
      <w:sz w:val="21"/>
      <w:szCs w:val="21"/>
      <w:lang w:val="en-US" w:eastAsia="zh-CN" w:bidi="ar-SA"/>
    </w:rPr>
  </w:style>
  <w:style w:type="character" w:customStyle="1" w:styleId="1459">
    <w:name w:val="b-121"/>
    <w:qFormat/>
    <w:uiPriority w:val="0"/>
    <w:rPr>
      <w:rFonts w:hint="default" w:ascii="黑体" w:hAnsi="黑体"/>
      <w:sz w:val="18"/>
      <w:szCs w:val="18"/>
      <w:u w:val="none"/>
    </w:rPr>
  </w:style>
  <w:style w:type="character" w:customStyle="1" w:styleId="1460">
    <w:name w:val="ourfont2"/>
    <w:qFormat/>
    <w:uiPriority w:val="0"/>
  </w:style>
  <w:style w:type="character" w:customStyle="1" w:styleId="1461">
    <w:name w:val="表号 Char Char"/>
    <w:semiHidden/>
    <w:qFormat/>
    <w:uiPriority w:val="0"/>
    <w:rPr>
      <w:rFonts w:eastAsia="宋体"/>
      <w:kern w:val="32"/>
      <w:sz w:val="24"/>
      <w:lang w:val="en-US" w:eastAsia="zh-CN" w:bidi="ar-SA"/>
    </w:rPr>
  </w:style>
  <w:style w:type="character" w:customStyle="1" w:styleId="1462">
    <w:name w:val="节标题2 Char"/>
    <w:link w:val="1463"/>
    <w:qFormat/>
    <w:uiPriority w:val="0"/>
    <w:rPr>
      <w:sz w:val="24"/>
      <w:szCs w:val="28"/>
    </w:rPr>
  </w:style>
  <w:style w:type="paragraph" w:customStyle="1" w:styleId="1463">
    <w:name w:val="节标题2"/>
    <w:basedOn w:val="1"/>
    <w:link w:val="1462"/>
    <w:qFormat/>
    <w:uiPriority w:val="0"/>
    <w:pPr>
      <w:autoSpaceDE w:val="0"/>
      <w:autoSpaceDN w:val="0"/>
      <w:adjustRightInd w:val="0"/>
      <w:spacing w:line="360" w:lineRule="auto"/>
      <w:jc w:val="left"/>
    </w:pPr>
    <w:rPr>
      <w:kern w:val="0"/>
      <w:sz w:val="24"/>
      <w:szCs w:val="28"/>
    </w:rPr>
  </w:style>
  <w:style w:type="character" w:customStyle="1" w:styleId="1464">
    <w:name w:val="a3 Char"/>
    <w:link w:val="1465"/>
    <w:qFormat/>
    <w:uiPriority w:val="0"/>
    <w:rPr>
      <w:rFonts w:ascii="宋体" w:hAnsi="宋体"/>
      <w:color w:val="000000"/>
      <w:sz w:val="24"/>
      <w:szCs w:val="24"/>
    </w:rPr>
  </w:style>
  <w:style w:type="paragraph" w:customStyle="1" w:styleId="1465">
    <w:name w:val="a3"/>
    <w:basedOn w:val="1"/>
    <w:link w:val="1464"/>
    <w:qFormat/>
    <w:uiPriority w:val="0"/>
    <w:pPr>
      <w:widowControl/>
      <w:spacing w:before="100" w:beforeAutospacing="1" w:after="100" w:afterAutospacing="1"/>
      <w:jc w:val="left"/>
    </w:pPr>
    <w:rPr>
      <w:rFonts w:ascii="宋体" w:hAnsi="宋体"/>
      <w:color w:val="000000"/>
      <w:kern w:val="0"/>
      <w:sz w:val="24"/>
    </w:rPr>
  </w:style>
  <w:style w:type="character" w:customStyle="1" w:styleId="1466">
    <w:name w:val="甲乙酮标题3 Char"/>
    <w:link w:val="1467"/>
    <w:semiHidden/>
    <w:qFormat/>
    <w:uiPriority w:val="0"/>
    <w:rPr>
      <w:bCs/>
      <w:kern w:val="2"/>
      <w:sz w:val="32"/>
      <w:szCs w:val="32"/>
    </w:rPr>
  </w:style>
  <w:style w:type="paragraph" w:customStyle="1" w:styleId="1467">
    <w:name w:val="甲乙酮标题3"/>
    <w:basedOn w:val="5"/>
    <w:link w:val="1466"/>
    <w:semiHidden/>
    <w:qFormat/>
    <w:uiPriority w:val="0"/>
    <w:pPr>
      <w:numPr>
        <w:ilvl w:val="0"/>
        <w:numId w:val="0"/>
      </w:numPr>
      <w:adjustRightInd w:val="0"/>
      <w:spacing w:before="100" w:after="100" w:line="360" w:lineRule="auto"/>
    </w:pPr>
    <w:rPr>
      <w:b w:val="0"/>
      <w:lang w:val="en-US"/>
    </w:rPr>
  </w:style>
  <w:style w:type="character" w:customStyle="1" w:styleId="1468">
    <w:name w:val="标准文本 首行缩进:2 字符 行距1倍 Char Char Char Char Char Char"/>
    <w:semiHidden/>
    <w:qFormat/>
    <w:uiPriority w:val="0"/>
    <w:rPr>
      <w:rFonts w:eastAsia="宋体" w:cs="宋体"/>
      <w:kern w:val="2"/>
      <w:sz w:val="24"/>
      <w:szCs w:val="24"/>
      <w:lang w:val="en-US" w:eastAsia="zh-CN" w:bidi="ar-SA"/>
    </w:rPr>
  </w:style>
  <w:style w:type="character" w:customStyle="1" w:styleId="1469">
    <w:name w:val="标题3 Char"/>
    <w:qFormat/>
    <w:uiPriority w:val="0"/>
    <w:rPr>
      <w:rFonts w:eastAsia="黑体"/>
      <w:kern w:val="2"/>
      <w:sz w:val="24"/>
      <w:szCs w:val="24"/>
      <w:lang w:val="en-US" w:eastAsia="zh-CN"/>
    </w:rPr>
  </w:style>
  <w:style w:type="character" w:customStyle="1" w:styleId="1470">
    <w:name w:val="段落-首行缩进:  0.74 厘米 行距: 1.5 倍行距 Char"/>
    <w:semiHidden/>
    <w:qFormat/>
    <w:uiPriority w:val="0"/>
    <w:rPr>
      <w:rFonts w:ascii="宋体" w:hAnsi="宋体" w:eastAsia="宋体" w:cs="宋体"/>
      <w:kern w:val="2"/>
      <w:sz w:val="28"/>
      <w:szCs w:val="28"/>
      <w:lang w:val="en-US" w:eastAsia="zh-CN" w:bidi="ar-SA"/>
    </w:rPr>
  </w:style>
  <w:style w:type="character" w:customStyle="1" w:styleId="1471">
    <w:name w:val="标题 2 Char1"/>
    <w:qFormat/>
    <w:uiPriority w:val="0"/>
    <w:rPr>
      <w:rFonts w:ascii="Arial" w:hAnsi="Arial" w:eastAsia="黑体"/>
      <w:b/>
      <w:bCs/>
      <w:kern w:val="2"/>
      <w:sz w:val="32"/>
      <w:szCs w:val="32"/>
      <w:lang w:val="en-US" w:eastAsia="zh-CN" w:bidi="ar-SA"/>
    </w:rPr>
  </w:style>
  <w:style w:type="character" w:customStyle="1" w:styleId="1472">
    <w:name w:val="3dgrame"/>
    <w:qFormat/>
    <w:uiPriority w:val="0"/>
  </w:style>
  <w:style w:type="character" w:customStyle="1" w:styleId="1473">
    <w:name w:val="sc2f7tt"/>
    <w:qFormat/>
    <w:uiPriority w:val="0"/>
  </w:style>
  <w:style w:type="character" w:customStyle="1" w:styleId="1474">
    <w:name w:val="标题二最终 Char Char"/>
    <w:link w:val="1475"/>
    <w:semiHidden/>
    <w:qFormat/>
    <w:uiPriority w:val="0"/>
    <w:rPr>
      <w:b/>
      <w:bCs/>
      <w:kern w:val="2"/>
      <w:sz w:val="30"/>
      <w:szCs w:val="30"/>
    </w:rPr>
  </w:style>
  <w:style w:type="paragraph" w:customStyle="1" w:styleId="1475">
    <w:name w:val="标题二最终"/>
    <w:basedOn w:val="1"/>
    <w:link w:val="1474"/>
    <w:semiHidden/>
    <w:qFormat/>
    <w:uiPriority w:val="0"/>
    <w:pPr>
      <w:keepNext/>
      <w:keepLines/>
      <w:adjustRightInd w:val="0"/>
      <w:snapToGrid w:val="0"/>
      <w:spacing w:before="156" w:beforeLines="50" w:line="360" w:lineRule="auto"/>
      <w:outlineLvl w:val="1"/>
    </w:pPr>
    <w:rPr>
      <w:b/>
      <w:bCs/>
      <w:sz w:val="30"/>
      <w:szCs w:val="30"/>
    </w:rPr>
  </w:style>
  <w:style w:type="character" w:customStyle="1" w:styleId="1476">
    <w:name w:val="表头文字 Char Char"/>
    <w:link w:val="1477"/>
    <w:qFormat/>
    <w:uiPriority w:val="0"/>
    <w:rPr>
      <w:rFonts w:eastAsia="华文中宋"/>
      <w:b/>
      <w:kern w:val="2"/>
      <w:sz w:val="24"/>
      <w:szCs w:val="24"/>
    </w:rPr>
  </w:style>
  <w:style w:type="paragraph" w:customStyle="1" w:styleId="1477">
    <w:name w:val="表头文字 Char"/>
    <w:basedOn w:val="1"/>
    <w:link w:val="1476"/>
    <w:qFormat/>
    <w:uiPriority w:val="0"/>
    <w:pPr>
      <w:spacing w:line="360" w:lineRule="auto"/>
      <w:jc w:val="center"/>
    </w:pPr>
    <w:rPr>
      <w:rFonts w:eastAsia="华文中宋"/>
      <w:b/>
      <w:sz w:val="24"/>
    </w:rPr>
  </w:style>
  <w:style w:type="character" w:customStyle="1" w:styleId="1478">
    <w:name w:val="Char Char110"/>
    <w:semiHidden/>
    <w:qFormat/>
    <w:uiPriority w:val="0"/>
    <w:rPr>
      <w:rFonts w:ascii="Arial" w:hAnsi="Arial" w:eastAsia="宋体" w:cs="Arial"/>
      <w:b/>
      <w:bCs/>
      <w:kern w:val="2"/>
      <w:sz w:val="32"/>
      <w:szCs w:val="32"/>
      <w:lang w:val="en-US" w:eastAsia="zh-CN" w:bidi="ar-SA"/>
    </w:rPr>
  </w:style>
  <w:style w:type="character" w:customStyle="1" w:styleId="1479">
    <w:name w:val="Char Char13"/>
    <w:qFormat/>
    <w:uiPriority w:val="0"/>
    <w:rPr>
      <w:rFonts w:eastAsia="宋体"/>
      <w:kern w:val="2"/>
      <w:sz w:val="21"/>
      <w:lang w:val="en-US" w:eastAsia="zh-CN" w:bidi="ar-SA"/>
    </w:rPr>
  </w:style>
  <w:style w:type="character" w:customStyle="1" w:styleId="1480">
    <w:name w:val="chang正文 Char"/>
    <w:link w:val="1481"/>
    <w:qFormat/>
    <w:uiPriority w:val="0"/>
    <w:rPr>
      <w:kern w:val="2"/>
      <w:sz w:val="24"/>
      <w:szCs w:val="24"/>
    </w:rPr>
  </w:style>
  <w:style w:type="paragraph" w:customStyle="1" w:styleId="1481">
    <w:name w:val="chang正文"/>
    <w:basedOn w:val="1"/>
    <w:link w:val="1480"/>
    <w:qFormat/>
    <w:uiPriority w:val="0"/>
    <w:pPr>
      <w:spacing w:line="360" w:lineRule="auto"/>
      <w:ind w:firstLine="200" w:firstLineChars="200"/>
    </w:pPr>
    <w:rPr>
      <w:sz w:val="24"/>
    </w:rPr>
  </w:style>
  <w:style w:type="character" w:customStyle="1" w:styleId="1482">
    <w:name w:val="7 Char"/>
    <w:link w:val="1483"/>
    <w:qFormat/>
    <w:uiPriority w:val="0"/>
    <w:rPr>
      <w:rFonts w:ascii="仿宋_GB2312" w:eastAsia="仿宋_GB2312"/>
      <w:kern w:val="2"/>
      <w:sz w:val="28"/>
      <w:szCs w:val="24"/>
    </w:rPr>
  </w:style>
  <w:style w:type="paragraph" w:customStyle="1" w:styleId="1483">
    <w:name w:val="7"/>
    <w:basedOn w:val="1"/>
    <w:next w:val="71"/>
    <w:link w:val="1482"/>
    <w:qFormat/>
    <w:uiPriority w:val="0"/>
    <w:pPr>
      <w:adjustRightInd w:val="0"/>
      <w:snapToGrid w:val="0"/>
      <w:spacing w:line="312" w:lineRule="auto"/>
      <w:ind w:firstLine="560" w:firstLineChars="200"/>
    </w:pPr>
    <w:rPr>
      <w:rFonts w:ascii="仿宋_GB2312" w:eastAsia="仿宋_GB2312"/>
      <w:sz w:val="28"/>
    </w:rPr>
  </w:style>
  <w:style w:type="character" w:customStyle="1" w:styleId="1484">
    <w:name w:val="lh15"/>
    <w:qFormat/>
    <w:uiPriority w:val="0"/>
  </w:style>
  <w:style w:type="character" w:customStyle="1" w:styleId="1485">
    <w:name w:val="v15"/>
    <w:qFormat/>
    <w:uiPriority w:val="0"/>
  </w:style>
  <w:style w:type="character" w:customStyle="1" w:styleId="1486">
    <w:name w:val="参加人员 Char"/>
    <w:link w:val="291"/>
    <w:qFormat/>
    <w:uiPriority w:val="0"/>
    <w:rPr>
      <w:sz w:val="24"/>
      <w:szCs w:val="24"/>
      <w:lang w:eastAsia="en-US" w:bidi="en-US"/>
    </w:rPr>
  </w:style>
  <w:style w:type="character" w:customStyle="1" w:styleId="1487">
    <w:name w:val="样式4 Char Char"/>
    <w:qFormat/>
    <w:uiPriority w:val="0"/>
    <w:rPr>
      <w:kern w:val="2"/>
      <w:sz w:val="24"/>
      <w:szCs w:val="24"/>
    </w:rPr>
  </w:style>
  <w:style w:type="character" w:customStyle="1" w:styleId="1488">
    <w:name w:val="black1"/>
    <w:qFormat/>
    <w:uiPriority w:val="0"/>
    <w:rPr>
      <w:color w:val="333333"/>
    </w:rPr>
  </w:style>
  <w:style w:type="character" w:customStyle="1" w:styleId="1489">
    <w:name w:val="正文文字缩进 Char Char"/>
    <w:qFormat/>
    <w:uiPriority w:val="0"/>
    <w:rPr>
      <w:rFonts w:ascii="Bookman Old Style" w:hAnsi="Bookman Old Style" w:eastAsia="宋体"/>
      <w:kern w:val="2"/>
      <w:sz w:val="24"/>
      <w:lang w:val="en-US" w:eastAsia="zh-CN" w:bidi="ar-SA"/>
    </w:rPr>
  </w:style>
  <w:style w:type="character" w:customStyle="1" w:styleId="1490">
    <w:name w:val="txt11"/>
    <w:qFormat/>
    <w:uiPriority w:val="0"/>
    <w:rPr>
      <w:sz w:val="18"/>
      <w:szCs w:val="18"/>
    </w:rPr>
  </w:style>
  <w:style w:type="character" w:customStyle="1" w:styleId="1491">
    <w:name w:val="正文（首行缩进两字） Char Char Char Char Char Char Char Char Char Char Char Char Char"/>
    <w:qFormat/>
    <w:uiPriority w:val="0"/>
    <w:rPr>
      <w:rFonts w:ascii="仿宋_GB2312" w:eastAsia="仿宋_GB2312"/>
      <w:color w:val="000000"/>
      <w:kern w:val="2"/>
      <w:sz w:val="28"/>
      <w:szCs w:val="24"/>
      <w:lang w:val="en-US" w:eastAsia="zh-CN" w:bidi="ar-SA"/>
    </w:rPr>
  </w:style>
  <w:style w:type="character" w:customStyle="1" w:styleId="1492">
    <w:name w:val="style221"/>
    <w:semiHidden/>
    <w:qFormat/>
    <w:uiPriority w:val="0"/>
    <w:rPr>
      <w:color w:val="006633"/>
    </w:rPr>
  </w:style>
  <w:style w:type="character" w:customStyle="1" w:styleId="1493">
    <w:name w:val="bz-content1"/>
    <w:semiHidden/>
    <w:qFormat/>
    <w:uiPriority w:val="0"/>
  </w:style>
  <w:style w:type="character" w:customStyle="1" w:styleId="1494">
    <w:name w:val="Char Char37"/>
    <w:qFormat/>
    <w:uiPriority w:val="0"/>
    <w:rPr>
      <w:rFonts w:ascii="Times New Roman" w:hAnsi="Times New Roman" w:eastAsia="宋体" w:cs="Times New Roman"/>
      <w:szCs w:val="20"/>
    </w:rPr>
  </w:style>
  <w:style w:type="character" w:customStyle="1" w:styleId="1495">
    <w:name w:val="首行缩进 Char Char"/>
    <w:qFormat/>
    <w:uiPriority w:val="0"/>
    <w:rPr>
      <w:rFonts w:ascii="Arial" w:hAnsi="Arial" w:eastAsia="仿宋_GB2312" w:cs="Arial"/>
      <w:kern w:val="2"/>
      <w:sz w:val="28"/>
      <w:szCs w:val="28"/>
      <w:lang w:val="en-US" w:eastAsia="zh-CN" w:bidi="ar-SA"/>
    </w:rPr>
  </w:style>
  <w:style w:type="character" w:customStyle="1" w:styleId="1496">
    <w:name w:val="正文文本 Char2 Char1"/>
    <w:semiHidden/>
    <w:qFormat/>
    <w:uiPriority w:val="0"/>
    <w:rPr>
      <w:rFonts w:eastAsia="宋体"/>
      <w:kern w:val="2"/>
      <w:sz w:val="21"/>
      <w:szCs w:val="24"/>
      <w:lang w:val="en-US" w:eastAsia="zh-CN" w:bidi="ar-SA"/>
    </w:rPr>
  </w:style>
  <w:style w:type="character" w:customStyle="1" w:styleId="1497">
    <w:name w:val="1级标题 Char"/>
    <w:link w:val="1498"/>
    <w:qFormat/>
    <w:uiPriority w:val="0"/>
    <w:rPr>
      <w:rFonts w:ascii="黑体"/>
      <w:b/>
      <w:bCs/>
      <w:kern w:val="44"/>
      <w:sz w:val="28"/>
      <w:szCs w:val="30"/>
    </w:rPr>
  </w:style>
  <w:style w:type="paragraph" w:customStyle="1" w:styleId="1498">
    <w:name w:val="1级标题"/>
    <w:basedOn w:val="3"/>
    <w:link w:val="1497"/>
    <w:qFormat/>
    <w:uiPriority w:val="0"/>
    <w:pPr>
      <w:keepNext w:val="0"/>
      <w:overflowPunct/>
      <w:adjustRightInd w:val="0"/>
      <w:spacing w:before="0" w:after="0" w:line="360" w:lineRule="auto"/>
      <w:ind w:left="0" w:firstLine="0"/>
    </w:pPr>
    <w:rPr>
      <w:rFonts w:ascii="黑体" w:eastAsia="宋体"/>
      <w:color w:val="auto"/>
      <w:sz w:val="28"/>
    </w:rPr>
  </w:style>
  <w:style w:type="character" w:customStyle="1" w:styleId="1499">
    <w:name w:val="环正文 Char3"/>
    <w:qFormat/>
    <w:uiPriority w:val="0"/>
    <w:rPr>
      <w:rFonts w:ascii="宋体" w:hAnsi="宋体" w:eastAsia="宋体" w:cs="Courier New"/>
      <w:sz w:val="24"/>
      <w:lang w:val="en-US" w:eastAsia="zh-CN" w:bidi="ar-SA"/>
    </w:rPr>
  </w:style>
  <w:style w:type="character" w:customStyle="1" w:styleId="1500">
    <w:name w:val="正文改 Char"/>
    <w:link w:val="1501"/>
    <w:qFormat/>
    <w:uiPriority w:val="0"/>
    <w:rPr>
      <w:sz w:val="28"/>
      <w:szCs w:val="24"/>
    </w:rPr>
  </w:style>
  <w:style w:type="paragraph" w:customStyle="1" w:styleId="1501">
    <w:name w:val="正文改"/>
    <w:basedOn w:val="1"/>
    <w:link w:val="1500"/>
    <w:qFormat/>
    <w:uiPriority w:val="0"/>
    <w:pPr>
      <w:spacing w:line="560" w:lineRule="exact"/>
      <w:ind w:firstLine="200" w:firstLineChars="200"/>
      <w:jc w:val="left"/>
    </w:pPr>
    <w:rPr>
      <w:kern w:val="0"/>
      <w:sz w:val="28"/>
    </w:rPr>
  </w:style>
  <w:style w:type="character" w:customStyle="1" w:styleId="1502">
    <w:name w:val="Char Char401"/>
    <w:semiHidden/>
    <w:qFormat/>
    <w:uiPriority w:val="0"/>
    <w:rPr>
      <w:rFonts w:ascii="宋体" w:hAnsi="宋体" w:eastAsia="宋体"/>
      <w:kern w:val="2"/>
      <w:sz w:val="24"/>
      <w:lang w:val="en-US" w:eastAsia="zh-CN" w:bidi="ar-SA"/>
    </w:rPr>
  </w:style>
  <w:style w:type="character" w:customStyle="1" w:styleId="1503">
    <w:name w:val="content1"/>
    <w:qFormat/>
    <w:uiPriority w:val="0"/>
    <w:rPr>
      <w:sz w:val="20"/>
      <w:szCs w:val="20"/>
    </w:rPr>
  </w:style>
  <w:style w:type="character" w:customStyle="1" w:styleId="1504">
    <w:name w:val="正文样式 Char"/>
    <w:qFormat/>
    <w:uiPriority w:val="0"/>
    <w:rPr>
      <w:rFonts w:eastAsia="宋体" w:cs="宋体"/>
      <w:kern w:val="2"/>
      <w:sz w:val="24"/>
      <w:szCs w:val="24"/>
      <w:lang w:val="en-US" w:eastAsia="zh-CN" w:bidi="ar-SA"/>
    </w:rPr>
  </w:style>
  <w:style w:type="character" w:customStyle="1" w:styleId="1505">
    <w:name w:val="texhtml"/>
    <w:semiHidden/>
    <w:qFormat/>
    <w:uiPriority w:val="0"/>
  </w:style>
  <w:style w:type="character" w:customStyle="1" w:styleId="1506">
    <w:name w:val="报告 Char Char"/>
    <w:qFormat/>
    <w:uiPriority w:val="0"/>
    <w:rPr>
      <w:rFonts w:ascii="Times New Roman" w:hAnsi="Times New Roman" w:eastAsia="宋体" w:cs="Times New Roman"/>
      <w:sz w:val="24"/>
      <w:szCs w:val="24"/>
    </w:rPr>
  </w:style>
  <w:style w:type="character" w:customStyle="1" w:styleId="1507">
    <w:name w:val="style24"/>
    <w:semiHidden/>
    <w:qFormat/>
    <w:uiPriority w:val="0"/>
  </w:style>
  <w:style w:type="character" w:customStyle="1" w:styleId="1508">
    <w:name w:val="正文，zhna Char Char1"/>
    <w:semiHidden/>
    <w:qFormat/>
    <w:uiPriority w:val="0"/>
    <w:rPr>
      <w:rFonts w:ascii="Calibri" w:hAnsi="Calibri" w:eastAsia="宋体"/>
      <w:lang w:bidi="ar-SA"/>
    </w:rPr>
  </w:style>
  <w:style w:type="character" w:customStyle="1" w:styleId="1509">
    <w:name w:val="正文5 Char"/>
    <w:link w:val="1510"/>
    <w:qFormat/>
    <w:uiPriority w:val="0"/>
    <w:rPr>
      <w:kern w:val="2"/>
      <w:sz w:val="21"/>
      <w:szCs w:val="24"/>
    </w:rPr>
  </w:style>
  <w:style w:type="paragraph" w:customStyle="1" w:styleId="1510">
    <w:name w:val="正文5"/>
    <w:basedOn w:val="1"/>
    <w:next w:val="1"/>
    <w:link w:val="1509"/>
    <w:qFormat/>
    <w:uiPriority w:val="0"/>
  </w:style>
  <w:style w:type="character" w:customStyle="1" w:styleId="1511">
    <w:name w:val="Char Char203"/>
    <w:semiHidden/>
    <w:qFormat/>
    <w:uiPriority w:val="0"/>
    <w:rPr>
      <w:rFonts w:eastAsia="宋体"/>
      <w:sz w:val="18"/>
      <w:szCs w:val="24"/>
      <w:lang w:val="en-US" w:eastAsia="zh-CN" w:bidi="ar-SA"/>
    </w:rPr>
  </w:style>
  <w:style w:type="character" w:customStyle="1" w:styleId="1512">
    <w:name w:val="ak"/>
    <w:semiHidden/>
    <w:qFormat/>
    <w:uiPriority w:val="0"/>
  </w:style>
  <w:style w:type="character" w:customStyle="1" w:styleId="1513">
    <w:name w:val="Char Char61"/>
    <w:qFormat/>
    <w:uiPriority w:val="0"/>
    <w:rPr>
      <w:rFonts w:ascii="Arial" w:hAnsi="Arial" w:eastAsia="宋体" w:cs="Arial"/>
      <w:b/>
      <w:bCs/>
      <w:sz w:val="28"/>
      <w:szCs w:val="28"/>
    </w:rPr>
  </w:style>
  <w:style w:type="character" w:customStyle="1" w:styleId="1514">
    <w:name w:val="样式 自动设置 Char"/>
    <w:link w:val="1515"/>
    <w:semiHidden/>
    <w:qFormat/>
    <w:uiPriority w:val="0"/>
    <w:rPr>
      <w:kern w:val="2"/>
      <w:sz w:val="24"/>
      <w:szCs w:val="24"/>
    </w:rPr>
  </w:style>
  <w:style w:type="paragraph" w:customStyle="1" w:styleId="1515">
    <w:name w:val="样式 自动设置"/>
    <w:basedOn w:val="1"/>
    <w:link w:val="1514"/>
    <w:semiHidden/>
    <w:qFormat/>
    <w:uiPriority w:val="0"/>
    <w:pPr>
      <w:autoSpaceDE w:val="0"/>
      <w:autoSpaceDN w:val="0"/>
      <w:adjustRightInd w:val="0"/>
      <w:snapToGrid w:val="0"/>
      <w:spacing w:before="50" w:beforeLines="50" w:line="288" w:lineRule="auto"/>
      <w:ind w:firstLine="200" w:firstLineChars="200"/>
    </w:pPr>
    <w:rPr>
      <w:sz w:val="24"/>
    </w:rPr>
  </w:style>
  <w:style w:type="character" w:customStyle="1" w:styleId="1516">
    <w:name w:val="样式 样式 宋体 小四 行距: 多倍行距 1.4 字行2 + 黑色 Char"/>
    <w:link w:val="1517"/>
    <w:qFormat/>
    <w:uiPriority w:val="0"/>
    <w:rPr>
      <w:rFonts w:ascii="宋体" w:hAnsi="宋体"/>
      <w:b/>
      <w:color w:val="000000"/>
      <w:spacing w:val="10"/>
      <w:kern w:val="2"/>
      <w:sz w:val="24"/>
      <w:szCs w:val="24"/>
    </w:rPr>
  </w:style>
  <w:style w:type="paragraph" w:customStyle="1" w:styleId="1517">
    <w:name w:val="样式 样式 宋体 小四 行距: 多倍行距 1.4 字行2 + 黑色"/>
    <w:basedOn w:val="1"/>
    <w:link w:val="1516"/>
    <w:qFormat/>
    <w:uiPriority w:val="0"/>
    <w:pPr>
      <w:spacing w:line="336" w:lineRule="auto"/>
      <w:ind w:firstLine="480" w:firstLineChars="200"/>
    </w:pPr>
    <w:rPr>
      <w:rFonts w:ascii="宋体" w:hAnsi="宋体"/>
      <w:b/>
      <w:color w:val="000000"/>
      <w:spacing w:val="10"/>
      <w:sz w:val="24"/>
    </w:rPr>
  </w:style>
  <w:style w:type="character" w:customStyle="1" w:styleId="1518">
    <w:name w:val="h8 Char3"/>
    <w:qFormat/>
    <w:uiPriority w:val="0"/>
    <w:rPr>
      <w:rFonts w:ascii="Arial" w:hAnsi="Arial" w:eastAsia="黑体"/>
      <w:sz w:val="24"/>
      <w:lang w:val="en-US" w:eastAsia="zh-CN" w:bidi="ar-SA"/>
    </w:rPr>
  </w:style>
  <w:style w:type="character" w:customStyle="1" w:styleId="1519">
    <w:name w:val="Char Char217"/>
    <w:qFormat/>
    <w:uiPriority w:val="0"/>
    <w:rPr>
      <w:rFonts w:ascii="@黑体" w:hAnsi="@黑体"/>
      <w:kern w:val="2"/>
      <w:sz w:val="18"/>
      <w:szCs w:val="18"/>
    </w:rPr>
  </w:style>
  <w:style w:type="character" w:customStyle="1" w:styleId="1520">
    <w:name w:val="节标题1 Char"/>
    <w:link w:val="1521"/>
    <w:qFormat/>
    <w:uiPriority w:val="0"/>
    <w:rPr>
      <w:rFonts w:ascii="宋体" w:hAnsi="宋体"/>
      <w:b/>
      <w:sz w:val="28"/>
      <w:szCs w:val="24"/>
    </w:rPr>
  </w:style>
  <w:style w:type="paragraph" w:customStyle="1" w:styleId="1521">
    <w:name w:val="节标题1"/>
    <w:basedOn w:val="1"/>
    <w:link w:val="1520"/>
    <w:qFormat/>
    <w:uiPriority w:val="0"/>
    <w:pPr>
      <w:adjustRightInd w:val="0"/>
      <w:snapToGrid w:val="0"/>
      <w:spacing w:beforeLines="50" w:line="360" w:lineRule="auto"/>
    </w:pPr>
    <w:rPr>
      <w:rFonts w:ascii="宋体" w:hAnsi="宋体"/>
      <w:b/>
      <w:kern w:val="0"/>
      <w:sz w:val="28"/>
    </w:rPr>
  </w:style>
  <w:style w:type="character" w:customStyle="1" w:styleId="1522">
    <w:name w:val="a_cont_c"/>
    <w:semiHidden/>
    <w:qFormat/>
    <w:uiPriority w:val="0"/>
  </w:style>
  <w:style w:type="character" w:customStyle="1" w:styleId="1523">
    <w:name w:val="Char Char173"/>
    <w:semiHidden/>
    <w:qFormat/>
    <w:uiPriority w:val="0"/>
    <w:rPr>
      <w:rFonts w:ascii="宋体" w:hAnsi="Times New Roman" w:eastAsia="宋体" w:cs="Times New Roman"/>
      <w:sz w:val="24"/>
      <w:szCs w:val="20"/>
    </w:rPr>
  </w:style>
  <w:style w:type="character" w:customStyle="1" w:styleId="1524">
    <w:name w:val="ny_black2"/>
    <w:qFormat/>
    <w:uiPriority w:val="0"/>
    <w:rPr>
      <w:color w:val="000000"/>
    </w:rPr>
  </w:style>
  <w:style w:type="character" w:customStyle="1" w:styleId="1525">
    <w:name w:val="t1"/>
    <w:semiHidden/>
    <w:qFormat/>
    <w:uiPriority w:val="0"/>
    <w:rPr>
      <w:rFonts w:hint="default" w:ascii="Arial" w:hAnsi="Arial" w:cs="Arial"/>
      <w:sz w:val="18"/>
      <w:szCs w:val="18"/>
    </w:rPr>
  </w:style>
  <w:style w:type="character" w:customStyle="1" w:styleId="1526">
    <w:name w:val="Char Char253"/>
    <w:semiHidden/>
    <w:qFormat/>
    <w:uiPriority w:val="0"/>
    <w:rPr>
      <w:sz w:val="18"/>
      <w:szCs w:val="18"/>
    </w:rPr>
  </w:style>
  <w:style w:type="character" w:customStyle="1" w:styleId="1527">
    <w:name w:val="甲乙酮正文 Char"/>
    <w:link w:val="1528"/>
    <w:qFormat/>
    <w:uiPriority w:val="0"/>
    <w:rPr>
      <w:color w:val="000000"/>
      <w:sz w:val="24"/>
      <w:szCs w:val="24"/>
    </w:rPr>
  </w:style>
  <w:style w:type="paragraph" w:customStyle="1" w:styleId="1528">
    <w:name w:val="甲乙酮正文"/>
    <w:basedOn w:val="88"/>
    <w:link w:val="1527"/>
    <w:qFormat/>
    <w:uiPriority w:val="0"/>
    <w:pPr>
      <w:widowControl w:val="0"/>
      <w:spacing w:after="0" w:line="360" w:lineRule="auto"/>
      <w:ind w:firstLine="200" w:firstLineChars="200"/>
    </w:pPr>
    <w:rPr>
      <w:rFonts w:ascii="Times New Roman" w:hAnsi="Times New Roman" w:cs="Times New Roman"/>
      <w:color w:val="000000"/>
      <w:sz w:val="24"/>
      <w:szCs w:val="24"/>
    </w:rPr>
  </w:style>
  <w:style w:type="character" w:customStyle="1" w:styleId="1529">
    <w:name w:val="bt21"/>
    <w:qFormat/>
    <w:uiPriority w:val="0"/>
    <w:rPr>
      <w:rFonts w:hint="eastAsia" w:ascii="黑体" w:eastAsia="黑体"/>
      <w:sz w:val="24"/>
      <w:szCs w:val="24"/>
    </w:rPr>
  </w:style>
  <w:style w:type="character" w:customStyle="1" w:styleId="1530">
    <w:name w:val="首行缩进 Char Char Char Char Char"/>
    <w:link w:val="1531"/>
    <w:qFormat/>
    <w:uiPriority w:val="0"/>
    <w:rPr>
      <w:rFonts w:ascii="Arial" w:hAnsi="Arial" w:eastAsia="仿宋_GB2312"/>
      <w:kern w:val="2"/>
      <w:sz w:val="28"/>
      <w:szCs w:val="28"/>
    </w:rPr>
  </w:style>
  <w:style w:type="paragraph" w:customStyle="1" w:styleId="1531">
    <w:name w:val="首行缩进 Char Char Char Char"/>
    <w:basedOn w:val="1"/>
    <w:link w:val="1530"/>
    <w:qFormat/>
    <w:uiPriority w:val="0"/>
    <w:pPr>
      <w:spacing w:line="360" w:lineRule="auto"/>
      <w:ind w:firstLine="560"/>
    </w:pPr>
    <w:rPr>
      <w:rFonts w:ascii="Arial" w:hAnsi="Arial" w:eastAsia="仿宋_GB2312"/>
      <w:sz w:val="28"/>
      <w:szCs w:val="28"/>
    </w:rPr>
  </w:style>
  <w:style w:type="character" w:customStyle="1" w:styleId="1532">
    <w:name w:val="hhcwt标题4 Char Char"/>
    <w:link w:val="1533"/>
    <w:qFormat/>
    <w:uiPriority w:val="0"/>
    <w:rPr>
      <w:b/>
      <w:bCs/>
      <w:kern w:val="2"/>
      <w:sz w:val="24"/>
      <w:szCs w:val="24"/>
    </w:rPr>
  </w:style>
  <w:style w:type="paragraph" w:customStyle="1" w:styleId="1533">
    <w:name w:val="hhcwt标题4"/>
    <w:basedOn w:val="6"/>
    <w:link w:val="1532"/>
    <w:qFormat/>
    <w:uiPriority w:val="0"/>
    <w:pPr>
      <w:numPr>
        <w:ilvl w:val="0"/>
        <w:numId w:val="0"/>
      </w:numPr>
      <w:adjustRightInd w:val="0"/>
      <w:spacing w:before="0" w:after="0" w:line="480" w:lineRule="exact"/>
    </w:pPr>
    <w:rPr>
      <w:rFonts w:ascii="Times New Roman" w:hAnsi="Times New Roman" w:eastAsia="宋体"/>
      <w:bCs/>
      <w:sz w:val="24"/>
      <w:szCs w:val="24"/>
      <w:lang w:val="en-US"/>
    </w:rPr>
  </w:style>
  <w:style w:type="character" w:customStyle="1" w:styleId="1534">
    <w:name w:val="biaoge"/>
    <w:qFormat/>
    <w:uiPriority w:val="0"/>
  </w:style>
  <w:style w:type="character" w:customStyle="1" w:styleId="1535">
    <w:name w:val="work4"/>
    <w:qFormat/>
    <w:uiPriority w:val="0"/>
    <w:rPr>
      <w:spacing w:val="360"/>
      <w:sz w:val="18"/>
      <w:szCs w:val="18"/>
      <w:u w:val="none"/>
    </w:rPr>
  </w:style>
  <w:style w:type="character" w:customStyle="1" w:styleId="1536">
    <w:name w:val="font61"/>
    <w:qFormat/>
    <w:uiPriority w:val="0"/>
    <w:rPr>
      <w:rFonts w:hint="eastAsia" w:ascii="宋体" w:hAnsi="宋体" w:eastAsia="宋体" w:cs="宋体"/>
      <w:color w:val="000000"/>
      <w:sz w:val="18"/>
      <w:szCs w:val="18"/>
      <w:u w:val="none"/>
    </w:rPr>
  </w:style>
  <w:style w:type="character" w:customStyle="1" w:styleId="1537">
    <w:name w:val="textlarge1"/>
    <w:qFormat/>
    <w:uiPriority w:val="0"/>
    <w:rPr>
      <w:sz w:val="18"/>
      <w:szCs w:val="18"/>
    </w:rPr>
  </w:style>
  <w:style w:type="character" w:customStyle="1" w:styleId="1538">
    <w:name w:val="项标题(1) Char1"/>
    <w:qFormat/>
    <w:uiPriority w:val="0"/>
    <w:rPr>
      <w:rFonts w:ascii="宋体" w:hAnsi="Arial Black" w:eastAsia="宋体" w:cs="Times New Roman"/>
      <w:b/>
      <w:bCs/>
      <w:kern w:val="0"/>
      <w:sz w:val="24"/>
      <w:szCs w:val="20"/>
    </w:rPr>
  </w:style>
  <w:style w:type="character" w:customStyle="1" w:styleId="1539">
    <w:name w:val="h9 Char3"/>
    <w:qFormat/>
    <w:uiPriority w:val="0"/>
    <w:rPr>
      <w:rFonts w:ascii="Arial" w:hAnsi="Arial" w:eastAsia="黑体"/>
      <w:kern w:val="2"/>
      <w:sz w:val="24"/>
      <w:lang w:val="en-US" w:eastAsia="zh-CN" w:bidi="ar-SA"/>
    </w:rPr>
  </w:style>
  <w:style w:type="character" w:customStyle="1" w:styleId="1540">
    <w:name w:val="黑体标题 Char Char"/>
    <w:qFormat/>
    <w:uiPriority w:val="0"/>
    <w:rPr>
      <w:rFonts w:ascii="宋体" w:hAnsi="宋体" w:eastAsia="宋体"/>
      <w:b/>
      <w:spacing w:val="10"/>
      <w:kern w:val="2"/>
      <w:sz w:val="28"/>
      <w:szCs w:val="18"/>
      <w:lang w:val="en-US" w:eastAsia="zh-CN" w:bidi="ar-SA"/>
    </w:rPr>
  </w:style>
  <w:style w:type="character" w:customStyle="1" w:styleId="1541">
    <w:name w:val="正文3 Char1"/>
    <w:link w:val="351"/>
    <w:qFormat/>
    <w:uiPriority w:val="0"/>
    <w:rPr>
      <w:sz w:val="24"/>
      <w:szCs w:val="24"/>
      <w:lang w:eastAsia="en-US" w:bidi="en-US"/>
    </w:rPr>
  </w:style>
  <w:style w:type="character" w:customStyle="1" w:styleId="1542">
    <w:name w:val="style451"/>
    <w:semiHidden/>
    <w:qFormat/>
    <w:uiPriority w:val="0"/>
    <w:rPr>
      <w:b/>
      <w:bCs/>
      <w:color w:val="000000"/>
      <w:sz w:val="19"/>
      <w:szCs w:val="19"/>
    </w:rPr>
  </w:style>
  <w:style w:type="character" w:customStyle="1" w:styleId="1543">
    <w:name w:val="count4"/>
    <w:semiHidden/>
    <w:qFormat/>
    <w:uiPriority w:val="0"/>
  </w:style>
  <w:style w:type="character" w:customStyle="1" w:styleId="1544">
    <w:name w:val="正文文字 3 Char Char"/>
    <w:qFormat/>
    <w:uiPriority w:val="0"/>
    <w:rPr>
      <w:rFonts w:ascii="Times New Roman" w:hAnsi="Times New Roman"/>
      <w:b/>
      <w:bCs/>
      <w:kern w:val="2"/>
      <w:sz w:val="21"/>
      <w:szCs w:val="24"/>
    </w:rPr>
  </w:style>
  <w:style w:type="character" w:customStyle="1" w:styleId="1545">
    <w:name w:val="ourfont31"/>
    <w:qFormat/>
    <w:uiPriority w:val="0"/>
    <w:rPr>
      <w:spacing w:val="20"/>
      <w:sz w:val="21"/>
      <w:szCs w:val="21"/>
    </w:rPr>
  </w:style>
  <w:style w:type="character" w:customStyle="1" w:styleId="1546">
    <w:name w:val="环标2 Char1"/>
    <w:link w:val="1547"/>
    <w:qFormat/>
    <w:uiPriority w:val="0"/>
    <w:rPr>
      <w:b/>
      <w:color w:val="000000"/>
      <w:spacing w:val="-20"/>
      <w:kern w:val="2"/>
      <w:sz w:val="24"/>
      <w:szCs w:val="28"/>
    </w:rPr>
  </w:style>
  <w:style w:type="paragraph" w:customStyle="1" w:styleId="1547">
    <w:name w:val="环标2"/>
    <w:basedOn w:val="4"/>
    <w:link w:val="1546"/>
    <w:qFormat/>
    <w:uiPriority w:val="0"/>
    <w:pPr>
      <w:numPr>
        <w:ilvl w:val="0"/>
        <w:numId w:val="0"/>
      </w:numPr>
      <w:adjustRightInd w:val="0"/>
      <w:spacing w:before="60" w:after="60" w:line="500" w:lineRule="exact"/>
      <w:textAlignment w:val="baseline"/>
    </w:pPr>
    <w:rPr>
      <w:rFonts w:ascii="Times New Roman" w:hAnsi="Times New Roman" w:eastAsia="宋体"/>
      <w:bCs w:val="0"/>
      <w:color w:val="000000"/>
      <w:spacing w:val="-20"/>
      <w:sz w:val="24"/>
      <w:szCs w:val="28"/>
      <w:lang w:val="en-US"/>
    </w:rPr>
  </w:style>
  <w:style w:type="character" w:customStyle="1" w:styleId="1548">
    <w:name w:val="infodetail1"/>
    <w:qFormat/>
    <w:uiPriority w:val="0"/>
    <w:rPr>
      <w:rFonts w:hint="default" w:ascii="ˎ̥" w:hAnsi="ˎ̥" w:eastAsia="黑体"/>
      <w:b/>
      <w:color w:val="000000"/>
      <w:spacing w:val="10"/>
      <w:kern w:val="44"/>
      <w:sz w:val="24"/>
      <w:u w:val="none"/>
      <w:lang w:val="en-US" w:eastAsia="zh-CN"/>
    </w:rPr>
  </w:style>
  <w:style w:type="character" w:customStyle="1" w:styleId="1549">
    <w:name w:val="Char Char Char Char Char Char Char1"/>
    <w:link w:val="1550"/>
    <w:qFormat/>
    <w:uiPriority w:val="0"/>
    <w:rPr>
      <w:rFonts w:ascii="宋体" w:hAnsi="宋体"/>
      <w:sz w:val="24"/>
      <w:szCs w:val="24"/>
    </w:rPr>
  </w:style>
  <w:style w:type="paragraph" w:customStyle="1" w:styleId="1550">
    <w:name w:val="Char Char Char Char Char Char1"/>
    <w:basedOn w:val="1"/>
    <w:link w:val="1549"/>
    <w:qFormat/>
    <w:uiPriority w:val="0"/>
    <w:rPr>
      <w:rFonts w:ascii="宋体" w:hAnsi="宋体"/>
      <w:kern w:val="0"/>
      <w:sz w:val="24"/>
    </w:rPr>
  </w:style>
  <w:style w:type="character" w:customStyle="1" w:styleId="1551">
    <w:name w:val="标题 1 Char Char Char"/>
    <w:qFormat/>
    <w:uiPriority w:val="0"/>
    <w:rPr>
      <w:rFonts w:ascii="黑体" w:eastAsia="黑体"/>
      <w:kern w:val="2"/>
      <w:sz w:val="30"/>
      <w:lang w:val="en-US" w:eastAsia="zh-CN" w:bidi="ar-SA"/>
    </w:rPr>
  </w:style>
  <w:style w:type="character" w:customStyle="1" w:styleId="1552">
    <w:name w:val="style321"/>
    <w:qFormat/>
    <w:uiPriority w:val="0"/>
    <w:rPr>
      <w:color w:val="636466"/>
      <w:sz w:val="18"/>
      <w:szCs w:val="18"/>
    </w:rPr>
  </w:style>
  <w:style w:type="character" w:customStyle="1" w:styleId="1553">
    <w:name w:val="正文1 Char"/>
    <w:qFormat/>
    <w:uiPriority w:val="0"/>
    <w:rPr>
      <w:rFonts w:eastAsia="楷体_GB2312"/>
      <w:kern w:val="2"/>
      <w:sz w:val="24"/>
      <w:szCs w:val="24"/>
      <w:lang w:val="en-US" w:eastAsia="zh-CN" w:bidi="ar-SA"/>
    </w:rPr>
  </w:style>
  <w:style w:type="character" w:customStyle="1" w:styleId="1554">
    <w:name w:val="样式3 Char"/>
    <w:link w:val="65"/>
    <w:qFormat/>
    <w:uiPriority w:val="0"/>
    <w:rPr>
      <w:b/>
      <w:bCs/>
      <w:sz w:val="24"/>
      <w:szCs w:val="26"/>
      <w:lang w:val="zh-CN" w:eastAsia="en-US" w:bidi="en-US"/>
    </w:rPr>
  </w:style>
  <w:style w:type="character" w:customStyle="1" w:styleId="1555">
    <w:name w:val="a4 Char"/>
    <w:link w:val="1556"/>
    <w:semiHidden/>
    <w:qFormat/>
    <w:uiPriority w:val="0"/>
    <w:rPr>
      <w:b/>
      <w:kern w:val="2"/>
      <w:sz w:val="24"/>
    </w:rPr>
  </w:style>
  <w:style w:type="paragraph" w:customStyle="1" w:styleId="1556">
    <w:name w:val="a4"/>
    <w:basedOn w:val="881"/>
    <w:link w:val="1555"/>
    <w:semiHidden/>
    <w:qFormat/>
    <w:uiPriority w:val="0"/>
    <w:pPr>
      <w:ind w:firstLine="0" w:firstLineChars="0"/>
      <w:outlineLvl w:val="3"/>
    </w:pPr>
    <w:rPr>
      <w:b/>
      <w:kern w:val="2"/>
    </w:rPr>
  </w:style>
  <w:style w:type="character" w:customStyle="1" w:styleId="1557">
    <w:name w:val="Char Char18"/>
    <w:qFormat/>
    <w:uiPriority w:val="0"/>
    <w:rPr>
      <w:rFonts w:ascii="@黑体" w:hAnsi="@黑体"/>
      <w:kern w:val="2"/>
      <w:sz w:val="16"/>
      <w:szCs w:val="16"/>
    </w:rPr>
  </w:style>
  <w:style w:type="character" w:customStyle="1" w:styleId="1558">
    <w:name w:val="chen表头1 Char"/>
    <w:link w:val="1559"/>
    <w:qFormat/>
    <w:uiPriority w:val="0"/>
    <w:rPr>
      <w:rFonts w:eastAsia="楷体_GB2312"/>
      <w:b/>
      <w:kern w:val="2"/>
      <w:sz w:val="24"/>
      <w:szCs w:val="24"/>
    </w:rPr>
  </w:style>
  <w:style w:type="paragraph" w:customStyle="1" w:styleId="1559">
    <w:name w:val="chen表头1"/>
    <w:basedOn w:val="1"/>
    <w:link w:val="1558"/>
    <w:qFormat/>
    <w:uiPriority w:val="0"/>
    <w:pPr>
      <w:spacing w:after="120" w:line="500" w:lineRule="exact"/>
      <w:jc w:val="center"/>
    </w:pPr>
    <w:rPr>
      <w:rFonts w:eastAsia="楷体_GB2312"/>
      <w:b/>
      <w:sz w:val="24"/>
    </w:rPr>
  </w:style>
  <w:style w:type="character" w:customStyle="1" w:styleId="1560">
    <w:name w:val="nava61"/>
    <w:semiHidden/>
    <w:qFormat/>
    <w:uiPriority w:val="0"/>
    <w:rPr>
      <w:color w:val="000000"/>
      <w:sz w:val="21"/>
      <w:szCs w:val="21"/>
      <w:u w:val="none"/>
    </w:rPr>
  </w:style>
  <w:style w:type="character" w:customStyle="1" w:styleId="1561">
    <w:name w:val="Char Char84"/>
    <w:semiHidden/>
    <w:qFormat/>
    <w:uiPriority w:val="0"/>
    <w:rPr>
      <w:rFonts w:ascii="宋体" w:hAnsi="Courier New" w:eastAsia="宋体"/>
      <w:sz w:val="21"/>
      <w:lang w:val="en-US" w:eastAsia="zh-CN" w:bidi="ar-SA"/>
    </w:rPr>
  </w:style>
  <w:style w:type="character" w:customStyle="1" w:styleId="1562">
    <w:name w:val="高表单 Char Char"/>
    <w:qFormat/>
    <w:uiPriority w:val="0"/>
    <w:rPr>
      <w:rFonts w:ascii="Arial" w:hAnsi="Arial" w:eastAsia="宋体"/>
      <w:kern w:val="2"/>
      <w:sz w:val="21"/>
      <w:szCs w:val="21"/>
      <w:lang w:val="en-US" w:eastAsia="zh-CN" w:bidi="ar-SA"/>
    </w:rPr>
  </w:style>
  <w:style w:type="character" w:customStyle="1" w:styleId="1563">
    <w:name w:val="表头文字 Char Char Char Char"/>
    <w:link w:val="1564"/>
    <w:semiHidden/>
    <w:qFormat/>
    <w:uiPriority w:val="0"/>
    <w:rPr>
      <w:rFonts w:eastAsia="华文中宋"/>
      <w:b/>
      <w:kern w:val="2"/>
      <w:sz w:val="28"/>
      <w:szCs w:val="24"/>
    </w:rPr>
  </w:style>
  <w:style w:type="paragraph" w:customStyle="1" w:styleId="1564">
    <w:name w:val="表头文字 Char Char Char"/>
    <w:basedOn w:val="1"/>
    <w:link w:val="1563"/>
    <w:semiHidden/>
    <w:qFormat/>
    <w:uiPriority w:val="0"/>
    <w:pPr>
      <w:spacing w:line="360" w:lineRule="auto"/>
      <w:jc w:val="center"/>
    </w:pPr>
    <w:rPr>
      <w:rFonts w:eastAsia="华文中宋"/>
      <w:b/>
      <w:sz w:val="28"/>
    </w:rPr>
  </w:style>
  <w:style w:type="character" w:customStyle="1" w:styleId="1565">
    <w:name w:val="font_1"/>
    <w:semiHidden/>
    <w:qFormat/>
    <w:uiPriority w:val="0"/>
  </w:style>
  <w:style w:type="character" w:customStyle="1" w:styleId="1566">
    <w:name w:val="Char7"/>
    <w:semiHidden/>
    <w:qFormat/>
    <w:uiPriority w:val="0"/>
    <w:rPr>
      <w:rFonts w:eastAsia="仿宋_GB2312"/>
      <w:b/>
      <w:kern w:val="44"/>
      <w:sz w:val="32"/>
      <w:szCs w:val="44"/>
      <w:lang w:val="en-US" w:eastAsia="zh-CN" w:bidi="ar-SA"/>
    </w:rPr>
  </w:style>
  <w:style w:type="character" w:customStyle="1" w:styleId="1567">
    <w:name w:val="Char Char242"/>
    <w:semiHidden/>
    <w:qFormat/>
    <w:uiPriority w:val="0"/>
    <w:rPr>
      <w:sz w:val="18"/>
      <w:szCs w:val="18"/>
    </w:rPr>
  </w:style>
  <w:style w:type="character" w:customStyle="1" w:styleId="1568">
    <w:name w:val="默认段落字体 Char"/>
    <w:qFormat/>
    <w:uiPriority w:val="0"/>
    <w:rPr>
      <w:rFonts w:hint="eastAsia"/>
      <w:color w:val="000000"/>
      <w:sz w:val="21"/>
      <w:u w:color="000000"/>
      <w:lang w:val="en-US" w:eastAsia="zh-CN"/>
    </w:rPr>
  </w:style>
  <w:style w:type="character" w:customStyle="1" w:styleId="1569">
    <w:name w:val="m"/>
    <w:qFormat/>
    <w:uiPriority w:val="0"/>
  </w:style>
  <w:style w:type="character" w:customStyle="1" w:styleId="1570">
    <w:name w:val="fxzm"/>
    <w:semiHidden/>
    <w:qFormat/>
    <w:uiPriority w:val="0"/>
    <w:rPr>
      <w:rFonts w:ascii="宋体-18030" w:eastAsia="宋体-18030" w:cs="宋体-18030"/>
      <w:bCs/>
      <w:color w:val="auto"/>
      <w:sz w:val="18"/>
      <w:szCs w:val="18"/>
      <w:u w:val="none"/>
    </w:rPr>
  </w:style>
  <w:style w:type="character" w:customStyle="1" w:styleId="1571">
    <w:name w:val="样式82 Char"/>
    <w:link w:val="1572"/>
    <w:semiHidden/>
    <w:qFormat/>
    <w:uiPriority w:val="0"/>
    <w:rPr>
      <w:rFonts w:ascii="宋体" w:hAnsi="宋体"/>
      <w:sz w:val="28"/>
      <w:szCs w:val="28"/>
    </w:rPr>
  </w:style>
  <w:style w:type="paragraph" w:customStyle="1" w:styleId="1572">
    <w:name w:val="样式82"/>
    <w:basedOn w:val="1"/>
    <w:link w:val="1571"/>
    <w:semiHidden/>
    <w:qFormat/>
    <w:uiPriority w:val="0"/>
    <w:pPr>
      <w:spacing w:line="360" w:lineRule="auto"/>
      <w:ind w:firstLine="560" w:firstLineChars="200"/>
    </w:pPr>
    <w:rPr>
      <w:rFonts w:ascii="宋体" w:hAnsi="宋体"/>
      <w:kern w:val="0"/>
      <w:sz w:val="28"/>
      <w:szCs w:val="28"/>
    </w:rPr>
  </w:style>
  <w:style w:type="character" w:customStyle="1" w:styleId="1573">
    <w:name w:val="样式 样式 标题 1章标题章节H1NMP Heading 1Section HeadHeader1h11st leve... +... Char"/>
    <w:semiHidden/>
    <w:qFormat/>
    <w:uiPriority w:val="0"/>
    <w:rPr>
      <w:rFonts w:ascii="仿宋_GB2312" w:eastAsia="仿宋_GB2312" w:cs="宋体"/>
      <w:b/>
      <w:bCs/>
      <w:kern w:val="2"/>
      <w:sz w:val="30"/>
      <w:szCs w:val="30"/>
      <w:lang w:val="en-US" w:eastAsia="zh-CN" w:bidi="ar-SA"/>
    </w:rPr>
  </w:style>
  <w:style w:type="character" w:customStyle="1" w:styleId="1574">
    <w:name w:val="无间隔 字符"/>
    <w:link w:val="359"/>
    <w:qFormat/>
    <w:uiPriority w:val="1"/>
    <w:rPr>
      <w:sz w:val="24"/>
      <w:szCs w:val="32"/>
      <w:lang w:eastAsia="en-US" w:bidi="en-US"/>
    </w:rPr>
  </w:style>
  <w:style w:type="character" w:customStyle="1" w:styleId="1575">
    <w:name w:val="Char Char33"/>
    <w:qFormat/>
    <w:uiPriority w:val="0"/>
    <w:rPr>
      <w:rFonts w:ascii="Arial" w:hAnsi="Arial" w:eastAsia="仿宋_GB2312" w:cs="Times New Roman"/>
      <w:kern w:val="0"/>
      <w:sz w:val="18"/>
      <w:szCs w:val="18"/>
    </w:rPr>
  </w:style>
  <w:style w:type="character" w:customStyle="1" w:styleId="1576">
    <w:name w:val="样式 (西文) 宋体 (中文) 仿宋_GB2312 黑色"/>
    <w:qFormat/>
    <w:uiPriority w:val="0"/>
    <w:rPr>
      <w:rFonts w:ascii="Times New Roman" w:hAnsi="Times New Roman" w:eastAsia="仿宋_GB2312" w:cs="Courier New"/>
      <w:color w:val="000000"/>
      <w:kern w:val="2"/>
      <w:sz w:val="32"/>
      <w:szCs w:val="32"/>
      <w:lang w:val="en-US" w:eastAsia="zh-CN" w:bidi="ar-SA"/>
    </w:rPr>
  </w:style>
  <w:style w:type="character" w:customStyle="1" w:styleId="1577">
    <w:name w:val="引用 字符1"/>
    <w:qFormat/>
    <w:uiPriority w:val="99"/>
    <w:rPr>
      <w:rFonts w:ascii="Times New Roman" w:hAnsi="Times New Roman"/>
      <w:i/>
      <w:iCs/>
      <w:color w:val="404040"/>
      <w:kern w:val="2"/>
      <w:sz w:val="21"/>
    </w:rPr>
  </w:style>
  <w:style w:type="character" w:customStyle="1" w:styleId="1578">
    <w:name w:val="topword"/>
    <w:qFormat/>
    <w:uiPriority w:val="0"/>
  </w:style>
  <w:style w:type="character" w:customStyle="1" w:styleId="1579">
    <w:name w:val="left11"/>
    <w:semiHidden/>
    <w:qFormat/>
    <w:uiPriority w:val="0"/>
    <w:rPr>
      <w:rFonts w:hint="default" w:ascii="Arial" w:hAnsi="Arial"/>
      <w:color w:val="000000"/>
      <w:sz w:val="24"/>
    </w:rPr>
  </w:style>
  <w:style w:type="character" w:customStyle="1" w:styleId="1580">
    <w:name w:val="未确定 Char"/>
    <w:link w:val="1581"/>
    <w:semiHidden/>
    <w:qFormat/>
    <w:uiPriority w:val="0"/>
    <w:rPr>
      <w:color w:val="800080"/>
      <w:sz w:val="24"/>
      <w:szCs w:val="24"/>
    </w:rPr>
  </w:style>
  <w:style w:type="paragraph" w:customStyle="1" w:styleId="1581">
    <w:name w:val="未确定"/>
    <w:basedOn w:val="1"/>
    <w:link w:val="1580"/>
    <w:semiHidden/>
    <w:qFormat/>
    <w:uiPriority w:val="0"/>
    <w:pPr>
      <w:spacing w:beforeLines="50" w:line="400" w:lineRule="exact"/>
      <w:ind w:firstLine="480" w:firstLineChars="200"/>
    </w:pPr>
    <w:rPr>
      <w:color w:val="800080"/>
      <w:kern w:val="0"/>
      <w:sz w:val="24"/>
    </w:rPr>
  </w:style>
  <w:style w:type="character" w:customStyle="1" w:styleId="1582">
    <w:name w:val="页脚 Char2"/>
    <w:qFormat/>
    <w:uiPriority w:val="0"/>
    <w:rPr>
      <w:rFonts w:eastAsia="宋体"/>
      <w:kern w:val="2"/>
      <w:sz w:val="18"/>
      <w:lang w:val="en-US" w:eastAsia="zh-CN" w:bidi="ar-SA"/>
    </w:rPr>
  </w:style>
  <w:style w:type="character" w:customStyle="1" w:styleId="1583">
    <w:name w:val="Char Char194"/>
    <w:semiHidden/>
    <w:qFormat/>
    <w:uiPriority w:val="0"/>
    <w:rPr>
      <w:rFonts w:ascii="@黑体" w:hAnsi="@黑体"/>
      <w:kern w:val="2"/>
      <w:sz w:val="16"/>
      <w:szCs w:val="16"/>
    </w:rPr>
  </w:style>
  <w:style w:type="character" w:customStyle="1" w:styleId="1584">
    <w:name w:val="Char Char5"/>
    <w:qFormat/>
    <w:uiPriority w:val="0"/>
    <w:rPr>
      <w:rFonts w:ascii="Arial" w:hAnsi="Arial" w:eastAsia="黑体"/>
      <w:b/>
      <w:bCs/>
      <w:kern w:val="2"/>
      <w:sz w:val="32"/>
      <w:szCs w:val="32"/>
      <w:lang w:val="en-US" w:eastAsia="zh-CN" w:bidi="ar-SA"/>
    </w:rPr>
  </w:style>
  <w:style w:type="character" w:customStyle="1" w:styleId="1585">
    <w:name w:val="正文_01 Char"/>
    <w:link w:val="1586"/>
    <w:qFormat/>
    <w:uiPriority w:val="0"/>
    <w:rPr>
      <w:rFonts w:eastAsia="仿宋_GB2312"/>
      <w:sz w:val="28"/>
      <w:szCs w:val="28"/>
    </w:rPr>
  </w:style>
  <w:style w:type="paragraph" w:customStyle="1" w:styleId="1586">
    <w:name w:val="正文_01"/>
    <w:link w:val="1585"/>
    <w:qFormat/>
    <w:uiPriority w:val="0"/>
    <w:pPr>
      <w:widowControl w:val="0"/>
      <w:spacing w:line="360" w:lineRule="auto"/>
      <w:ind w:firstLine="560" w:firstLineChars="200"/>
      <w:jc w:val="both"/>
    </w:pPr>
    <w:rPr>
      <w:rFonts w:ascii="Times New Roman" w:hAnsi="Times New Roman" w:eastAsia="仿宋_GB2312" w:cs="Times New Roman"/>
      <w:sz w:val="28"/>
      <w:szCs w:val="28"/>
      <w:lang w:val="en-US" w:eastAsia="zh-CN" w:bidi="ar-SA"/>
    </w:rPr>
  </w:style>
  <w:style w:type="character" w:customStyle="1" w:styleId="1587">
    <w:name w:val="主标题 Char Char"/>
    <w:semiHidden/>
    <w:qFormat/>
    <w:uiPriority w:val="0"/>
    <w:rPr>
      <w:rFonts w:ascii="仿宋_GB2312" w:hAnsi="Arial" w:eastAsia="仿宋_GB2312" w:cs="Arial"/>
      <w:b/>
      <w:bCs/>
      <w:kern w:val="2"/>
      <w:sz w:val="32"/>
      <w:szCs w:val="32"/>
      <w:lang w:val="en-US" w:eastAsia="zh-CN" w:bidi="ar-SA"/>
    </w:rPr>
  </w:style>
  <w:style w:type="character" w:customStyle="1" w:styleId="1588">
    <w:name w:val="表格标题标题 Char Char Char"/>
    <w:link w:val="1589"/>
    <w:semiHidden/>
    <w:qFormat/>
    <w:uiPriority w:val="0"/>
    <w:rPr>
      <w:b/>
      <w:kern w:val="18"/>
      <w:sz w:val="24"/>
    </w:rPr>
  </w:style>
  <w:style w:type="paragraph" w:customStyle="1" w:styleId="1589">
    <w:name w:val="表格标题标题"/>
    <w:link w:val="1588"/>
    <w:semiHidden/>
    <w:qFormat/>
    <w:uiPriority w:val="0"/>
    <w:pPr>
      <w:jc w:val="center"/>
    </w:pPr>
    <w:rPr>
      <w:rFonts w:ascii="Times New Roman" w:hAnsi="Times New Roman" w:eastAsia="宋体" w:cs="Times New Roman"/>
      <w:b/>
      <w:kern w:val="18"/>
      <w:sz w:val="24"/>
      <w:lang w:val="en-US" w:eastAsia="zh-CN" w:bidi="ar-SA"/>
    </w:rPr>
  </w:style>
  <w:style w:type="character" w:customStyle="1" w:styleId="1590">
    <w:name w:val="正本文字 Char Char"/>
    <w:semiHidden/>
    <w:qFormat/>
    <w:uiPriority w:val="0"/>
    <w:rPr>
      <w:rFonts w:cs="Calibri"/>
      <w:kern w:val="18"/>
      <w:sz w:val="24"/>
    </w:rPr>
  </w:style>
  <w:style w:type="character" w:customStyle="1" w:styleId="1591">
    <w:name w:val="Char Char Char Char Char Char Char5"/>
    <w:link w:val="1592"/>
    <w:semiHidden/>
    <w:qFormat/>
    <w:uiPriority w:val="0"/>
    <w:rPr>
      <w:rFonts w:ascii="宋体" w:hAnsi="宋体"/>
      <w:sz w:val="24"/>
      <w:szCs w:val="24"/>
    </w:rPr>
  </w:style>
  <w:style w:type="paragraph" w:customStyle="1" w:styleId="1592">
    <w:name w:val="Char Char Char Char Char Char5"/>
    <w:basedOn w:val="1"/>
    <w:link w:val="1591"/>
    <w:semiHidden/>
    <w:qFormat/>
    <w:uiPriority w:val="0"/>
    <w:rPr>
      <w:rFonts w:ascii="宋体" w:hAnsi="宋体"/>
      <w:kern w:val="0"/>
      <w:sz w:val="24"/>
    </w:rPr>
  </w:style>
  <w:style w:type="character" w:customStyle="1" w:styleId="1593">
    <w:name w:val="标题 1 Char3"/>
    <w:qFormat/>
    <w:uiPriority w:val="0"/>
    <w:rPr>
      <w:rFonts w:ascii="宋体" w:hAnsi="Courier New" w:eastAsia="宋体"/>
      <w:b/>
      <w:kern w:val="44"/>
      <w:sz w:val="44"/>
      <w:lang w:val="en-US" w:eastAsia="zh-CN" w:bidi="ar-SA"/>
    </w:rPr>
  </w:style>
  <w:style w:type="character" w:customStyle="1" w:styleId="1594">
    <w:name w:val="sfrxxz"/>
    <w:qFormat/>
    <w:uiPriority w:val="0"/>
  </w:style>
  <w:style w:type="character" w:customStyle="1" w:styleId="1595">
    <w:name w:val="样式 报告书表格 + 字距调整二号 Char"/>
    <w:link w:val="1596"/>
    <w:qFormat/>
    <w:uiPriority w:val="0"/>
    <w:rPr>
      <w:rFonts w:eastAsia="仿宋_GB2312"/>
      <w:kern w:val="44"/>
      <w:sz w:val="24"/>
      <w:szCs w:val="21"/>
    </w:rPr>
  </w:style>
  <w:style w:type="paragraph" w:customStyle="1" w:styleId="1596">
    <w:name w:val="样式 报告书表格 + 字距调整二号"/>
    <w:basedOn w:val="200"/>
    <w:link w:val="1595"/>
    <w:qFormat/>
    <w:uiPriority w:val="0"/>
    <w:pPr>
      <w:widowControl w:val="0"/>
      <w:snapToGrid/>
      <w:spacing w:before="0" w:after="0" w:line="400" w:lineRule="exact"/>
      <w:ind w:firstLine="0" w:firstLineChars="0"/>
    </w:pPr>
    <w:rPr>
      <w:rFonts w:ascii="Times New Roman" w:hAnsi="Times New Roman" w:eastAsia="仿宋_GB2312"/>
      <w:kern w:val="44"/>
      <w:sz w:val="24"/>
      <w:szCs w:val="21"/>
      <w:lang w:val="en-US"/>
    </w:rPr>
  </w:style>
  <w:style w:type="character" w:customStyle="1" w:styleId="1597">
    <w:name w:val="Char4 Char Char Char Char1"/>
    <w:semiHidden/>
    <w:qFormat/>
    <w:uiPriority w:val="0"/>
    <w:rPr>
      <w:rFonts w:ascii="Times New Roman" w:hAnsi="Times New Roman" w:eastAsia="宋体" w:cs="Times New Roman"/>
      <w:sz w:val="24"/>
      <w:szCs w:val="24"/>
    </w:rPr>
  </w:style>
  <w:style w:type="character" w:customStyle="1" w:styleId="1598">
    <w:name w:val="正文(首行缩进) Char2"/>
    <w:qFormat/>
    <w:uiPriority w:val="0"/>
    <w:rPr>
      <w:rFonts w:eastAsia="黑体"/>
      <w:bCs/>
      <w:snapToGrid/>
      <w:color w:val="000000"/>
      <w:kern w:val="2"/>
      <w:sz w:val="24"/>
      <w:lang w:val="en-US" w:eastAsia="zh-CN" w:bidi="ar-SA"/>
    </w:rPr>
  </w:style>
  <w:style w:type="character" w:customStyle="1" w:styleId="1599">
    <w:name w:val="sdi8io"/>
    <w:qFormat/>
    <w:uiPriority w:val="0"/>
  </w:style>
  <w:style w:type="character" w:customStyle="1" w:styleId="1600">
    <w:name w:val="z-窗体底端 字符"/>
    <w:link w:val="1601"/>
    <w:qFormat/>
    <w:uiPriority w:val="0"/>
    <w:rPr>
      <w:rFonts w:ascii="Arial" w:hAnsi="Arial" w:eastAsia="Arial Unicode MS"/>
      <w:vanish/>
      <w:sz w:val="16"/>
      <w:szCs w:val="16"/>
    </w:rPr>
  </w:style>
  <w:style w:type="paragraph" w:customStyle="1" w:styleId="1601">
    <w:name w:val="z-窗体底端11"/>
    <w:basedOn w:val="1"/>
    <w:next w:val="1"/>
    <w:link w:val="1600"/>
    <w:qFormat/>
    <w:uiPriority w:val="0"/>
    <w:pPr>
      <w:widowControl/>
      <w:pBdr>
        <w:top w:val="single" w:color="auto" w:sz="6" w:space="1"/>
      </w:pBdr>
      <w:jc w:val="center"/>
    </w:pPr>
    <w:rPr>
      <w:rFonts w:ascii="Arial" w:hAnsi="Arial" w:eastAsia="Arial Unicode MS"/>
      <w:vanish/>
      <w:kern w:val="0"/>
      <w:sz w:val="16"/>
      <w:szCs w:val="16"/>
    </w:rPr>
  </w:style>
  <w:style w:type="character" w:customStyle="1" w:styleId="1602">
    <w:name w:val="样式 样式 方程式 + 首行缩进:  3 字符 + Char Char"/>
    <w:link w:val="1603"/>
    <w:semiHidden/>
    <w:qFormat/>
    <w:uiPriority w:val="0"/>
    <w:rPr>
      <w:rFonts w:ascii="宋体" w:hAnsi="宋体"/>
      <w:b/>
      <w:bCs/>
      <w:sz w:val="24"/>
    </w:rPr>
  </w:style>
  <w:style w:type="paragraph" w:customStyle="1" w:styleId="1603">
    <w:name w:val="样式 样式 方程式 + 首行缩进:  3 字符 +"/>
    <w:basedOn w:val="1"/>
    <w:link w:val="1602"/>
    <w:semiHidden/>
    <w:qFormat/>
    <w:uiPriority w:val="0"/>
    <w:pPr>
      <w:spacing w:line="360" w:lineRule="auto"/>
      <w:ind w:firstLine="723" w:firstLineChars="300"/>
      <w:outlineLvl w:val="4"/>
    </w:pPr>
    <w:rPr>
      <w:rFonts w:ascii="宋体" w:hAnsi="宋体"/>
      <w:b/>
      <w:bCs/>
      <w:kern w:val="0"/>
      <w:sz w:val="24"/>
      <w:szCs w:val="20"/>
    </w:rPr>
  </w:style>
  <w:style w:type="character" w:customStyle="1" w:styleId="1604">
    <w:name w:val="hei1"/>
    <w:semiHidden/>
    <w:qFormat/>
    <w:uiPriority w:val="0"/>
  </w:style>
  <w:style w:type="character" w:customStyle="1" w:styleId="1605">
    <w:name w:val="style191"/>
    <w:qFormat/>
    <w:uiPriority w:val="0"/>
    <w:rPr>
      <w:b/>
      <w:bCs/>
      <w:color w:val="FF0000"/>
    </w:rPr>
  </w:style>
  <w:style w:type="character" w:customStyle="1" w:styleId="1606">
    <w:name w:val="gb21"/>
    <w:qFormat/>
    <w:uiPriority w:val="0"/>
    <w:rPr>
      <w:rFonts w:hint="default"/>
      <w:spacing w:val="360"/>
      <w:sz w:val="18"/>
      <w:szCs w:val="18"/>
    </w:rPr>
  </w:style>
  <w:style w:type="character" w:customStyle="1" w:styleId="1607">
    <w:name w:val="font51"/>
    <w:qFormat/>
    <w:uiPriority w:val="0"/>
    <w:rPr>
      <w:rFonts w:hint="default" w:ascii="Times New Roman" w:hAnsi="Times New Roman" w:cs="Times New Roman"/>
      <w:color w:val="000000"/>
      <w:sz w:val="21"/>
      <w:szCs w:val="21"/>
      <w:u w:val="none"/>
    </w:rPr>
  </w:style>
  <w:style w:type="character" w:customStyle="1" w:styleId="1608">
    <w:name w:val="Char Char341"/>
    <w:semiHidden/>
    <w:qFormat/>
    <w:uiPriority w:val="0"/>
    <w:rPr>
      <w:rFonts w:ascii="宋体" w:hAnsi="Times New Roman" w:eastAsia="宋体" w:cs="Times New Roman"/>
      <w:sz w:val="24"/>
      <w:szCs w:val="20"/>
    </w:rPr>
  </w:style>
  <w:style w:type="character" w:customStyle="1" w:styleId="1609">
    <w:name w:val="表 头 Char"/>
    <w:link w:val="1610"/>
    <w:qFormat/>
    <w:uiPriority w:val="0"/>
    <w:rPr>
      <w:rFonts w:eastAsia="黑体"/>
      <w:spacing w:val="10"/>
      <w:sz w:val="24"/>
    </w:rPr>
  </w:style>
  <w:style w:type="paragraph" w:customStyle="1" w:styleId="1610">
    <w:name w:val="表 头"/>
    <w:basedOn w:val="1"/>
    <w:link w:val="1609"/>
    <w:qFormat/>
    <w:uiPriority w:val="0"/>
    <w:pPr>
      <w:adjustRightInd w:val="0"/>
      <w:spacing w:before="120" w:after="120" w:line="360" w:lineRule="atLeast"/>
      <w:jc w:val="center"/>
    </w:pPr>
    <w:rPr>
      <w:rFonts w:eastAsia="黑体"/>
      <w:spacing w:val="10"/>
      <w:kern w:val="0"/>
      <w:sz w:val="24"/>
      <w:szCs w:val="20"/>
    </w:rPr>
  </w:style>
  <w:style w:type="character" w:customStyle="1" w:styleId="1611">
    <w:name w:val="Char Char412"/>
    <w:qFormat/>
    <w:uiPriority w:val="0"/>
    <w:rPr>
      <w:rFonts w:hint="eastAsia" w:ascii="宋体" w:hAnsi="宋体" w:eastAsia="宋体"/>
      <w:b/>
      <w:bCs/>
      <w:kern w:val="2"/>
      <w:sz w:val="24"/>
      <w:szCs w:val="24"/>
      <w:lang w:val="en-US" w:eastAsia="zh-CN" w:bidi="ar-SA"/>
    </w:rPr>
  </w:style>
  <w:style w:type="character" w:customStyle="1" w:styleId="1612">
    <w:name w:val="txt21"/>
    <w:qFormat/>
    <w:uiPriority w:val="0"/>
    <w:rPr>
      <w:color w:val="000066"/>
      <w:sz w:val="18"/>
      <w:szCs w:val="18"/>
    </w:rPr>
  </w:style>
  <w:style w:type="character" w:customStyle="1" w:styleId="1613">
    <w:name w:val="title11"/>
    <w:qFormat/>
    <w:uiPriority w:val="0"/>
  </w:style>
  <w:style w:type="character" w:customStyle="1" w:styleId="1614">
    <w:name w:val="WJ正文 Char"/>
    <w:link w:val="1615"/>
    <w:semiHidden/>
    <w:qFormat/>
    <w:uiPriority w:val="0"/>
    <w:rPr>
      <w:rFonts w:ascii="宋体" w:hAnsi="宋体"/>
      <w:color w:val="000000"/>
      <w:sz w:val="24"/>
      <w:szCs w:val="24"/>
    </w:rPr>
  </w:style>
  <w:style w:type="paragraph" w:customStyle="1" w:styleId="1615">
    <w:name w:val="WJ正文"/>
    <w:basedOn w:val="1"/>
    <w:next w:val="1"/>
    <w:link w:val="1614"/>
    <w:semiHidden/>
    <w:qFormat/>
    <w:uiPriority w:val="0"/>
    <w:pPr>
      <w:tabs>
        <w:tab w:val="left" w:pos="600"/>
      </w:tabs>
      <w:spacing w:line="360" w:lineRule="auto"/>
      <w:ind w:firstLine="200" w:firstLineChars="200"/>
    </w:pPr>
    <w:rPr>
      <w:rFonts w:ascii="宋体" w:hAnsi="宋体"/>
      <w:color w:val="000000"/>
      <w:kern w:val="0"/>
      <w:sz w:val="24"/>
    </w:rPr>
  </w:style>
  <w:style w:type="character" w:customStyle="1" w:styleId="1616">
    <w:name w:val="gray s"/>
    <w:qFormat/>
    <w:uiPriority w:val="0"/>
  </w:style>
  <w:style w:type="character" w:customStyle="1" w:styleId="1617">
    <w:name w:val="line21"/>
    <w:semiHidden/>
    <w:qFormat/>
    <w:uiPriority w:val="0"/>
    <w:rPr>
      <w:color w:val="666666"/>
      <w:sz w:val="20"/>
      <w:szCs w:val="20"/>
      <w:u w:val="none"/>
    </w:rPr>
  </w:style>
  <w:style w:type="character" w:customStyle="1" w:styleId="1618">
    <w:name w:val="hb4 Char"/>
    <w:semiHidden/>
    <w:qFormat/>
    <w:uiPriority w:val="0"/>
    <w:rPr>
      <w:rFonts w:ascii="宋体" w:hAnsi="宋体" w:eastAsia="宋体"/>
      <w:sz w:val="24"/>
      <w:szCs w:val="24"/>
      <w:lang w:val="en-US" w:eastAsia="zh-CN" w:bidi="ar-SA"/>
    </w:rPr>
  </w:style>
  <w:style w:type="character" w:customStyle="1" w:styleId="1619">
    <w:name w:val="大港正文 Char"/>
    <w:link w:val="1620"/>
    <w:qFormat/>
    <w:uiPriority w:val="0"/>
    <w:rPr>
      <w:rFonts w:ascii="宋体" w:hAnsi="宋体"/>
      <w:sz w:val="24"/>
      <w:szCs w:val="24"/>
    </w:rPr>
  </w:style>
  <w:style w:type="paragraph" w:customStyle="1" w:styleId="1620">
    <w:name w:val="大港正文"/>
    <w:basedOn w:val="1"/>
    <w:next w:val="1"/>
    <w:link w:val="1619"/>
    <w:qFormat/>
    <w:uiPriority w:val="0"/>
    <w:pPr>
      <w:adjustRightInd w:val="0"/>
      <w:snapToGrid w:val="0"/>
      <w:spacing w:line="500" w:lineRule="atLeast"/>
      <w:ind w:firstLine="480" w:firstLineChars="200"/>
    </w:pPr>
    <w:rPr>
      <w:rFonts w:ascii="宋体" w:hAnsi="宋体"/>
      <w:kern w:val="0"/>
      <w:sz w:val="24"/>
    </w:rPr>
  </w:style>
  <w:style w:type="character" w:customStyle="1" w:styleId="1621">
    <w:name w:val="样式 (中文) 宋体 加粗"/>
    <w:semiHidden/>
    <w:qFormat/>
    <w:uiPriority w:val="0"/>
    <w:rPr>
      <w:rFonts w:eastAsia="宋体"/>
      <w:b/>
      <w:bCs/>
      <w:sz w:val="24"/>
      <w:szCs w:val="24"/>
    </w:rPr>
  </w:style>
  <w:style w:type="character" w:customStyle="1" w:styleId="1622">
    <w:name w:val="H1 Char3"/>
    <w:semiHidden/>
    <w:qFormat/>
    <w:uiPriority w:val="0"/>
    <w:rPr>
      <w:rFonts w:ascii="宋体" w:hAnsi="宋体" w:eastAsia="宋体"/>
      <w:b/>
      <w:bCs/>
      <w:kern w:val="44"/>
      <w:sz w:val="44"/>
      <w:szCs w:val="44"/>
      <w:lang w:val="en-US" w:eastAsia="zh-CN" w:bidi="ar-SA"/>
    </w:rPr>
  </w:style>
  <w:style w:type="character" w:customStyle="1" w:styleId="1623">
    <w:name w:val="A2 Char"/>
    <w:link w:val="1624"/>
    <w:qFormat/>
    <w:uiPriority w:val="0"/>
    <w:rPr>
      <w:kern w:val="2"/>
      <w:sz w:val="30"/>
      <w:szCs w:val="24"/>
    </w:rPr>
  </w:style>
  <w:style w:type="paragraph" w:customStyle="1" w:styleId="1624">
    <w:name w:val="A2"/>
    <w:basedOn w:val="1"/>
    <w:link w:val="1623"/>
    <w:qFormat/>
    <w:uiPriority w:val="0"/>
    <w:pPr>
      <w:spacing w:line="360" w:lineRule="auto"/>
      <w:ind w:firstLine="570"/>
    </w:pPr>
    <w:rPr>
      <w:sz w:val="30"/>
    </w:rPr>
  </w:style>
  <w:style w:type="character" w:customStyle="1" w:styleId="1625">
    <w:name w:val="hb2 Char"/>
    <w:semiHidden/>
    <w:qFormat/>
    <w:uiPriority w:val="0"/>
    <w:rPr>
      <w:rFonts w:ascii="宋体" w:eastAsia="宋体" w:cs="Arial"/>
      <w:b/>
      <w:bCs/>
      <w:kern w:val="2"/>
      <w:sz w:val="28"/>
      <w:szCs w:val="28"/>
      <w:lang w:val="en-US" w:eastAsia="zh-CN" w:bidi="ar-SA"/>
    </w:rPr>
  </w:style>
  <w:style w:type="character" w:customStyle="1" w:styleId="1626">
    <w:name w:val="正文(首行缩进)宋旭峰 Char Char"/>
    <w:link w:val="1627"/>
    <w:qFormat/>
    <w:uiPriority w:val="0"/>
    <w:rPr>
      <w:rFonts w:ascii="楷体_GB2312" w:hAnsi="宋体" w:eastAsia="楷体_GB2312"/>
      <w:sz w:val="28"/>
      <w:szCs w:val="28"/>
    </w:rPr>
  </w:style>
  <w:style w:type="paragraph" w:customStyle="1" w:styleId="1627">
    <w:name w:val="正文(首行缩进)宋旭峰"/>
    <w:basedOn w:val="23"/>
    <w:link w:val="1626"/>
    <w:qFormat/>
    <w:uiPriority w:val="0"/>
    <w:pPr>
      <w:adjustRightInd/>
      <w:snapToGrid/>
      <w:spacing w:line="500" w:lineRule="exact"/>
      <w:ind w:firstLine="560"/>
      <w:contextualSpacing/>
    </w:pPr>
    <w:rPr>
      <w:rFonts w:ascii="楷体_GB2312" w:hAnsi="宋体" w:eastAsia="楷体_GB2312"/>
      <w:kern w:val="0"/>
      <w:szCs w:val="28"/>
      <w:lang w:val="en-US"/>
    </w:rPr>
  </w:style>
  <w:style w:type="character" w:customStyle="1" w:styleId="1628">
    <w:name w:val="标题一最终 Char Char"/>
    <w:link w:val="1629"/>
    <w:semiHidden/>
    <w:qFormat/>
    <w:uiPriority w:val="0"/>
    <w:rPr>
      <w:rFonts w:hAnsi="宋体"/>
      <w:b/>
      <w:bCs/>
      <w:kern w:val="44"/>
      <w:sz w:val="32"/>
      <w:szCs w:val="32"/>
    </w:rPr>
  </w:style>
  <w:style w:type="paragraph" w:customStyle="1" w:styleId="1629">
    <w:name w:val="标题一最终"/>
    <w:basedOn w:val="1"/>
    <w:link w:val="1628"/>
    <w:semiHidden/>
    <w:qFormat/>
    <w:uiPriority w:val="0"/>
    <w:pPr>
      <w:keepNext/>
      <w:keepLines/>
      <w:snapToGrid w:val="0"/>
      <w:spacing w:line="360" w:lineRule="auto"/>
      <w:outlineLvl w:val="0"/>
    </w:pPr>
    <w:rPr>
      <w:rFonts w:hAnsi="宋体"/>
      <w:b/>
      <w:bCs/>
      <w:kern w:val="44"/>
      <w:sz w:val="32"/>
      <w:szCs w:val="32"/>
    </w:rPr>
  </w:style>
  <w:style w:type="character" w:customStyle="1" w:styleId="1630">
    <w:name w:val="Char Char6"/>
    <w:qFormat/>
    <w:uiPriority w:val="0"/>
    <w:rPr>
      <w:rFonts w:eastAsia="仿宋_GB2312"/>
      <w:color w:val="000000"/>
      <w:kern w:val="2"/>
      <w:sz w:val="24"/>
    </w:rPr>
  </w:style>
  <w:style w:type="character" w:customStyle="1" w:styleId="1631">
    <w:name w:val="s6wwf"/>
    <w:qFormat/>
    <w:uiPriority w:val="0"/>
  </w:style>
  <w:style w:type="character" w:customStyle="1" w:styleId="1632">
    <w:name w:val="页眉 Char3"/>
    <w:qFormat/>
    <w:uiPriority w:val="0"/>
    <w:rPr>
      <w:rFonts w:eastAsia="宋体"/>
      <w:kern w:val="2"/>
      <w:sz w:val="18"/>
      <w:szCs w:val="18"/>
      <w:lang w:val="en-US" w:eastAsia="zh-CN" w:bidi="ar-SA"/>
    </w:rPr>
  </w:style>
  <w:style w:type="character" w:customStyle="1" w:styleId="1633">
    <w:name w:val="f_heading1"/>
    <w:qFormat/>
    <w:uiPriority w:val="0"/>
  </w:style>
  <w:style w:type="character" w:customStyle="1" w:styleId="1634">
    <w:name w:val="Date Char"/>
    <w:semiHidden/>
    <w:qFormat/>
    <w:uiPriority w:val="0"/>
  </w:style>
  <w:style w:type="character" w:customStyle="1" w:styleId="1635">
    <w:name w:val="Char Char152"/>
    <w:qFormat/>
    <w:uiPriority w:val="0"/>
    <w:rPr>
      <w:rFonts w:eastAsia="宋体"/>
      <w:kern w:val="2"/>
      <w:sz w:val="21"/>
      <w:lang w:val="en-US" w:eastAsia="zh-CN" w:bidi="ar-SA"/>
    </w:rPr>
  </w:style>
  <w:style w:type="character" w:customStyle="1" w:styleId="1636">
    <w:name w:val="s19n338"/>
    <w:qFormat/>
    <w:uiPriority w:val="0"/>
  </w:style>
  <w:style w:type="character" w:customStyle="1" w:styleId="1637">
    <w:name w:val="环评正文文字缩进（江东模板） Char1"/>
    <w:qFormat/>
    <w:uiPriority w:val="0"/>
    <w:rPr>
      <w:rFonts w:eastAsia="宋体"/>
      <w:kern w:val="2"/>
      <w:sz w:val="16"/>
      <w:lang w:val="en-US" w:eastAsia="zh-CN" w:bidi="ar-SA"/>
    </w:rPr>
  </w:style>
  <w:style w:type="character" w:customStyle="1" w:styleId="1638">
    <w:name w:val="Char Char112"/>
    <w:qFormat/>
    <w:uiPriority w:val="0"/>
    <w:rPr>
      <w:rFonts w:ascii="Arial" w:hAnsi="Arial" w:eastAsia="宋体" w:cs="Arial"/>
      <w:b/>
      <w:bCs/>
      <w:kern w:val="2"/>
      <w:sz w:val="32"/>
      <w:szCs w:val="32"/>
      <w:lang w:val="en-US" w:eastAsia="zh-CN" w:bidi="ar-SA"/>
    </w:rPr>
  </w:style>
  <w:style w:type="character" w:customStyle="1" w:styleId="1639">
    <w:name w:val="f121"/>
    <w:qFormat/>
    <w:uiPriority w:val="0"/>
    <w:rPr>
      <w:sz w:val="18"/>
      <w:szCs w:val="18"/>
      <w:u w:val="none"/>
    </w:rPr>
  </w:style>
  <w:style w:type="character" w:customStyle="1" w:styleId="1640">
    <w:name w:val="ca-6"/>
    <w:semiHidden/>
    <w:qFormat/>
    <w:uiPriority w:val="0"/>
  </w:style>
  <w:style w:type="character" w:customStyle="1" w:styleId="1641">
    <w:name w:val="t_tit01"/>
    <w:semiHidden/>
    <w:qFormat/>
    <w:uiPriority w:val="0"/>
  </w:style>
  <w:style w:type="character" w:customStyle="1" w:styleId="1642">
    <w:name w:val="h8 Char2"/>
    <w:qFormat/>
    <w:uiPriority w:val="0"/>
    <w:rPr>
      <w:rFonts w:ascii="Arial" w:hAnsi="Arial" w:eastAsia="黑体"/>
      <w:sz w:val="24"/>
      <w:lang w:val="en-US" w:eastAsia="zh-CN" w:bidi="ar-SA"/>
    </w:rPr>
  </w:style>
  <w:style w:type="character" w:customStyle="1" w:styleId="1643">
    <w:name w:val="表格 Char Char Char Char Char"/>
    <w:link w:val="1644"/>
    <w:qFormat/>
    <w:uiPriority w:val="0"/>
    <w:rPr>
      <w:rFonts w:ascii="仿宋_GB2312" w:hAnsi="Arial Black" w:eastAsia="仿宋_GB2312"/>
      <w:kern w:val="2"/>
      <w:sz w:val="21"/>
    </w:rPr>
  </w:style>
  <w:style w:type="paragraph" w:customStyle="1" w:styleId="1644">
    <w:name w:val="表格 Char Char Char Char"/>
    <w:basedOn w:val="1"/>
    <w:link w:val="1643"/>
    <w:qFormat/>
    <w:uiPriority w:val="0"/>
    <w:pPr>
      <w:jc w:val="center"/>
    </w:pPr>
    <w:rPr>
      <w:rFonts w:ascii="仿宋_GB2312" w:hAnsi="Arial Black" w:eastAsia="仿宋_GB2312"/>
      <w:szCs w:val="20"/>
    </w:rPr>
  </w:style>
  <w:style w:type="character" w:customStyle="1" w:styleId="1645">
    <w:name w:val="Char Char Char Char Char Char Char2"/>
    <w:link w:val="1646"/>
    <w:qFormat/>
    <w:uiPriority w:val="0"/>
    <w:rPr>
      <w:rFonts w:ascii="宋体" w:hAnsi="宋体"/>
      <w:sz w:val="24"/>
      <w:szCs w:val="24"/>
    </w:rPr>
  </w:style>
  <w:style w:type="paragraph" w:customStyle="1" w:styleId="1646">
    <w:name w:val="Char Char Char Char Char Char2"/>
    <w:basedOn w:val="1"/>
    <w:link w:val="1645"/>
    <w:qFormat/>
    <w:uiPriority w:val="0"/>
    <w:rPr>
      <w:rFonts w:ascii="宋体" w:hAnsi="宋体"/>
      <w:kern w:val="0"/>
      <w:sz w:val="24"/>
    </w:rPr>
  </w:style>
  <w:style w:type="character" w:customStyle="1" w:styleId="1647">
    <w:name w:val="正文，zhna Char Char"/>
    <w:semiHidden/>
    <w:qFormat/>
    <w:uiPriority w:val="0"/>
    <w:rPr>
      <w:rFonts w:ascii="Calibri" w:hAnsi="Calibri" w:eastAsia="宋体" w:cs="Times New Roman"/>
    </w:rPr>
  </w:style>
  <w:style w:type="character" w:customStyle="1" w:styleId="1648">
    <w:name w:val="z1"/>
    <w:qFormat/>
    <w:uiPriority w:val="0"/>
    <w:rPr>
      <w:rFonts w:eastAsia="宋体"/>
      <w:kern w:val="2"/>
      <w:sz w:val="18"/>
      <w:szCs w:val="18"/>
      <w:lang w:val="en-US" w:eastAsia="zh-CN" w:bidi="ar-SA"/>
    </w:rPr>
  </w:style>
  <w:style w:type="character" w:customStyle="1" w:styleId="1649">
    <w:name w:val="nine-11"/>
    <w:qFormat/>
    <w:uiPriority w:val="0"/>
    <w:rPr>
      <w:rFonts w:hint="default" w:eastAsia="黑体"/>
      <w:b/>
      <w:spacing w:val="10"/>
      <w:kern w:val="44"/>
      <w:sz w:val="18"/>
      <w:szCs w:val="18"/>
      <w:lang w:val="en-US" w:eastAsia="zh-CN"/>
    </w:rPr>
  </w:style>
  <w:style w:type="character" w:customStyle="1" w:styleId="1650">
    <w:name w:val="h8 Char4"/>
    <w:qFormat/>
    <w:uiPriority w:val="9"/>
    <w:rPr>
      <w:rFonts w:ascii="Arial" w:hAnsi="Arial" w:eastAsia="黑体"/>
      <w:sz w:val="24"/>
      <w:lang w:val="en-US" w:eastAsia="zh-CN" w:bidi="ar-SA"/>
    </w:rPr>
  </w:style>
  <w:style w:type="character" w:customStyle="1" w:styleId="1651">
    <w:name w:val="zhengwen1"/>
    <w:qFormat/>
    <w:uiPriority w:val="0"/>
    <w:rPr>
      <w:sz w:val="23"/>
      <w:szCs w:val="23"/>
    </w:rPr>
  </w:style>
  <w:style w:type="character" w:customStyle="1" w:styleId="1652">
    <w:name w:val="s8xye"/>
    <w:qFormat/>
    <w:uiPriority w:val="0"/>
  </w:style>
  <w:style w:type="character" w:customStyle="1" w:styleId="1653">
    <w:name w:val="spelle"/>
    <w:qFormat/>
    <w:uiPriority w:val="0"/>
  </w:style>
  <w:style w:type="character" w:customStyle="1" w:styleId="1654">
    <w:name w:val="表格文字 Char1"/>
    <w:qFormat/>
    <w:uiPriority w:val="0"/>
    <w:rPr>
      <w:rFonts w:ascii="仿宋_GB2312" w:hAnsi="Arial Black" w:eastAsia="仿宋_GB2312"/>
      <w:kern w:val="44"/>
      <w:sz w:val="24"/>
      <w:lang w:val="en-US" w:eastAsia="zh-CN" w:bidi="ar-SA"/>
    </w:rPr>
  </w:style>
  <w:style w:type="character" w:customStyle="1" w:styleId="1655">
    <w:name w:val="Footer Char"/>
    <w:qFormat/>
    <w:uiPriority w:val="0"/>
    <w:rPr>
      <w:rFonts w:eastAsia="宋体"/>
      <w:kern w:val="2"/>
      <w:sz w:val="18"/>
      <w:lang w:val="en-US" w:eastAsia="zh-CN" w:bidi="ar-SA"/>
    </w:rPr>
  </w:style>
  <w:style w:type="character" w:customStyle="1" w:styleId="1656">
    <w:name w:val="s5y7c"/>
    <w:qFormat/>
    <w:uiPriority w:val="0"/>
  </w:style>
  <w:style w:type="character" w:customStyle="1" w:styleId="1657">
    <w:name w:val="标题03 Char Char"/>
    <w:semiHidden/>
    <w:qFormat/>
    <w:uiPriority w:val="0"/>
    <w:rPr>
      <w:rFonts w:eastAsia="@黑体"/>
      <w:b/>
      <w:kern w:val="2"/>
      <w:sz w:val="24"/>
      <w:szCs w:val="24"/>
      <w:lang w:val="en-US" w:eastAsia="zh-CN" w:bidi="ar-SA"/>
    </w:rPr>
  </w:style>
  <w:style w:type="character" w:customStyle="1" w:styleId="1658">
    <w:name w:val="Char Char82"/>
    <w:semiHidden/>
    <w:qFormat/>
    <w:uiPriority w:val="0"/>
    <w:rPr>
      <w:rFonts w:ascii="宋体" w:hAnsi="Courier New" w:eastAsia="宋体"/>
      <w:sz w:val="21"/>
      <w:lang w:val="en-US" w:eastAsia="zh-CN" w:bidi="ar-SA"/>
    </w:rPr>
  </w:style>
  <w:style w:type="character" w:customStyle="1" w:styleId="1659">
    <w:name w:val="aaaaa Char"/>
    <w:link w:val="1660"/>
    <w:semiHidden/>
    <w:qFormat/>
    <w:uiPriority w:val="0"/>
    <w:rPr>
      <w:color w:val="000000"/>
      <w:kern w:val="2"/>
      <w:sz w:val="24"/>
      <w:szCs w:val="24"/>
    </w:rPr>
  </w:style>
  <w:style w:type="paragraph" w:customStyle="1" w:styleId="1660">
    <w:name w:val="aaaaa"/>
    <w:basedOn w:val="1"/>
    <w:link w:val="1659"/>
    <w:semiHidden/>
    <w:qFormat/>
    <w:uiPriority w:val="0"/>
    <w:pPr>
      <w:adjustRightInd w:val="0"/>
      <w:snapToGrid w:val="0"/>
      <w:spacing w:line="360" w:lineRule="auto"/>
      <w:ind w:firstLine="480" w:firstLineChars="200"/>
      <w:jc w:val="left"/>
    </w:pPr>
    <w:rPr>
      <w:color w:val="000000"/>
      <w:sz w:val="24"/>
    </w:rPr>
  </w:style>
  <w:style w:type="character" w:customStyle="1" w:styleId="1661">
    <w:name w:val="pt91"/>
    <w:semiHidden/>
    <w:qFormat/>
    <w:uiPriority w:val="0"/>
    <w:rPr>
      <w:color w:val="000000"/>
      <w:sz w:val="18"/>
      <w:szCs w:val="18"/>
      <w:u w:val="none"/>
    </w:rPr>
  </w:style>
  <w:style w:type="character" w:customStyle="1" w:styleId="1662">
    <w:name w:val="Char Char171"/>
    <w:qFormat/>
    <w:uiPriority w:val="0"/>
    <w:rPr>
      <w:rFonts w:ascii="宋体" w:eastAsia="宋体"/>
      <w:kern w:val="2"/>
      <w:sz w:val="24"/>
      <w:lang w:val="en-US" w:eastAsia="zh-CN" w:bidi="ar-SA"/>
    </w:rPr>
  </w:style>
  <w:style w:type="character" w:customStyle="1" w:styleId="1663">
    <w:name w:val="font141"/>
    <w:qFormat/>
    <w:uiPriority w:val="0"/>
    <w:rPr>
      <w:rFonts w:hint="default"/>
      <w:color w:val="000000"/>
      <w:spacing w:val="390"/>
    </w:rPr>
  </w:style>
  <w:style w:type="character" w:customStyle="1" w:styleId="1664">
    <w:name w:val="pccs1"/>
    <w:qFormat/>
    <w:uiPriority w:val="0"/>
    <w:rPr>
      <w:spacing w:val="360"/>
      <w:sz w:val="18"/>
      <w:szCs w:val="18"/>
    </w:rPr>
  </w:style>
  <w:style w:type="character" w:customStyle="1" w:styleId="1665">
    <w:name w:val="样式 小4居中 + Char Char"/>
    <w:link w:val="1666"/>
    <w:semiHidden/>
    <w:qFormat/>
    <w:uiPriority w:val="0"/>
    <w:rPr>
      <w:sz w:val="24"/>
      <w:szCs w:val="24"/>
    </w:rPr>
  </w:style>
  <w:style w:type="paragraph" w:customStyle="1" w:styleId="1666">
    <w:name w:val="样式 小4居中 +"/>
    <w:basedOn w:val="1"/>
    <w:link w:val="1665"/>
    <w:semiHidden/>
    <w:qFormat/>
    <w:uiPriority w:val="0"/>
    <w:pPr>
      <w:snapToGrid w:val="0"/>
      <w:spacing w:before="46" w:beforeLines="15" w:after="46" w:afterLines="15" w:line="320" w:lineRule="atLeast"/>
      <w:jc w:val="center"/>
    </w:pPr>
    <w:rPr>
      <w:kern w:val="0"/>
      <w:sz w:val="24"/>
    </w:rPr>
  </w:style>
  <w:style w:type="character" w:customStyle="1" w:styleId="1667">
    <w:name w:val="表格001 Char"/>
    <w:link w:val="334"/>
    <w:qFormat/>
    <w:uiPriority w:val="0"/>
    <w:rPr>
      <w:rFonts w:ascii="Arial" w:hAnsi="Arial"/>
      <w:sz w:val="24"/>
      <w:szCs w:val="24"/>
      <w:lang w:eastAsia="en-US" w:bidi="en-US"/>
    </w:rPr>
  </w:style>
  <w:style w:type="character" w:customStyle="1" w:styleId="1668">
    <w:name w:val="x1"/>
    <w:semiHidden/>
    <w:qFormat/>
    <w:uiPriority w:val="0"/>
  </w:style>
  <w:style w:type="character" w:customStyle="1" w:styleId="1669">
    <w:name w:val="Char Char372"/>
    <w:semiHidden/>
    <w:qFormat/>
    <w:uiPriority w:val="0"/>
    <w:rPr>
      <w:rFonts w:ascii="@黑体" w:hAnsi="@黑体" w:eastAsia="Tahoma"/>
      <w:b/>
      <w:bCs/>
      <w:kern w:val="2"/>
      <w:sz w:val="28"/>
      <w:szCs w:val="28"/>
    </w:rPr>
  </w:style>
  <w:style w:type="character" w:customStyle="1" w:styleId="1670">
    <w:name w:val="标题  4 Char"/>
    <w:semiHidden/>
    <w:qFormat/>
    <w:uiPriority w:val="0"/>
    <w:rPr>
      <w:rFonts w:eastAsia="宋体"/>
      <w:b/>
      <w:color w:val="000000"/>
      <w:kern w:val="28"/>
      <w:sz w:val="24"/>
      <w:szCs w:val="24"/>
      <w:lang w:val="en-US" w:eastAsia="zh-CN" w:bidi="ar-SA"/>
    </w:rPr>
  </w:style>
  <w:style w:type="character" w:customStyle="1" w:styleId="1671">
    <w:name w:val="标题1新 Char"/>
    <w:link w:val="1672"/>
    <w:qFormat/>
    <w:uiPriority w:val="0"/>
    <w:rPr>
      <w:rFonts w:eastAsia="黑体"/>
      <w:sz w:val="32"/>
      <w:szCs w:val="24"/>
    </w:rPr>
  </w:style>
  <w:style w:type="paragraph" w:customStyle="1" w:styleId="1672">
    <w:name w:val="标题1新"/>
    <w:basedOn w:val="1"/>
    <w:link w:val="1671"/>
    <w:qFormat/>
    <w:uiPriority w:val="0"/>
    <w:pPr>
      <w:spacing w:line="900" w:lineRule="exact"/>
      <w:jc w:val="center"/>
      <w:outlineLvl w:val="0"/>
    </w:pPr>
    <w:rPr>
      <w:rFonts w:eastAsia="黑体"/>
      <w:kern w:val="0"/>
      <w:sz w:val="32"/>
    </w:rPr>
  </w:style>
  <w:style w:type="character" w:customStyle="1" w:styleId="1673">
    <w:name w:val="font111"/>
    <w:qFormat/>
    <w:uiPriority w:val="0"/>
    <w:rPr>
      <w:rFonts w:hint="default" w:ascii="Times New Roman" w:hAnsi="Times New Roman" w:cs="Times New Roman"/>
      <w:color w:val="000000"/>
      <w:sz w:val="18"/>
      <w:szCs w:val="18"/>
      <w:u w:val="none"/>
      <w:vertAlign w:val="subscript"/>
    </w:rPr>
  </w:style>
  <w:style w:type="character" w:customStyle="1" w:styleId="1674">
    <w:name w:val="表格文本 五号 居中 单倍行距 Char Char Char"/>
    <w:semiHidden/>
    <w:qFormat/>
    <w:uiPriority w:val="0"/>
    <w:rPr>
      <w:rFonts w:eastAsia="宋体" w:cs="宋体"/>
      <w:kern w:val="2"/>
      <w:sz w:val="21"/>
      <w:szCs w:val="21"/>
      <w:lang w:val="en-US" w:eastAsia="zh-CN" w:bidi="ar-SA"/>
    </w:rPr>
  </w:style>
  <w:style w:type="character" w:customStyle="1" w:styleId="1675">
    <w:name w:val="Char Char16"/>
    <w:qFormat/>
    <w:uiPriority w:val="0"/>
    <w:rPr>
      <w:rFonts w:ascii="宋体" w:hAnsi="Courier New" w:eastAsia="宋体"/>
      <w:kern w:val="2"/>
      <w:sz w:val="24"/>
      <w:lang w:val="en-US" w:eastAsia="zh-CN" w:bidi="ar-SA"/>
    </w:rPr>
  </w:style>
  <w:style w:type="character" w:customStyle="1" w:styleId="1676">
    <w:name w:val="Char Char202"/>
    <w:semiHidden/>
    <w:qFormat/>
    <w:uiPriority w:val="0"/>
    <w:rPr>
      <w:sz w:val="18"/>
      <w:szCs w:val="18"/>
    </w:rPr>
  </w:style>
  <w:style w:type="character" w:customStyle="1" w:styleId="1677">
    <w:name w:val="3xi"/>
    <w:qFormat/>
    <w:uiPriority w:val="0"/>
  </w:style>
  <w:style w:type="character" w:customStyle="1" w:styleId="1678">
    <w:name w:val="td11"/>
    <w:qFormat/>
    <w:uiPriority w:val="0"/>
    <w:rPr>
      <w:sz w:val="20"/>
      <w:szCs w:val="20"/>
    </w:rPr>
  </w:style>
  <w:style w:type="character" w:customStyle="1" w:styleId="1679">
    <w:name w:val="wd12lan1"/>
    <w:semiHidden/>
    <w:qFormat/>
    <w:uiPriority w:val="0"/>
    <w:rPr>
      <w:color w:val="075891"/>
      <w:sz w:val="20"/>
      <w:szCs w:val="20"/>
      <w:u w:val="none"/>
    </w:rPr>
  </w:style>
  <w:style w:type="character" w:customStyle="1" w:styleId="1680">
    <w:name w:val="a11"/>
    <w:qFormat/>
    <w:uiPriority w:val="0"/>
  </w:style>
  <w:style w:type="character" w:customStyle="1" w:styleId="1681">
    <w:name w:val="part"/>
    <w:qFormat/>
    <w:uiPriority w:val="0"/>
  </w:style>
  <w:style w:type="character" w:customStyle="1" w:styleId="1682">
    <w:name w:val="文档结构图 Char1"/>
    <w:qFormat/>
    <w:uiPriority w:val="0"/>
    <w:rPr>
      <w:rFonts w:eastAsia="宋体"/>
      <w:kern w:val="2"/>
      <w:sz w:val="21"/>
      <w:lang w:val="en-US" w:eastAsia="zh-CN" w:bidi="ar-SA"/>
    </w:rPr>
  </w:style>
  <w:style w:type="character" w:customStyle="1" w:styleId="1683">
    <w:name w:val="news1"/>
    <w:qFormat/>
    <w:uiPriority w:val="0"/>
    <w:rPr>
      <w:color w:val="000000"/>
      <w:sz w:val="28"/>
      <w:szCs w:val="28"/>
      <w:u w:val="none"/>
    </w:rPr>
  </w:style>
  <w:style w:type="character" w:customStyle="1" w:styleId="1684">
    <w:name w:val="indetail1"/>
    <w:qFormat/>
    <w:uiPriority w:val="0"/>
    <w:rPr>
      <w:sz w:val="18"/>
      <w:szCs w:val="18"/>
      <w:bdr w:val="single" w:color="E2E2E2" w:sz="6" w:space="0"/>
    </w:rPr>
  </w:style>
  <w:style w:type="character" w:customStyle="1" w:styleId="1685">
    <w:name w:val="style111"/>
    <w:qFormat/>
    <w:uiPriority w:val="0"/>
    <w:rPr>
      <w:color w:val="333333"/>
      <w:sz w:val="21"/>
      <w:szCs w:val="21"/>
    </w:rPr>
  </w:style>
  <w:style w:type="character" w:customStyle="1" w:styleId="1686">
    <w:name w:val="Char Char Char Char Char Char Char4"/>
    <w:link w:val="1687"/>
    <w:qFormat/>
    <w:uiPriority w:val="0"/>
    <w:rPr>
      <w:rFonts w:ascii="宋体" w:hAnsi="宋体"/>
      <w:sz w:val="24"/>
      <w:szCs w:val="24"/>
    </w:rPr>
  </w:style>
  <w:style w:type="paragraph" w:customStyle="1" w:styleId="1687">
    <w:name w:val="Char Char Char Char Char Char4"/>
    <w:basedOn w:val="1"/>
    <w:link w:val="1686"/>
    <w:qFormat/>
    <w:uiPriority w:val="0"/>
    <w:rPr>
      <w:rFonts w:ascii="宋体" w:hAnsi="宋体"/>
      <w:kern w:val="0"/>
      <w:sz w:val="24"/>
    </w:rPr>
  </w:style>
  <w:style w:type="character" w:customStyle="1" w:styleId="1688">
    <w:name w:val="Char Char373"/>
    <w:semiHidden/>
    <w:qFormat/>
    <w:uiPriority w:val="0"/>
    <w:rPr>
      <w:rFonts w:ascii="@黑体" w:hAnsi="@黑体" w:eastAsia="Tahoma"/>
      <w:b/>
      <w:bCs/>
      <w:kern w:val="2"/>
      <w:sz w:val="28"/>
      <w:szCs w:val="28"/>
    </w:rPr>
  </w:style>
  <w:style w:type="character" w:customStyle="1" w:styleId="1689">
    <w:name w:val="Char Char93"/>
    <w:semiHidden/>
    <w:qFormat/>
    <w:uiPriority w:val="0"/>
    <w:rPr>
      <w:rFonts w:eastAsia="宋体"/>
      <w:kern w:val="2"/>
      <w:sz w:val="18"/>
      <w:lang w:val="en-US" w:eastAsia="zh-CN" w:bidi="ar-SA"/>
    </w:rPr>
  </w:style>
  <w:style w:type="character" w:customStyle="1" w:styleId="1690">
    <w:name w:val="class1"/>
    <w:qFormat/>
    <w:uiPriority w:val="0"/>
    <w:rPr>
      <w:color w:val="000000"/>
      <w:sz w:val="18"/>
      <w:szCs w:val="18"/>
      <w:u w:val="none"/>
    </w:rPr>
  </w:style>
  <w:style w:type="character" w:customStyle="1" w:styleId="1691">
    <w:name w:val="zwb-图表标题 Char"/>
    <w:link w:val="1692"/>
    <w:semiHidden/>
    <w:qFormat/>
    <w:uiPriority w:val="0"/>
    <w:rPr>
      <w:b/>
      <w:kern w:val="2"/>
      <w:sz w:val="24"/>
      <w:szCs w:val="24"/>
    </w:rPr>
  </w:style>
  <w:style w:type="paragraph" w:customStyle="1" w:styleId="1692">
    <w:name w:val="zwb-图表标题"/>
    <w:basedOn w:val="1"/>
    <w:link w:val="1691"/>
    <w:semiHidden/>
    <w:qFormat/>
    <w:uiPriority w:val="0"/>
    <w:pPr>
      <w:spacing w:line="360" w:lineRule="auto"/>
      <w:jc w:val="center"/>
    </w:pPr>
    <w:rPr>
      <w:b/>
      <w:sz w:val="24"/>
    </w:rPr>
  </w:style>
  <w:style w:type="character" w:customStyle="1" w:styleId="1693">
    <w:name w:val="sppkvsc"/>
    <w:qFormat/>
    <w:uiPriority w:val="0"/>
  </w:style>
  <w:style w:type="character" w:customStyle="1" w:styleId="1694">
    <w:name w:val="tu Char"/>
    <w:link w:val="292"/>
    <w:qFormat/>
    <w:uiPriority w:val="0"/>
    <w:rPr>
      <w:b/>
      <w:sz w:val="24"/>
      <w:szCs w:val="24"/>
      <w:lang w:eastAsia="en-US" w:bidi="en-US"/>
    </w:rPr>
  </w:style>
  <w:style w:type="character" w:customStyle="1" w:styleId="1695">
    <w:name w:val="正文（首行缩进两字） Char Char Char Char Char Char Char Char Char2"/>
    <w:qFormat/>
    <w:uiPriority w:val="0"/>
    <w:rPr>
      <w:rFonts w:ascii="仿宋_GB2312" w:eastAsia="仿宋_GB2312"/>
      <w:color w:val="000000"/>
      <w:kern w:val="2"/>
      <w:sz w:val="28"/>
      <w:szCs w:val="24"/>
      <w:lang w:val="en-US" w:eastAsia="zh-CN" w:bidi="ar-SA"/>
    </w:rPr>
  </w:style>
  <w:style w:type="character" w:customStyle="1" w:styleId="1696">
    <w:name w:val="llb11"/>
    <w:qFormat/>
    <w:uiPriority w:val="0"/>
    <w:rPr>
      <w:color w:val="000000"/>
      <w:sz w:val="32"/>
      <w:szCs w:val="32"/>
      <w:u w:val="none"/>
    </w:rPr>
  </w:style>
  <w:style w:type="character" w:customStyle="1" w:styleId="1697">
    <w:name w:val="sv1hyw"/>
    <w:qFormat/>
    <w:uiPriority w:val="0"/>
  </w:style>
  <w:style w:type="character" w:customStyle="1" w:styleId="1698">
    <w:name w:val="正文(首行缩进) Char Char"/>
    <w:qFormat/>
    <w:uiPriority w:val="0"/>
    <w:rPr>
      <w:rFonts w:eastAsia="宋体"/>
      <w:snapToGrid/>
      <w:color w:val="000000"/>
      <w:sz w:val="24"/>
      <w:szCs w:val="24"/>
      <w:lang w:val="en-US" w:eastAsia="zh-CN" w:bidi="ar-SA"/>
    </w:rPr>
  </w:style>
  <w:style w:type="character" w:customStyle="1" w:styleId="1699">
    <w:name w:val="图框文字 Char Char"/>
    <w:qFormat/>
    <w:uiPriority w:val="0"/>
    <w:rPr>
      <w:rFonts w:eastAsia="宋体" w:cs="宋体"/>
      <w:spacing w:val="4"/>
      <w:kern w:val="2"/>
      <w:sz w:val="21"/>
      <w:szCs w:val="21"/>
      <w:lang w:val="en-US" w:eastAsia="zh-CN" w:bidi="ar-SA"/>
    </w:rPr>
  </w:style>
  <w:style w:type="character" w:customStyle="1" w:styleId="1700">
    <w:name w:val="Char Char191"/>
    <w:qFormat/>
    <w:uiPriority w:val="0"/>
    <w:rPr>
      <w:rFonts w:ascii="宋体" w:hAnsi="宋体" w:eastAsia="宋体"/>
      <w:b/>
      <w:color w:val="000000"/>
      <w:kern w:val="2"/>
      <w:sz w:val="28"/>
      <w:szCs w:val="24"/>
      <w:lang w:val="en-US" w:eastAsia="zh-CN" w:bidi="ar-SA"/>
    </w:rPr>
  </w:style>
  <w:style w:type="character" w:customStyle="1" w:styleId="1701">
    <w:name w:val="日期 Char2"/>
    <w:qFormat/>
    <w:uiPriority w:val="0"/>
    <w:rPr>
      <w:rFonts w:ascii="宋体" w:hAnsi="Times New Roman" w:eastAsia="宋体" w:cs="Times New Roman"/>
      <w:sz w:val="24"/>
      <w:szCs w:val="20"/>
    </w:rPr>
  </w:style>
  <w:style w:type="character" w:customStyle="1" w:styleId="1702">
    <w:name w:val="zjgblk1"/>
    <w:qFormat/>
    <w:uiPriority w:val="0"/>
    <w:rPr>
      <w:rFonts w:hint="default"/>
      <w:color w:val="000000"/>
      <w:spacing w:val="336"/>
      <w:sz w:val="18"/>
      <w:szCs w:val="18"/>
      <w:u w:val="none"/>
    </w:rPr>
  </w:style>
  <w:style w:type="character" w:customStyle="1" w:styleId="1703">
    <w:name w:val="Char Char363"/>
    <w:semiHidden/>
    <w:qFormat/>
    <w:uiPriority w:val="0"/>
    <w:rPr>
      <w:rFonts w:ascii="@黑体" w:hAnsi="@黑体"/>
      <w:b/>
      <w:bCs/>
      <w:kern w:val="2"/>
      <w:sz w:val="32"/>
      <w:szCs w:val="32"/>
    </w:rPr>
  </w:style>
  <w:style w:type="character" w:customStyle="1" w:styleId="1704">
    <w:name w:val="注释标题1 Char Char"/>
    <w:semiHidden/>
    <w:qFormat/>
    <w:uiPriority w:val="0"/>
    <w:rPr>
      <w:sz w:val="18"/>
      <w:szCs w:val="24"/>
    </w:rPr>
  </w:style>
  <w:style w:type="character" w:customStyle="1" w:styleId="1705">
    <w:name w:val="3zw1"/>
    <w:qFormat/>
    <w:uiPriority w:val="0"/>
    <w:rPr>
      <w:color w:val="000000"/>
      <w:sz w:val="28"/>
      <w:szCs w:val="28"/>
      <w:u w:val="none"/>
    </w:rPr>
  </w:style>
  <w:style w:type="character" w:customStyle="1" w:styleId="1706">
    <w:name w:val="font14_160 style19"/>
    <w:qFormat/>
    <w:uiPriority w:val="0"/>
  </w:style>
  <w:style w:type="character" w:customStyle="1" w:styleId="1707">
    <w:name w:val="(a正文 Char1"/>
    <w:semiHidden/>
    <w:qFormat/>
    <w:uiPriority w:val="0"/>
    <w:rPr>
      <w:rFonts w:eastAsia="Tahoma"/>
      <w:color w:val="000000"/>
      <w:kern w:val="2"/>
      <w:sz w:val="24"/>
      <w:szCs w:val="24"/>
      <w:lang w:val="en-US" w:eastAsia="zh-CN" w:bidi="ar-SA"/>
    </w:rPr>
  </w:style>
  <w:style w:type="character" w:customStyle="1" w:styleId="1708">
    <w:name w:val="xiaozhiti1"/>
    <w:qFormat/>
    <w:uiPriority w:val="0"/>
    <w:rPr>
      <w:sz w:val="18"/>
      <w:szCs w:val="18"/>
    </w:rPr>
  </w:style>
  <w:style w:type="character" w:customStyle="1" w:styleId="1709">
    <w:name w:val="Char Char183"/>
    <w:semiHidden/>
    <w:qFormat/>
    <w:uiPriority w:val="0"/>
    <w:rPr>
      <w:rFonts w:ascii="Arial" w:hAnsi="Arial" w:eastAsia="宋体" w:cs="Arial"/>
      <w:b/>
      <w:bCs/>
      <w:kern w:val="2"/>
      <w:sz w:val="28"/>
      <w:szCs w:val="28"/>
      <w:lang w:val="en-US" w:eastAsia="zh-CN" w:bidi="ar-SA"/>
    </w:rPr>
  </w:style>
  <w:style w:type="character" w:customStyle="1" w:styleId="1710">
    <w:name w:val="Char Char251"/>
    <w:semiHidden/>
    <w:qFormat/>
    <w:uiPriority w:val="0"/>
    <w:rPr>
      <w:sz w:val="18"/>
      <w:szCs w:val="18"/>
    </w:rPr>
  </w:style>
  <w:style w:type="character" w:customStyle="1" w:styleId="1711">
    <w:name w:val="s0s4w"/>
    <w:qFormat/>
    <w:uiPriority w:val="0"/>
  </w:style>
  <w:style w:type="character" w:customStyle="1" w:styleId="1712">
    <w:name w:val="样式 小四 行距: 固定值 24 磅 Char"/>
    <w:qFormat/>
    <w:uiPriority w:val="0"/>
    <w:rPr>
      <w:rFonts w:ascii="仿宋_GB2312" w:eastAsia="仿宋_GB2312" w:cs="宋体"/>
      <w:b/>
      <w:bCs/>
      <w:sz w:val="24"/>
    </w:rPr>
  </w:style>
  <w:style w:type="character" w:customStyle="1" w:styleId="1713">
    <w:name w:val="l121"/>
    <w:semiHidden/>
    <w:qFormat/>
    <w:uiPriority w:val="0"/>
  </w:style>
  <w:style w:type="character" w:customStyle="1" w:styleId="1714">
    <w:name w:val="contents"/>
    <w:qFormat/>
    <w:uiPriority w:val="0"/>
  </w:style>
  <w:style w:type="character" w:customStyle="1" w:styleId="1715">
    <w:name w:val="qqq1"/>
    <w:qFormat/>
    <w:uiPriority w:val="0"/>
    <w:rPr>
      <w:color w:val="527594"/>
      <w:sz w:val="18"/>
      <w:szCs w:val="18"/>
    </w:rPr>
  </w:style>
  <w:style w:type="character" w:customStyle="1" w:styleId="1716">
    <w:name w:val="Char Char28"/>
    <w:semiHidden/>
    <w:qFormat/>
    <w:uiPriority w:val="0"/>
    <w:rPr>
      <w:rFonts w:ascii="Times New Roman" w:hAnsi="Times New Roman" w:eastAsia="宋体" w:cs="Times New Roman"/>
      <w:szCs w:val="24"/>
      <w:shd w:val="clear" w:color="auto" w:fill="000080"/>
    </w:rPr>
  </w:style>
  <w:style w:type="character" w:customStyle="1" w:styleId="1717">
    <w:name w:val="ssqiaz"/>
    <w:qFormat/>
    <w:uiPriority w:val="0"/>
  </w:style>
  <w:style w:type="character" w:customStyle="1" w:styleId="1718">
    <w:name w:val="标准文本 居中 单倍行距 Char Char Char"/>
    <w:semiHidden/>
    <w:qFormat/>
    <w:uiPriority w:val="0"/>
    <w:rPr>
      <w:rFonts w:eastAsia="宋体" w:cs="宋体"/>
      <w:kern w:val="2"/>
      <w:sz w:val="24"/>
      <w:szCs w:val="24"/>
      <w:lang w:val="en-US" w:eastAsia="zh-CN" w:bidi="ar-SA"/>
    </w:rPr>
  </w:style>
  <w:style w:type="character" w:customStyle="1" w:styleId="1719">
    <w:name w:val="span4"/>
    <w:semiHidden/>
    <w:qFormat/>
    <w:uiPriority w:val="0"/>
  </w:style>
  <w:style w:type="character" w:customStyle="1" w:styleId="1720">
    <w:name w:val="ldh14-01"/>
    <w:semiHidden/>
    <w:qFormat/>
    <w:uiPriority w:val="0"/>
    <w:rPr>
      <w:b/>
      <w:bCs/>
      <w:color w:val="FFFFFF"/>
      <w:sz w:val="18"/>
      <w:szCs w:val="18"/>
    </w:rPr>
  </w:style>
  <w:style w:type="character" w:customStyle="1" w:styleId="1721">
    <w:name w:val="默认段落字体2"/>
    <w:qFormat/>
    <w:uiPriority w:val="0"/>
    <w:rPr>
      <w:rFonts w:ascii="Times New Roman" w:eastAsia="宋体"/>
      <w:color w:val="000000"/>
      <w:spacing w:val="0"/>
      <w:w w:val="100"/>
      <w:sz w:val="21"/>
      <w:u w:val="none" w:color="000000"/>
      <w:vertAlign w:val="baseline"/>
      <w:lang w:val="en-US" w:eastAsia="zh-CN"/>
    </w:rPr>
  </w:style>
  <w:style w:type="character" w:customStyle="1" w:styleId="1722">
    <w:name w:val="small14"/>
    <w:qFormat/>
    <w:uiPriority w:val="0"/>
  </w:style>
  <w:style w:type="character" w:customStyle="1" w:styleId="1723">
    <w:name w:val="Char Char32"/>
    <w:qFormat/>
    <w:uiPriority w:val="0"/>
    <w:rPr>
      <w:rFonts w:ascii="Times New Roman" w:hAnsi="Times New Roman" w:eastAsia="宋体" w:cs="Times New Roman"/>
      <w:kern w:val="0"/>
      <w:sz w:val="18"/>
      <w:szCs w:val="24"/>
    </w:rPr>
  </w:style>
  <w:style w:type="character" w:customStyle="1" w:styleId="1724">
    <w:name w:val="dash Char3"/>
    <w:qFormat/>
    <w:uiPriority w:val="0"/>
    <w:rPr>
      <w:rFonts w:eastAsia="宋体"/>
      <w:b/>
      <w:kern w:val="2"/>
      <w:sz w:val="28"/>
      <w:lang w:val="en-US" w:eastAsia="zh-CN" w:bidi="ar-SA"/>
    </w:rPr>
  </w:style>
  <w:style w:type="character" w:customStyle="1" w:styleId="1725">
    <w:name w:val="a2 Char"/>
    <w:link w:val="1726"/>
    <w:qFormat/>
    <w:uiPriority w:val="0"/>
    <w:rPr>
      <w:rFonts w:ascii="ˎ̥" w:hAnsi="ˎ̥"/>
      <w:color w:val="000000"/>
      <w:sz w:val="18"/>
      <w:szCs w:val="18"/>
    </w:rPr>
  </w:style>
  <w:style w:type="paragraph" w:customStyle="1" w:styleId="1726">
    <w:name w:val="a2"/>
    <w:basedOn w:val="1"/>
    <w:link w:val="1725"/>
    <w:qFormat/>
    <w:uiPriority w:val="0"/>
    <w:pPr>
      <w:widowControl/>
      <w:spacing w:before="100" w:beforeAutospacing="1" w:after="100" w:afterAutospacing="1" w:line="270" w:lineRule="atLeast"/>
      <w:jc w:val="left"/>
    </w:pPr>
    <w:rPr>
      <w:rFonts w:ascii="ˎ̥" w:hAnsi="ˎ̥"/>
      <w:color w:val="000000"/>
      <w:kern w:val="0"/>
      <w:sz w:val="18"/>
      <w:szCs w:val="18"/>
    </w:rPr>
  </w:style>
  <w:style w:type="character" w:customStyle="1" w:styleId="1727">
    <w:name w:val="题注 Char1 Char Char Char Char Char"/>
    <w:semiHidden/>
    <w:qFormat/>
    <w:uiPriority w:val="0"/>
    <w:rPr>
      <w:rFonts w:ascii="Arial" w:hAnsi="Arial" w:eastAsia="宋体" w:cs="Arial"/>
      <w:kern w:val="2"/>
      <w:sz w:val="24"/>
      <w:szCs w:val="24"/>
      <w:lang w:val="en-US" w:eastAsia="zh-CN" w:bidi="ar-SA"/>
    </w:rPr>
  </w:style>
  <w:style w:type="character" w:customStyle="1" w:styleId="1728">
    <w:name w:val="Char Char45"/>
    <w:qFormat/>
    <w:uiPriority w:val="0"/>
    <w:rPr>
      <w:rFonts w:ascii="Arial" w:hAnsi="Arial" w:eastAsia="仿宋_GB2312"/>
      <w:sz w:val="24"/>
      <w:lang w:val="en-US" w:eastAsia="zh-CN" w:bidi="ar-SA"/>
    </w:rPr>
  </w:style>
  <w:style w:type="character" w:customStyle="1" w:styleId="1729">
    <w:name w:val="chen 正文字体 Char"/>
    <w:link w:val="1730"/>
    <w:qFormat/>
    <w:uiPriority w:val="0"/>
    <w:rPr>
      <w:rFonts w:ascii="宋体" w:hAnsi="宋体"/>
      <w:color w:val="000000"/>
      <w:spacing w:val="10"/>
      <w:kern w:val="2"/>
      <w:sz w:val="24"/>
      <w:szCs w:val="24"/>
    </w:rPr>
  </w:style>
  <w:style w:type="paragraph" w:customStyle="1" w:styleId="1730">
    <w:name w:val="chen 正文字体"/>
    <w:basedOn w:val="1"/>
    <w:link w:val="1729"/>
    <w:qFormat/>
    <w:uiPriority w:val="0"/>
    <w:pPr>
      <w:spacing w:line="360" w:lineRule="auto"/>
      <w:ind w:firstLine="200" w:firstLineChars="200"/>
    </w:pPr>
    <w:rPr>
      <w:rFonts w:ascii="宋体" w:hAnsi="宋体"/>
      <w:color w:val="000000"/>
      <w:spacing w:val="10"/>
      <w:sz w:val="24"/>
    </w:rPr>
  </w:style>
  <w:style w:type="character" w:customStyle="1" w:styleId="1731">
    <w:name w:val="style161"/>
    <w:qFormat/>
    <w:uiPriority w:val="0"/>
    <w:rPr>
      <w:sz w:val="18"/>
      <w:szCs w:val="18"/>
    </w:rPr>
  </w:style>
  <w:style w:type="character" w:customStyle="1" w:styleId="1732">
    <w:name w:val="标题 3 Char Char Char Char"/>
    <w:qFormat/>
    <w:uiPriority w:val="0"/>
    <w:rPr>
      <w:rFonts w:eastAsia="宋体"/>
      <w:b/>
      <w:bCs/>
      <w:kern w:val="2"/>
      <w:sz w:val="32"/>
      <w:szCs w:val="32"/>
      <w:lang w:val="en-US" w:eastAsia="zh-CN" w:bidi="ar-SA"/>
    </w:rPr>
  </w:style>
  <w:style w:type="character" w:customStyle="1" w:styleId="1733">
    <w:name w:val="search_result_snap1"/>
    <w:semiHidden/>
    <w:qFormat/>
    <w:uiPriority w:val="0"/>
    <w:rPr>
      <w:sz w:val="21"/>
      <w:szCs w:val="21"/>
    </w:rPr>
  </w:style>
  <w:style w:type="character" w:customStyle="1" w:styleId="1734">
    <w:name w:val="Char Char63"/>
    <w:qFormat/>
    <w:uiPriority w:val="0"/>
    <w:rPr>
      <w:rFonts w:eastAsia="仿宋_GB2312"/>
      <w:color w:val="000000"/>
      <w:kern w:val="2"/>
      <w:sz w:val="24"/>
    </w:rPr>
  </w:style>
  <w:style w:type="character" w:customStyle="1" w:styleId="1735">
    <w:name w:val="博泵1 Char Char"/>
    <w:semiHidden/>
    <w:qFormat/>
    <w:uiPriority w:val="0"/>
    <w:rPr>
      <w:rFonts w:hAnsi="宋体" w:cs="宋体"/>
      <w:color w:val="000000"/>
      <w:sz w:val="24"/>
    </w:rPr>
  </w:style>
  <w:style w:type="character" w:customStyle="1" w:styleId="1736">
    <w:name w:val="style151"/>
    <w:qFormat/>
    <w:uiPriority w:val="0"/>
    <w:rPr>
      <w:color w:val="000000"/>
    </w:rPr>
  </w:style>
  <w:style w:type="character" w:customStyle="1" w:styleId="1737">
    <w:name w:val="style61"/>
    <w:qFormat/>
    <w:uiPriority w:val="0"/>
    <w:rPr>
      <w:sz w:val="45"/>
      <w:szCs w:val="45"/>
    </w:rPr>
  </w:style>
  <w:style w:type="character" w:customStyle="1" w:styleId="1738">
    <w:name w:val="Comment Text Char"/>
    <w:semiHidden/>
    <w:qFormat/>
    <w:uiPriority w:val="0"/>
    <w:rPr>
      <w:rFonts w:ascii="Times New Roman" w:hAnsi="Times New Roman" w:eastAsia="宋体" w:cs="Times New Roman"/>
      <w:sz w:val="21"/>
      <w:szCs w:val="21"/>
    </w:rPr>
  </w:style>
  <w:style w:type="character" w:customStyle="1" w:styleId="1739">
    <w:name w:val="表头博泵"/>
    <w:semiHidden/>
    <w:qFormat/>
    <w:uiPriority w:val="0"/>
    <w:rPr>
      <w:rFonts w:ascii="Times New Roman" w:hAnsi="Times New Roman" w:eastAsia="宋体"/>
      <w:b/>
      <w:bCs/>
      <w:color w:val="000000"/>
      <w:kern w:val="2"/>
      <w:sz w:val="24"/>
    </w:rPr>
  </w:style>
  <w:style w:type="character" w:customStyle="1" w:styleId="1740">
    <w:name w:val="Char Char283"/>
    <w:semiHidden/>
    <w:qFormat/>
    <w:uiPriority w:val="0"/>
    <w:rPr>
      <w:rFonts w:ascii="@黑体" w:hAnsi="@黑体"/>
      <w:kern w:val="2"/>
      <w:sz w:val="21"/>
      <w:szCs w:val="24"/>
    </w:rPr>
  </w:style>
  <w:style w:type="character" w:customStyle="1" w:styleId="1741">
    <w:name w:val="111正文 Char"/>
    <w:link w:val="1742"/>
    <w:qFormat/>
    <w:uiPriority w:val="0"/>
    <w:rPr>
      <w:kern w:val="2"/>
      <w:sz w:val="24"/>
      <w:szCs w:val="22"/>
    </w:rPr>
  </w:style>
  <w:style w:type="paragraph" w:customStyle="1" w:styleId="1742">
    <w:name w:val="111正文"/>
    <w:basedOn w:val="1"/>
    <w:link w:val="1741"/>
    <w:qFormat/>
    <w:uiPriority w:val="0"/>
    <w:pPr>
      <w:tabs>
        <w:tab w:val="left" w:pos="600"/>
      </w:tabs>
      <w:spacing w:line="360" w:lineRule="auto"/>
      <w:ind w:firstLine="200" w:firstLineChars="200"/>
    </w:pPr>
    <w:rPr>
      <w:sz w:val="24"/>
      <w:szCs w:val="22"/>
    </w:rPr>
  </w:style>
  <w:style w:type="character" w:customStyle="1" w:styleId="1743">
    <w:name w:val="正文5号 Char Char"/>
    <w:link w:val="1744"/>
    <w:qFormat/>
    <w:uiPriority w:val="0"/>
    <w:rPr>
      <w:sz w:val="18"/>
    </w:rPr>
  </w:style>
  <w:style w:type="paragraph" w:customStyle="1" w:styleId="1744">
    <w:name w:val="正文首行缩进3"/>
    <w:basedOn w:val="1"/>
    <w:link w:val="1743"/>
    <w:qFormat/>
    <w:uiPriority w:val="0"/>
    <w:pPr>
      <w:snapToGrid w:val="0"/>
      <w:spacing w:line="500" w:lineRule="exact"/>
      <w:ind w:firstLine="480" w:firstLineChars="200"/>
    </w:pPr>
    <w:rPr>
      <w:kern w:val="0"/>
      <w:sz w:val="18"/>
      <w:szCs w:val="20"/>
    </w:rPr>
  </w:style>
  <w:style w:type="character" w:customStyle="1" w:styleId="1745">
    <w:name w:val="批注文字 Char1"/>
    <w:qFormat/>
    <w:uiPriority w:val="99"/>
    <w:rPr>
      <w:rFonts w:ascii="Calibri" w:hAnsi="Calibri" w:eastAsia="宋体" w:cs="Times New Roman"/>
    </w:rPr>
  </w:style>
  <w:style w:type="character" w:customStyle="1" w:styleId="1746">
    <w:name w:val="热电厂正文 Char Char Char Char Char"/>
    <w:link w:val="1747"/>
    <w:qFormat/>
    <w:uiPriority w:val="0"/>
    <w:rPr>
      <w:sz w:val="24"/>
      <w:szCs w:val="24"/>
    </w:rPr>
  </w:style>
  <w:style w:type="paragraph" w:customStyle="1" w:styleId="1747">
    <w:name w:val="热电厂正文 Char Char Char Char"/>
    <w:basedOn w:val="1"/>
    <w:link w:val="1746"/>
    <w:qFormat/>
    <w:uiPriority w:val="0"/>
    <w:pPr>
      <w:spacing w:line="440" w:lineRule="exact"/>
      <w:ind w:firstLine="480" w:firstLineChars="200"/>
    </w:pPr>
    <w:rPr>
      <w:kern w:val="0"/>
      <w:sz w:val="24"/>
    </w:rPr>
  </w:style>
  <w:style w:type="character" w:customStyle="1" w:styleId="1748">
    <w:name w:val="wz-title11"/>
    <w:qFormat/>
    <w:uiPriority w:val="0"/>
    <w:rPr>
      <w:b/>
      <w:bCs/>
      <w:color w:val="2879B8"/>
      <w:sz w:val="20"/>
      <w:szCs w:val="20"/>
    </w:rPr>
  </w:style>
  <w:style w:type="character" w:customStyle="1" w:styleId="1749">
    <w:name w:val="Balloon Text Char"/>
    <w:qFormat/>
    <w:uiPriority w:val="0"/>
    <w:rPr>
      <w:rFonts w:ascii="宋体" w:hAnsi="宋体" w:eastAsia="宋体"/>
      <w:kern w:val="2"/>
      <w:sz w:val="18"/>
      <w:szCs w:val="18"/>
      <w:lang w:val="en-US" w:eastAsia="zh-CN" w:bidi="ar-SA"/>
    </w:rPr>
  </w:style>
  <w:style w:type="character" w:customStyle="1" w:styleId="1750">
    <w:name w:val="style291"/>
    <w:qFormat/>
    <w:uiPriority w:val="0"/>
    <w:rPr>
      <w:color w:val="335B64"/>
      <w:sz w:val="18"/>
      <w:szCs w:val="18"/>
    </w:rPr>
  </w:style>
  <w:style w:type="character" w:customStyle="1" w:styleId="1751">
    <w:name w:val="项标题(1) Char3"/>
    <w:semiHidden/>
    <w:qFormat/>
    <w:uiPriority w:val="0"/>
    <w:rPr>
      <w:rFonts w:ascii="Arial" w:hAnsi="Arial" w:eastAsia="仿宋_GB2312"/>
      <w:b/>
      <w:sz w:val="24"/>
      <w:lang w:val="en-US" w:eastAsia="zh-CN" w:bidi="ar-SA"/>
    </w:rPr>
  </w:style>
  <w:style w:type="character" w:customStyle="1" w:styleId="1752">
    <w:name w:val="aa正文 Char Char"/>
    <w:semiHidden/>
    <w:qFormat/>
    <w:uiPriority w:val="0"/>
    <w:rPr>
      <w:rFonts w:ascii="Calibri" w:hAnsi="Calibri" w:eastAsia="宋体"/>
      <w:sz w:val="24"/>
      <w:szCs w:val="22"/>
      <w:lang w:val="en-US" w:eastAsia="zh-CN" w:bidi="ar-SA"/>
    </w:rPr>
  </w:style>
  <w:style w:type="character" w:customStyle="1" w:styleId="1753">
    <w:name w:val="14normal1"/>
    <w:semiHidden/>
    <w:qFormat/>
    <w:uiPriority w:val="0"/>
    <w:rPr>
      <w:rFonts w:hint="default" w:ascii="ˎ̥" w:hAnsi="ˎ̥"/>
      <w:color w:val="000000"/>
      <w:sz w:val="15"/>
      <w:szCs w:val="15"/>
    </w:rPr>
  </w:style>
  <w:style w:type="character" w:customStyle="1" w:styleId="1754">
    <w:name w:val="p141"/>
    <w:qFormat/>
    <w:uiPriority w:val="0"/>
    <w:rPr>
      <w:sz w:val="21"/>
      <w:szCs w:val="21"/>
    </w:rPr>
  </w:style>
  <w:style w:type="character" w:customStyle="1" w:styleId="1755">
    <w:name w:val="样式17 Char"/>
    <w:link w:val="1756"/>
    <w:qFormat/>
    <w:uiPriority w:val="0"/>
    <w:rPr>
      <w:rFonts w:ascii="@黑体" w:hAnsi="@黑体"/>
      <w:spacing w:val="20"/>
      <w:kern w:val="2"/>
      <w:sz w:val="24"/>
    </w:rPr>
  </w:style>
  <w:style w:type="paragraph" w:customStyle="1" w:styleId="1756">
    <w:name w:val="样式17"/>
    <w:basedOn w:val="1"/>
    <w:link w:val="1755"/>
    <w:qFormat/>
    <w:uiPriority w:val="0"/>
    <w:pPr>
      <w:spacing w:line="400" w:lineRule="exact"/>
      <w:ind w:firstLine="200" w:firstLineChars="200"/>
    </w:pPr>
    <w:rPr>
      <w:rFonts w:ascii="@黑体" w:hAnsi="@黑体"/>
      <w:spacing w:val="20"/>
      <w:sz w:val="24"/>
      <w:szCs w:val="20"/>
    </w:rPr>
  </w:style>
  <w:style w:type="character" w:customStyle="1" w:styleId="1757">
    <w:name w:val="干标题(a) Char Char"/>
    <w:qFormat/>
    <w:uiPriority w:val="0"/>
    <w:rPr>
      <w:rFonts w:ascii="Arial" w:hAnsi="Arial" w:eastAsia="黑体"/>
      <w:kern w:val="2"/>
      <w:sz w:val="24"/>
      <w:lang w:val="en-US" w:eastAsia="zh-CN" w:bidi="ar-SA"/>
    </w:rPr>
  </w:style>
  <w:style w:type="character" w:customStyle="1" w:styleId="1758">
    <w:name w:val="line_h221"/>
    <w:qFormat/>
    <w:uiPriority w:val="0"/>
  </w:style>
  <w:style w:type="character" w:customStyle="1" w:styleId="1759">
    <w:name w:val="unnamed21"/>
    <w:qFormat/>
    <w:uiPriority w:val="0"/>
    <w:rPr>
      <w:sz w:val="18"/>
      <w:szCs w:val="18"/>
      <w:u w:val="none"/>
    </w:rPr>
  </w:style>
  <w:style w:type="character" w:customStyle="1" w:styleId="1760">
    <w:name w:val="hb3 Char1"/>
    <w:semiHidden/>
    <w:qFormat/>
    <w:uiPriority w:val="0"/>
    <w:rPr>
      <w:rFonts w:ascii="宋体" w:hAnsi="宋体" w:eastAsia="宋体"/>
      <w:b/>
      <w:bCs/>
      <w:sz w:val="28"/>
      <w:szCs w:val="32"/>
      <w:lang w:val="en-US" w:eastAsia="zh-CN" w:bidi="ar-SA"/>
    </w:rPr>
  </w:style>
  <w:style w:type="character" w:customStyle="1" w:styleId="1761">
    <w:name w:val="ft41"/>
    <w:semiHidden/>
    <w:qFormat/>
    <w:uiPriority w:val="0"/>
    <w:rPr>
      <w:rFonts w:hint="eastAsia" w:ascii="@黑体" w:hAnsi="@黑体" w:eastAsia="@黑体"/>
      <w:color w:val="000000"/>
      <w:sz w:val="18"/>
      <w:szCs w:val="18"/>
    </w:rPr>
  </w:style>
  <w:style w:type="character" w:customStyle="1" w:styleId="1762">
    <w:name w:val="sub42"/>
    <w:qFormat/>
    <w:uiPriority w:val="0"/>
  </w:style>
  <w:style w:type="character" w:customStyle="1" w:styleId="1763">
    <w:name w:val="e91"/>
    <w:qFormat/>
    <w:uiPriority w:val="0"/>
    <w:rPr>
      <w:rFonts w:hint="default" w:ascii="Arial" w:hAnsi="Arial" w:cs="Arial"/>
      <w:spacing w:val="384"/>
      <w:sz w:val="21"/>
      <w:szCs w:val="21"/>
    </w:rPr>
  </w:style>
  <w:style w:type="character" w:customStyle="1" w:styleId="1764">
    <w:name w:val="postbody"/>
    <w:qFormat/>
    <w:uiPriority w:val="0"/>
  </w:style>
  <w:style w:type="character" w:customStyle="1" w:styleId="1765">
    <w:name w:val="zhenwen141"/>
    <w:qFormat/>
    <w:uiPriority w:val="0"/>
    <w:rPr>
      <w:rFonts w:hint="default" w:ascii="ˎ̥" w:hAnsi="ˎ̥"/>
      <w:sz w:val="20"/>
      <w:szCs w:val="20"/>
    </w:rPr>
  </w:style>
  <w:style w:type="character" w:customStyle="1" w:styleId="1766">
    <w:name w:val="Char Char312"/>
    <w:qFormat/>
    <w:uiPriority w:val="0"/>
    <w:rPr>
      <w:rFonts w:ascii="Arial" w:hAnsi="Arial" w:eastAsia="仿宋_GB2312" w:cs="Times New Roman"/>
      <w:i/>
      <w:iCs/>
      <w:kern w:val="0"/>
      <w:sz w:val="24"/>
      <w:szCs w:val="20"/>
    </w:rPr>
  </w:style>
  <w:style w:type="character" w:customStyle="1" w:styleId="1767">
    <w:name w:val="Char Char34"/>
    <w:qFormat/>
    <w:uiPriority w:val="0"/>
    <w:rPr>
      <w:rFonts w:ascii="宋体" w:hAnsi="Times New Roman" w:eastAsia="宋体" w:cs="Times New Roman"/>
      <w:sz w:val="24"/>
      <w:szCs w:val="20"/>
    </w:rPr>
  </w:style>
  <w:style w:type="character" w:customStyle="1" w:styleId="1768">
    <w:name w:val="14p1"/>
    <w:semiHidden/>
    <w:qFormat/>
    <w:uiPriority w:val="0"/>
    <w:rPr>
      <w:sz w:val="21"/>
      <w:szCs w:val="21"/>
    </w:rPr>
  </w:style>
  <w:style w:type="character" w:customStyle="1" w:styleId="1769">
    <w:name w:val="批注主题 Char1"/>
    <w:qFormat/>
    <w:uiPriority w:val="0"/>
    <w:rPr>
      <w:rFonts w:ascii="Times New Roman" w:hAnsi="Times New Roman" w:eastAsia="宋体" w:cs="Times New Roman"/>
      <w:b/>
      <w:bCs/>
      <w:kern w:val="2"/>
      <w:sz w:val="21"/>
      <w:szCs w:val="24"/>
      <w:lang w:val="en-US" w:eastAsia="zh-CN" w:bidi="ar-SA"/>
    </w:rPr>
  </w:style>
  <w:style w:type="character" w:customStyle="1" w:styleId="1770">
    <w:name w:val="info"/>
    <w:semiHidden/>
    <w:qFormat/>
    <w:uiPriority w:val="0"/>
  </w:style>
  <w:style w:type="character" w:customStyle="1" w:styleId="1771">
    <w:name w:val="detailinfo1"/>
    <w:qFormat/>
    <w:uiPriority w:val="0"/>
  </w:style>
  <w:style w:type="character" w:customStyle="1" w:styleId="1772">
    <w:name w:val="章标题1 Char"/>
    <w:qFormat/>
    <w:uiPriority w:val="0"/>
    <w:rPr>
      <w:rFonts w:ascii="宋体" w:hAnsi="宋体" w:eastAsia="宋体"/>
      <w:b/>
      <w:bCs/>
      <w:sz w:val="30"/>
      <w:szCs w:val="30"/>
    </w:rPr>
  </w:style>
  <w:style w:type="character" w:customStyle="1" w:styleId="1773">
    <w:name w:val="zhei"/>
    <w:semiHidden/>
    <w:qFormat/>
    <w:uiPriority w:val="0"/>
  </w:style>
  <w:style w:type="character" w:customStyle="1" w:styleId="1774">
    <w:name w:val="Char Char181"/>
    <w:qFormat/>
    <w:uiPriority w:val="0"/>
    <w:rPr>
      <w:rFonts w:ascii="Arial" w:hAnsi="Arial" w:eastAsia="宋体" w:cs="Arial"/>
      <w:b/>
      <w:bCs/>
      <w:kern w:val="2"/>
      <w:sz w:val="28"/>
      <w:szCs w:val="28"/>
      <w:lang w:val="en-US" w:eastAsia="zh-CN" w:bidi="ar-SA"/>
    </w:rPr>
  </w:style>
  <w:style w:type="character" w:customStyle="1" w:styleId="1775">
    <w:name w:val="color_huei1"/>
    <w:semiHidden/>
    <w:qFormat/>
    <w:uiPriority w:val="0"/>
    <w:rPr>
      <w:color w:val="666666"/>
    </w:rPr>
  </w:style>
  <w:style w:type="character" w:customStyle="1" w:styleId="1776">
    <w:name w:val="dan7-1表头7 Char"/>
    <w:link w:val="1777"/>
    <w:semiHidden/>
    <w:qFormat/>
    <w:uiPriority w:val="0"/>
    <w:rPr>
      <w:rFonts w:eastAsia="黑体"/>
      <w:sz w:val="24"/>
      <w:szCs w:val="24"/>
    </w:rPr>
  </w:style>
  <w:style w:type="paragraph" w:customStyle="1" w:styleId="1777">
    <w:name w:val="dan7-1表头7"/>
    <w:basedOn w:val="1"/>
    <w:link w:val="1776"/>
    <w:semiHidden/>
    <w:qFormat/>
    <w:uiPriority w:val="0"/>
    <w:pPr>
      <w:tabs>
        <w:tab w:val="center" w:pos="0"/>
        <w:tab w:val="left" w:pos="2100"/>
      </w:tabs>
      <w:spacing w:before="40" w:after="40" w:line="360" w:lineRule="auto"/>
      <w:ind w:left="2100" w:hanging="360"/>
      <w:jc w:val="center"/>
    </w:pPr>
    <w:rPr>
      <w:rFonts w:eastAsia="黑体"/>
      <w:kern w:val="0"/>
      <w:sz w:val="24"/>
    </w:rPr>
  </w:style>
  <w:style w:type="character" w:customStyle="1" w:styleId="1778">
    <w:name w:val="Char Char321"/>
    <w:semiHidden/>
    <w:qFormat/>
    <w:uiPriority w:val="0"/>
    <w:rPr>
      <w:rFonts w:ascii="Times New Roman" w:hAnsi="Times New Roman" w:eastAsia="宋体" w:cs="Times New Roman"/>
      <w:kern w:val="0"/>
      <w:sz w:val="18"/>
      <w:szCs w:val="24"/>
    </w:rPr>
  </w:style>
  <w:style w:type="character" w:customStyle="1" w:styleId="1779">
    <w:name w:val="样式 正文1 + 首行缩进:  2 字符 Char"/>
    <w:link w:val="1780"/>
    <w:qFormat/>
    <w:uiPriority w:val="0"/>
  </w:style>
  <w:style w:type="paragraph" w:customStyle="1" w:styleId="1780">
    <w:name w:val="样式 正文1 + 首行缩进:  2 字符"/>
    <w:basedOn w:val="1"/>
    <w:link w:val="1779"/>
    <w:qFormat/>
    <w:uiPriority w:val="0"/>
    <w:rPr>
      <w:kern w:val="0"/>
      <w:sz w:val="20"/>
      <w:szCs w:val="20"/>
    </w:rPr>
  </w:style>
  <w:style w:type="character" w:customStyle="1" w:styleId="1781">
    <w:name w:val="hhcwt标题2 Char"/>
    <w:link w:val="1782"/>
    <w:qFormat/>
    <w:uiPriority w:val="0"/>
    <w:rPr>
      <w:rFonts w:eastAsia="黑体"/>
      <w:kern w:val="2"/>
      <w:sz w:val="32"/>
    </w:rPr>
  </w:style>
  <w:style w:type="paragraph" w:customStyle="1" w:styleId="1782">
    <w:name w:val="hhcwt标题2"/>
    <w:basedOn w:val="1"/>
    <w:link w:val="1781"/>
    <w:qFormat/>
    <w:uiPriority w:val="0"/>
    <w:pPr>
      <w:keepNext/>
      <w:keepLines/>
      <w:spacing w:before="120" w:after="120" w:line="336" w:lineRule="auto"/>
      <w:outlineLvl w:val="1"/>
    </w:pPr>
    <w:rPr>
      <w:rFonts w:eastAsia="黑体"/>
      <w:sz w:val="32"/>
      <w:szCs w:val="20"/>
    </w:rPr>
  </w:style>
  <w:style w:type="character" w:customStyle="1" w:styleId="1783">
    <w:name w:val="1a正文 Char"/>
    <w:link w:val="1784"/>
    <w:semiHidden/>
    <w:qFormat/>
    <w:uiPriority w:val="0"/>
    <w:rPr>
      <w:rFonts w:ascii="宋体" w:hAnsi="宋体"/>
      <w:color w:val="000000"/>
      <w:kern w:val="2"/>
      <w:sz w:val="24"/>
      <w:szCs w:val="24"/>
    </w:rPr>
  </w:style>
  <w:style w:type="paragraph" w:customStyle="1" w:styleId="1784">
    <w:name w:val="1a正文"/>
    <w:basedOn w:val="1"/>
    <w:link w:val="1783"/>
    <w:semiHidden/>
    <w:qFormat/>
    <w:uiPriority w:val="0"/>
    <w:pPr>
      <w:spacing w:line="360" w:lineRule="auto"/>
      <w:ind w:firstLine="480" w:firstLineChars="200"/>
    </w:pPr>
    <w:rPr>
      <w:rFonts w:ascii="宋体" w:hAnsi="宋体"/>
      <w:color w:val="000000"/>
      <w:sz w:val="24"/>
    </w:rPr>
  </w:style>
  <w:style w:type="character" w:customStyle="1" w:styleId="1785">
    <w:name w:val="结束语 Char1"/>
    <w:qFormat/>
    <w:uiPriority w:val="0"/>
    <w:rPr>
      <w:kern w:val="2"/>
      <w:sz w:val="21"/>
      <w:szCs w:val="24"/>
    </w:rPr>
  </w:style>
  <w:style w:type="character" w:customStyle="1" w:styleId="1786">
    <w:name w:val="zw1"/>
    <w:qFormat/>
    <w:uiPriority w:val="0"/>
    <w:rPr>
      <w:rFonts w:hint="eastAsia" w:ascii="宋体" w:hAnsi="宋体" w:eastAsia="宋体"/>
      <w:sz w:val="22"/>
      <w:szCs w:val="22"/>
    </w:rPr>
  </w:style>
  <w:style w:type="character" w:customStyle="1" w:styleId="1787">
    <w:name w:val="style101"/>
    <w:qFormat/>
    <w:uiPriority w:val="0"/>
    <w:rPr>
      <w:sz w:val="18"/>
      <w:szCs w:val="18"/>
    </w:rPr>
  </w:style>
  <w:style w:type="character" w:customStyle="1" w:styleId="1788">
    <w:name w:val="Char Char22"/>
    <w:qFormat/>
    <w:uiPriority w:val="0"/>
    <w:rPr>
      <w:rFonts w:ascii="@黑体" w:hAnsi="@黑体"/>
      <w:kern w:val="2"/>
      <w:sz w:val="21"/>
      <w:szCs w:val="24"/>
    </w:rPr>
  </w:style>
  <w:style w:type="character" w:customStyle="1" w:styleId="1789">
    <w:name w:val="标题2 Char Char"/>
    <w:qFormat/>
    <w:uiPriority w:val="0"/>
    <w:rPr>
      <w:rFonts w:ascii="Arial" w:hAnsi="Arial" w:eastAsia="宋体"/>
      <w:b/>
      <w:bCs/>
      <w:kern w:val="2"/>
      <w:sz w:val="28"/>
      <w:szCs w:val="32"/>
      <w:lang w:val="en-US" w:eastAsia="zh-CN" w:bidi="ar-SA"/>
    </w:rPr>
  </w:style>
  <w:style w:type="character" w:customStyle="1" w:styleId="1790">
    <w:name w:val="font14px1"/>
    <w:semiHidden/>
    <w:qFormat/>
    <w:uiPriority w:val="0"/>
    <w:rPr>
      <w:rFonts w:hint="default" w:ascii="ˎ̥" w:hAnsi="ˎ̥"/>
      <w:color w:val="0A0A0A"/>
      <w:sz w:val="21"/>
      <w:szCs w:val="21"/>
    </w:rPr>
  </w:style>
  <w:style w:type="character" w:customStyle="1" w:styleId="1791">
    <w:name w:val="表左 Char"/>
    <w:link w:val="1792"/>
    <w:qFormat/>
    <w:uiPriority w:val="0"/>
    <w:rPr>
      <w:rFonts w:ascii="宋体" w:hAnsi="宋体"/>
      <w:color w:val="000000"/>
      <w:sz w:val="24"/>
    </w:rPr>
  </w:style>
  <w:style w:type="paragraph" w:customStyle="1" w:styleId="1792">
    <w:name w:val="表左"/>
    <w:basedOn w:val="1"/>
    <w:link w:val="1791"/>
    <w:qFormat/>
    <w:uiPriority w:val="0"/>
    <w:pPr>
      <w:keepNext/>
      <w:spacing w:line="200" w:lineRule="atLeast"/>
      <w:ind w:left="84" w:leftChars="30" w:right="84" w:rightChars="30"/>
      <w:jc w:val="center"/>
    </w:pPr>
    <w:rPr>
      <w:rFonts w:ascii="宋体" w:hAnsi="宋体"/>
      <w:color w:val="000000"/>
      <w:kern w:val="0"/>
      <w:sz w:val="24"/>
      <w:szCs w:val="20"/>
    </w:rPr>
  </w:style>
  <w:style w:type="character" w:customStyle="1" w:styleId="1793">
    <w:name w:val="article11"/>
    <w:qFormat/>
    <w:uiPriority w:val="0"/>
    <w:rPr>
      <w:color w:val="333333"/>
      <w:sz w:val="21"/>
      <w:szCs w:val="21"/>
    </w:rPr>
  </w:style>
  <w:style w:type="character" w:customStyle="1" w:styleId="1794">
    <w:name w:val="sj4lab"/>
    <w:qFormat/>
    <w:uiPriority w:val="0"/>
  </w:style>
  <w:style w:type="character" w:customStyle="1" w:styleId="1795">
    <w:name w:val="article"/>
    <w:qFormat/>
    <w:uiPriority w:val="0"/>
  </w:style>
  <w:style w:type="character" w:customStyle="1" w:styleId="1796">
    <w:name w:val="000 Char"/>
    <w:link w:val="1797"/>
    <w:semiHidden/>
    <w:qFormat/>
    <w:uiPriority w:val="0"/>
    <w:rPr>
      <w:sz w:val="24"/>
      <w:szCs w:val="24"/>
    </w:rPr>
  </w:style>
  <w:style w:type="paragraph" w:customStyle="1" w:styleId="1797">
    <w:name w:val="000"/>
    <w:basedOn w:val="1"/>
    <w:link w:val="1796"/>
    <w:semiHidden/>
    <w:qFormat/>
    <w:uiPriority w:val="0"/>
    <w:pPr>
      <w:spacing w:line="360" w:lineRule="auto"/>
      <w:ind w:firstLine="480" w:firstLineChars="200"/>
    </w:pPr>
    <w:rPr>
      <w:kern w:val="0"/>
      <w:sz w:val="24"/>
    </w:rPr>
  </w:style>
  <w:style w:type="character" w:customStyle="1" w:styleId="1798">
    <w:name w:val="标题01 Char Char"/>
    <w:semiHidden/>
    <w:qFormat/>
    <w:uiPriority w:val="0"/>
    <w:rPr>
      <w:rFonts w:eastAsia="@黑体"/>
      <w:b/>
      <w:kern w:val="2"/>
      <w:sz w:val="30"/>
      <w:szCs w:val="24"/>
      <w:lang w:val="en-US" w:eastAsia="zh-CN" w:bidi="ar-SA"/>
    </w:rPr>
  </w:style>
  <w:style w:type="character" w:customStyle="1" w:styleId="1799">
    <w:name w:val="Char Char331"/>
    <w:semiHidden/>
    <w:qFormat/>
    <w:uiPriority w:val="0"/>
    <w:rPr>
      <w:rFonts w:ascii="Arial" w:hAnsi="Arial" w:eastAsia="仿宋_GB2312" w:cs="Times New Roman"/>
      <w:kern w:val="0"/>
      <w:sz w:val="18"/>
      <w:szCs w:val="18"/>
    </w:rPr>
  </w:style>
  <w:style w:type="character" w:customStyle="1" w:styleId="1800">
    <w:name w:val="标题 1 Char4"/>
    <w:qFormat/>
    <w:uiPriority w:val="0"/>
    <w:rPr>
      <w:rFonts w:ascii="宋体" w:hAnsi="宋体" w:eastAsia="宋体"/>
      <w:b/>
      <w:bCs/>
      <w:kern w:val="44"/>
      <w:sz w:val="44"/>
      <w:szCs w:val="44"/>
      <w:lang w:val="en-US" w:eastAsia="zh-CN" w:bidi="ar-SA"/>
    </w:rPr>
  </w:style>
  <w:style w:type="character" w:customStyle="1" w:styleId="1801">
    <w:name w:val="正文文字缩进 2 Char Char"/>
    <w:qFormat/>
    <w:uiPriority w:val="0"/>
    <w:rPr>
      <w:rFonts w:ascii="宋体" w:hAnsi="宋体"/>
      <w:kern w:val="2"/>
      <w:sz w:val="24"/>
      <w:szCs w:val="24"/>
    </w:rPr>
  </w:style>
  <w:style w:type="character" w:customStyle="1" w:styleId="1802">
    <w:name w:val="javascript1"/>
    <w:qFormat/>
    <w:uiPriority w:val="0"/>
    <w:rPr>
      <w:rFonts w:hint="default" w:ascii="Tahoma" w:hAnsi="Tahoma" w:cs="Tahoma"/>
      <w:sz w:val="14"/>
      <w:szCs w:val="14"/>
    </w:rPr>
  </w:style>
  <w:style w:type="character" w:customStyle="1" w:styleId="1803">
    <w:name w:val="段落(G) Char"/>
    <w:link w:val="1804"/>
    <w:semiHidden/>
    <w:qFormat/>
    <w:uiPriority w:val="0"/>
    <w:rPr>
      <w:color w:val="000000"/>
      <w:kern w:val="24"/>
      <w:sz w:val="24"/>
      <w:szCs w:val="24"/>
      <w:lang w:val="zh-CN"/>
    </w:rPr>
  </w:style>
  <w:style w:type="paragraph" w:customStyle="1" w:styleId="1804">
    <w:name w:val="段落(G)"/>
    <w:basedOn w:val="1"/>
    <w:link w:val="1803"/>
    <w:semiHidden/>
    <w:qFormat/>
    <w:uiPriority w:val="0"/>
    <w:pPr>
      <w:tabs>
        <w:tab w:val="left" w:pos="1021"/>
        <w:tab w:val="left" w:pos="1320"/>
      </w:tabs>
      <w:spacing w:line="360" w:lineRule="auto"/>
      <w:ind w:firstLine="480" w:firstLineChars="200"/>
    </w:pPr>
    <w:rPr>
      <w:color w:val="000000"/>
      <w:kern w:val="24"/>
      <w:sz w:val="24"/>
      <w:lang w:val="zh-CN"/>
    </w:rPr>
  </w:style>
  <w:style w:type="character" w:customStyle="1" w:styleId="1805">
    <w:name w:val="Char Char410"/>
    <w:qFormat/>
    <w:uiPriority w:val="0"/>
    <w:rPr>
      <w:rFonts w:eastAsia="宋体"/>
      <w:b/>
      <w:bCs/>
      <w:kern w:val="2"/>
      <w:sz w:val="32"/>
      <w:szCs w:val="32"/>
      <w:lang w:val="en-US" w:eastAsia="zh-CN" w:bidi="ar-SA"/>
    </w:rPr>
  </w:style>
  <w:style w:type="character" w:customStyle="1" w:styleId="1806">
    <w:name w:val="标题 3 Char Char Char Char Char Char Char Char Char1 Char Char Char"/>
    <w:qFormat/>
    <w:uiPriority w:val="0"/>
    <w:rPr>
      <w:rFonts w:eastAsia="宋体"/>
      <w:b/>
      <w:bCs/>
      <w:kern w:val="2"/>
      <w:sz w:val="32"/>
      <w:szCs w:val="32"/>
      <w:lang w:val="en-US" w:eastAsia="zh-CN" w:bidi="ar-SA"/>
    </w:rPr>
  </w:style>
  <w:style w:type="character" w:customStyle="1" w:styleId="1807">
    <w:name w:val="Char Char31"/>
    <w:qFormat/>
    <w:uiPriority w:val="0"/>
    <w:rPr>
      <w:rFonts w:eastAsia="宋体"/>
      <w:kern w:val="2"/>
      <w:sz w:val="21"/>
      <w:szCs w:val="21"/>
      <w:lang w:val="en-US" w:eastAsia="zh-CN" w:bidi="ar-SA"/>
    </w:rPr>
  </w:style>
  <w:style w:type="character" w:customStyle="1" w:styleId="1808">
    <w:name w:val="Char Char Char Char Char Char Char Char Char Char1 Char Char Char Char"/>
    <w:link w:val="1809"/>
    <w:qFormat/>
    <w:uiPriority w:val="0"/>
    <w:rPr>
      <w:kern w:val="2"/>
      <w:sz w:val="28"/>
      <w:szCs w:val="28"/>
    </w:rPr>
  </w:style>
  <w:style w:type="paragraph" w:customStyle="1" w:styleId="1809">
    <w:name w:val="Char Char Char Char Char Char Char Char Char Char1 Char Char Char"/>
    <w:basedOn w:val="1"/>
    <w:link w:val="1808"/>
    <w:qFormat/>
    <w:uiPriority w:val="0"/>
    <w:pPr>
      <w:spacing w:line="240" w:lineRule="exact"/>
      <w:ind w:firstLine="200" w:firstLineChars="200"/>
    </w:pPr>
    <w:rPr>
      <w:sz w:val="28"/>
      <w:szCs w:val="28"/>
    </w:rPr>
  </w:style>
  <w:style w:type="character" w:customStyle="1" w:styleId="1810">
    <w:name w:val="标题 5 Char Char Char Char"/>
    <w:qFormat/>
    <w:uiPriority w:val="0"/>
    <w:rPr>
      <w:rFonts w:eastAsia="宋体"/>
      <w:b/>
      <w:sz w:val="28"/>
      <w:lang w:val="en-US" w:eastAsia="zh-CN" w:bidi="ar-SA"/>
    </w:rPr>
  </w:style>
  <w:style w:type="character" w:customStyle="1" w:styleId="1811">
    <w:name w:val="报告正文1 Char"/>
    <w:semiHidden/>
    <w:qFormat/>
    <w:uiPriority w:val="0"/>
    <w:rPr>
      <w:color w:val="000000"/>
      <w:sz w:val="24"/>
      <w:szCs w:val="24"/>
    </w:rPr>
  </w:style>
  <w:style w:type="character" w:customStyle="1" w:styleId="1812">
    <w:name w:val="样式 标题 4 + (西文) Times New Roman (中文) 宋体 非加粗 段前: 0 磅 段后: 0 磅 ... Char Char"/>
    <w:semiHidden/>
    <w:qFormat/>
    <w:uiPriority w:val="0"/>
    <w:rPr>
      <w:rFonts w:ascii="Arial" w:hAnsi="Arial" w:eastAsia="宋体" w:cs="宋体"/>
      <w:b/>
      <w:bCs/>
      <w:kern w:val="28"/>
      <w:sz w:val="28"/>
      <w:szCs w:val="28"/>
      <w:lang w:val="en-US" w:eastAsia="zh-CN" w:bidi="ar-SA"/>
    </w:rPr>
  </w:style>
  <w:style w:type="character" w:customStyle="1" w:styleId="1813">
    <w:name w:val="样式 仿宋_GB2312 小四 黑色"/>
    <w:qFormat/>
    <w:uiPriority w:val="0"/>
    <w:rPr>
      <w:rFonts w:ascii="Times New Roman" w:hAnsi="Times New Roman" w:eastAsia="仿宋_GB2312" w:cs="Courier New"/>
      <w:color w:val="000000"/>
      <w:kern w:val="2"/>
      <w:sz w:val="24"/>
      <w:szCs w:val="24"/>
      <w:lang w:val="en-US" w:eastAsia="zh-CN" w:bidi="ar-SA"/>
    </w:rPr>
  </w:style>
  <w:style w:type="character" w:customStyle="1" w:styleId="1814">
    <w:name w:val="style31"/>
    <w:qFormat/>
    <w:uiPriority w:val="0"/>
    <w:rPr>
      <w:rFonts w:hint="default" w:ascii="Arial" w:hAnsi="Arial" w:cs="Arial"/>
      <w:sz w:val="18"/>
      <w:szCs w:val="18"/>
    </w:rPr>
  </w:style>
  <w:style w:type="character" w:customStyle="1" w:styleId="1815">
    <w:name w:val="表格标题博泵 Char"/>
    <w:link w:val="1816"/>
    <w:semiHidden/>
    <w:qFormat/>
    <w:uiPriority w:val="0"/>
    <w:rPr>
      <w:b/>
      <w:color w:val="000000"/>
      <w:kern w:val="2"/>
      <w:sz w:val="21"/>
    </w:rPr>
  </w:style>
  <w:style w:type="paragraph" w:customStyle="1" w:styleId="1816">
    <w:name w:val="表格标题博泵"/>
    <w:basedOn w:val="1"/>
    <w:link w:val="1815"/>
    <w:semiHidden/>
    <w:qFormat/>
    <w:uiPriority w:val="0"/>
    <w:pPr>
      <w:adjustRightInd w:val="0"/>
      <w:snapToGrid w:val="0"/>
      <w:jc w:val="center"/>
      <w:textAlignment w:val="baseline"/>
    </w:pPr>
    <w:rPr>
      <w:b/>
      <w:color w:val="000000"/>
      <w:szCs w:val="20"/>
    </w:rPr>
  </w:style>
  <w:style w:type="character" w:customStyle="1" w:styleId="1817">
    <w:name w:val="txt1501"/>
    <w:qFormat/>
    <w:uiPriority w:val="0"/>
  </w:style>
  <w:style w:type="character" w:customStyle="1" w:styleId="1818">
    <w:name w:val="标题22 Char"/>
    <w:link w:val="1819"/>
    <w:semiHidden/>
    <w:qFormat/>
    <w:uiPriority w:val="0"/>
    <w:rPr>
      <w:rFonts w:ascii="Arial" w:hAnsi="Arial"/>
      <w:b/>
      <w:sz w:val="32"/>
      <w:szCs w:val="24"/>
    </w:rPr>
  </w:style>
  <w:style w:type="paragraph" w:customStyle="1" w:styleId="1819">
    <w:name w:val="标题22"/>
    <w:basedOn w:val="4"/>
    <w:link w:val="1818"/>
    <w:semiHidden/>
    <w:qFormat/>
    <w:uiPriority w:val="0"/>
    <w:pPr>
      <w:numPr>
        <w:ilvl w:val="0"/>
        <w:numId w:val="0"/>
      </w:numPr>
      <w:tabs>
        <w:tab w:val="left" w:pos="570"/>
        <w:tab w:val="left" w:pos="6090"/>
      </w:tabs>
      <w:adjustRightInd w:val="0"/>
      <w:spacing w:before="240" w:after="120"/>
    </w:pPr>
    <w:rPr>
      <w:rFonts w:eastAsia="宋体"/>
      <w:bCs w:val="0"/>
      <w:kern w:val="0"/>
      <w:sz w:val="32"/>
      <w:szCs w:val="24"/>
      <w:lang w:val="en-US"/>
    </w:rPr>
  </w:style>
  <w:style w:type="character" w:customStyle="1" w:styleId="1820">
    <w:name w:val="mnpmenulabel1"/>
    <w:qFormat/>
    <w:uiPriority w:val="0"/>
    <w:rPr>
      <w:rFonts w:hint="default" w:ascii="Verdana" w:hAnsi="Verdana"/>
      <w:b/>
      <w:bCs/>
      <w:i/>
      <w:iCs/>
      <w:color w:val="000000"/>
      <w:sz w:val="18"/>
      <w:szCs w:val="18"/>
      <w:shd w:val="clear" w:color="auto" w:fill="F1F1F1"/>
    </w:rPr>
  </w:style>
  <w:style w:type="character" w:customStyle="1" w:styleId="1821">
    <w:name w:val="style15 style15"/>
    <w:qFormat/>
    <w:uiPriority w:val="0"/>
  </w:style>
  <w:style w:type="character" w:customStyle="1" w:styleId="1822">
    <w:name w:val="fontzoom"/>
    <w:semiHidden/>
    <w:qFormat/>
    <w:uiPriority w:val="0"/>
  </w:style>
  <w:style w:type="character" w:customStyle="1" w:styleId="1823">
    <w:name w:val="公式 首行缩进:  2 字符 Char"/>
    <w:semiHidden/>
    <w:qFormat/>
    <w:uiPriority w:val="0"/>
    <w:rPr>
      <w:rFonts w:eastAsia="宋体" w:cs="宋体"/>
      <w:kern w:val="2"/>
      <w:sz w:val="24"/>
      <w:szCs w:val="24"/>
      <w:lang w:val="en-US" w:eastAsia="zh-CN" w:bidi="ar-SA"/>
    </w:rPr>
  </w:style>
  <w:style w:type="character" w:customStyle="1" w:styleId="1824">
    <w:name w:val="s4y5"/>
    <w:qFormat/>
    <w:uiPriority w:val="0"/>
  </w:style>
  <w:style w:type="character" w:customStyle="1" w:styleId="1825">
    <w:name w:val="表格标题新 Char Char"/>
    <w:qFormat/>
    <w:uiPriority w:val="0"/>
    <w:rPr>
      <w:rFonts w:eastAsia="仿宋_GB2312"/>
      <w:b/>
      <w:snapToGrid/>
      <w:spacing w:val="10"/>
      <w:kern w:val="2"/>
      <w:sz w:val="28"/>
      <w:szCs w:val="24"/>
      <w:lang w:val="en-US" w:eastAsia="zh-CN" w:bidi="ar-SA"/>
    </w:rPr>
  </w:style>
  <w:style w:type="character" w:customStyle="1" w:styleId="1826">
    <w:name w:val="10f"/>
    <w:qFormat/>
    <w:uiPriority w:val="0"/>
  </w:style>
  <w:style w:type="character" w:customStyle="1" w:styleId="1827">
    <w:name w:val="主标题 Char Char6"/>
    <w:semiHidden/>
    <w:qFormat/>
    <w:uiPriority w:val="0"/>
    <w:rPr>
      <w:rFonts w:ascii="Arial" w:hAnsi="Arial" w:eastAsia="宋体" w:cs="Arial"/>
      <w:b/>
      <w:bCs/>
      <w:kern w:val="2"/>
      <w:sz w:val="32"/>
      <w:szCs w:val="32"/>
      <w:lang w:val="en-US" w:eastAsia="zh-CN" w:bidi="ar-SA"/>
    </w:rPr>
  </w:style>
  <w:style w:type="character" w:customStyle="1" w:styleId="1828">
    <w:name w:val="smuvt"/>
    <w:qFormat/>
    <w:uiPriority w:val="0"/>
  </w:style>
  <w:style w:type="character" w:customStyle="1" w:styleId="1829">
    <w:name w:val="环评正文文字缩进（江东模板） Char Char"/>
    <w:semiHidden/>
    <w:qFormat/>
    <w:uiPriority w:val="0"/>
    <w:rPr>
      <w:rFonts w:ascii="宋体" w:hAnsi="宋体" w:eastAsia="宋体"/>
      <w:kern w:val="2"/>
      <w:sz w:val="16"/>
      <w:szCs w:val="16"/>
      <w:lang w:val="en-US" w:eastAsia="zh-CN" w:bidi="ar-SA"/>
    </w:rPr>
  </w:style>
  <w:style w:type="character" w:customStyle="1" w:styleId="1830">
    <w:name w:val="标准文本 首行缩进:2 字符 行距1.5倍 Char"/>
    <w:semiHidden/>
    <w:qFormat/>
    <w:uiPriority w:val="0"/>
    <w:rPr>
      <w:rFonts w:eastAsia="宋体" w:cs="宋体"/>
      <w:kern w:val="2"/>
      <w:sz w:val="24"/>
      <w:szCs w:val="24"/>
      <w:lang w:val="en-US" w:eastAsia="zh-CN" w:bidi="ar-SA"/>
    </w:rPr>
  </w:style>
  <w:style w:type="character" w:customStyle="1" w:styleId="1831">
    <w:name w:val="报告书正文 Char2"/>
    <w:semiHidden/>
    <w:qFormat/>
    <w:uiPriority w:val="0"/>
    <w:rPr>
      <w:rFonts w:eastAsia="仿宋_GB2312"/>
      <w:sz w:val="28"/>
      <w:szCs w:val="24"/>
      <w:lang w:val="en-US" w:eastAsia="zh-CN" w:bidi="ar-SA"/>
    </w:rPr>
  </w:style>
  <w:style w:type="character" w:customStyle="1" w:styleId="1832">
    <w:name w:val="环标3 Char"/>
    <w:qFormat/>
    <w:uiPriority w:val="0"/>
    <w:rPr>
      <w:rFonts w:eastAsia="宋体"/>
      <w:sz w:val="24"/>
      <w:szCs w:val="24"/>
      <w:lang w:val="en-US" w:eastAsia="zh-CN" w:bidi="ar-SA"/>
    </w:rPr>
  </w:style>
  <w:style w:type="character" w:customStyle="1" w:styleId="1833">
    <w:name w:val="正文(首行缩进) Char1"/>
    <w:qFormat/>
    <w:uiPriority w:val="0"/>
    <w:rPr>
      <w:rFonts w:eastAsia="宋体"/>
      <w:snapToGrid/>
      <w:color w:val="000000"/>
      <w:sz w:val="24"/>
      <w:szCs w:val="24"/>
      <w:lang w:val="en-US" w:eastAsia="zh-CN" w:bidi="ar-SA"/>
    </w:rPr>
  </w:style>
  <w:style w:type="character" w:customStyle="1" w:styleId="1834">
    <w:name w:val="Char Char353"/>
    <w:semiHidden/>
    <w:qFormat/>
    <w:uiPriority w:val="0"/>
    <w:rPr>
      <w:rFonts w:ascii="Tahoma" w:hAnsi="Tahoma" w:eastAsia="@黑体"/>
      <w:b/>
      <w:bCs/>
      <w:kern w:val="2"/>
      <w:sz w:val="28"/>
      <w:szCs w:val="28"/>
    </w:rPr>
  </w:style>
  <w:style w:type="character" w:customStyle="1" w:styleId="1835">
    <w:name w:val="项标题(1) Char5"/>
    <w:qFormat/>
    <w:uiPriority w:val="0"/>
    <w:rPr>
      <w:rFonts w:ascii="Arial" w:hAnsi="Arial" w:eastAsia="仿宋_GB2312"/>
      <w:b/>
      <w:sz w:val="24"/>
      <w:lang w:val="en-US" w:eastAsia="zh-CN" w:bidi="ar-SA"/>
    </w:rPr>
  </w:style>
  <w:style w:type="character" w:customStyle="1" w:styleId="1836">
    <w:name w:val="Char Char461"/>
    <w:semiHidden/>
    <w:qFormat/>
    <w:uiPriority w:val="0"/>
    <w:rPr>
      <w:rFonts w:eastAsia="宋体"/>
      <w:b/>
      <w:bCs/>
      <w:kern w:val="2"/>
      <w:sz w:val="32"/>
      <w:szCs w:val="32"/>
      <w:lang w:val="en-US" w:eastAsia="zh-CN" w:bidi="ar-SA"/>
    </w:rPr>
  </w:style>
  <w:style w:type="character" w:customStyle="1" w:styleId="1837">
    <w:name w:val="px14"/>
    <w:qFormat/>
    <w:uiPriority w:val="0"/>
  </w:style>
  <w:style w:type="character" w:customStyle="1" w:styleId="1838">
    <w:name w:val="desctext1"/>
    <w:qFormat/>
    <w:uiPriority w:val="0"/>
    <w:rPr>
      <w:spacing w:val="17"/>
      <w:sz w:val="21"/>
      <w:szCs w:val="21"/>
    </w:rPr>
  </w:style>
  <w:style w:type="character" w:customStyle="1" w:styleId="1839">
    <w:name w:val="式中： Char"/>
    <w:link w:val="1840"/>
    <w:qFormat/>
    <w:uiPriority w:val="0"/>
    <w:rPr>
      <w:sz w:val="24"/>
      <w:szCs w:val="24"/>
    </w:rPr>
  </w:style>
  <w:style w:type="paragraph" w:customStyle="1" w:styleId="1840">
    <w:name w:val="式中："/>
    <w:basedOn w:val="685"/>
    <w:link w:val="1839"/>
    <w:qFormat/>
    <w:uiPriority w:val="0"/>
    <w:pPr>
      <w:widowControl w:val="0"/>
      <w:spacing w:line="440" w:lineRule="exact"/>
      <w:ind w:left="500" w:leftChars="500" w:firstLine="0" w:firstLineChars="0"/>
    </w:pPr>
    <w:rPr>
      <w:rFonts w:cs="Times New Roman"/>
      <w:color w:val="auto"/>
      <w:szCs w:val="24"/>
    </w:rPr>
  </w:style>
  <w:style w:type="character" w:customStyle="1" w:styleId="1841">
    <w:name w:val="Char Char501"/>
    <w:semiHidden/>
    <w:qFormat/>
    <w:uiPriority w:val="0"/>
    <w:rPr>
      <w:rFonts w:eastAsia="宋体"/>
      <w:kern w:val="2"/>
      <w:sz w:val="24"/>
      <w:lang w:val="en-US" w:eastAsia="zh-CN" w:bidi="ar-SA"/>
    </w:rPr>
  </w:style>
  <w:style w:type="character" w:customStyle="1" w:styleId="1842">
    <w:name w:val="主标题 Char Char3"/>
    <w:semiHidden/>
    <w:qFormat/>
    <w:uiPriority w:val="0"/>
    <w:rPr>
      <w:rFonts w:ascii="Arial" w:hAnsi="Arial" w:eastAsia="宋体" w:cs="Arial"/>
      <w:b/>
      <w:bCs/>
      <w:kern w:val="2"/>
      <w:sz w:val="32"/>
      <w:szCs w:val="32"/>
      <w:lang w:val="en-US" w:eastAsia="zh-CN" w:bidi="ar-SA"/>
    </w:rPr>
  </w:style>
  <w:style w:type="character" w:customStyle="1" w:styleId="1843">
    <w:name w:val="内容"/>
    <w:semiHidden/>
    <w:qFormat/>
    <w:uiPriority w:val="0"/>
  </w:style>
  <w:style w:type="character" w:customStyle="1" w:styleId="1844">
    <w:name w:val="正文缩进 Cha Char"/>
    <w:qFormat/>
    <w:uiPriority w:val="0"/>
    <w:rPr>
      <w:rFonts w:eastAsia="宋体"/>
      <w:kern w:val="2"/>
      <w:sz w:val="28"/>
      <w:szCs w:val="24"/>
      <w:lang w:val="en-US" w:eastAsia="zh-CN" w:bidi="ar-SA"/>
    </w:rPr>
  </w:style>
  <w:style w:type="character" w:customStyle="1" w:styleId="1845">
    <w:name w:val="项标题(1) Char2"/>
    <w:qFormat/>
    <w:uiPriority w:val="0"/>
    <w:rPr>
      <w:rFonts w:ascii="Arial" w:hAnsi="Arial" w:eastAsia="仿宋_GB2312"/>
      <w:b/>
      <w:sz w:val="24"/>
      <w:lang w:val="en-US" w:eastAsia="zh-CN" w:bidi="ar-SA"/>
    </w:rPr>
  </w:style>
  <w:style w:type="character" w:customStyle="1" w:styleId="1846">
    <w:name w:val="环表头 Char1"/>
    <w:qFormat/>
    <w:uiPriority w:val="0"/>
    <w:rPr>
      <w:rFonts w:ascii="黑体" w:hAnsi="宋体" w:eastAsia="黑体" w:cs="Courier New"/>
      <w:color w:val="000000"/>
      <w:sz w:val="24"/>
      <w:szCs w:val="24"/>
      <w:lang w:val="en-US" w:eastAsia="zh-CN" w:bidi="ar-SA"/>
    </w:rPr>
  </w:style>
  <w:style w:type="character" w:customStyle="1" w:styleId="1847">
    <w:name w:val="yqlink"/>
    <w:qFormat/>
    <w:uiPriority w:val="0"/>
  </w:style>
  <w:style w:type="character" w:customStyle="1" w:styleId="1848">
    <w:name w:val="small"/>
    <w:semiHidden/>
    <w:qFormat/>
    <w:uiPriority w:val="0"/>
  </w:style>
  <w:style w:type="character" w:customStyle="1" w:styleId="1849">
    <w:name w:val="cucd-0 Char1"/>
    <w:link w:val="1850"/>
    <w:qFormat/>
    <w:uiPriority w:val="0"/>
    <w:rPr>
      <w:sz w:val="24"/>
      <w:szCs w:val="24"/>
    </w:rPr>
  </w:style>
  <w:style w:type="paragraph" w:customStyle="1" w:styleId="1850">
    <w:name w:val="cucd-0"/>
    <w:link w:val="1849"/>
    <w:qFormat/>
    <w:uiPriority w:val="0"/>
    <w:pPr>
      <w:spacing w:line="360" w:lineRule="auto"/>
      <w:ind w:firstLine="480" w:firstLineChars="200"/>
    </w:pPr>
    <w:rPr>
      <w:rFonts w:ascii="Times New Roman" w:hAnsi="Times New Roman" w:eastAsia="宋体" w:cs="Times New Roman"/>
      <w:sz w:val="24"/>
      <w:szCs w:val="24"/>
      <w:lang w:val="en-US" w:eastAsia="zh-CN" w:bidi="ar-SA"/>
    </w:rPr>
  </w:style>
  <w:style w:type="character" w:customStyle="1" w:styleId="1851">
    <w:name w:val="霍尼韦尔 Char Char"/>
    <w:link w:val="1852"/>
    <w:semiHidden/>
    <w:qFormat/>
    <w:uiPriority w:val="0"/>
    <w:rPr>
      <w:kern w:val="2"/>
      <w:sz w:val="24"/>
    </w:rPr>
  </w:style>
  <w:style w:type="paragraph" w:customStyle="1" w:styleId="1852">
    <w:name w:val="霍尼韦尔"/>
    <w:basedOn w:val="1"/>
    <w:link w:val="1851"/>
    <w:semiHidden/>
    <w:qFormat/>
    <w:uiPriority w:val="0"/>
    <w:pPr>
      <w:spacing w:line="480" w:lineRule="exact"/>
      <w:ind w:firstLine="480" w:firstLineChars="200"/>
      <w:jc w:val="left"/>
    </w:pPr>
    <w:rPr>
      <w:sz w:val="24"/>
      <w:szCs w:val="20"/>
    </w:rPr>
  </w:style>
  <w:style w:type="character" w:customStyle="1" w:styleId="1853">
    <w:name w:val="headline-content"/>
    <w:semiHidden/>
    <w:qFormat/>
    <w:uiPriority w:val="0"/>
  </w:style>
  <w:style w:type="character" w:customStyle="1" w:styleId="1854">
    <w:name w:val="unnamed31"/>
    <w:qFormat/>
    <w:uiPriority w:val="0"/>
    <w:rPr>
      <w:sz w:val="21"/>
      <w:szCs w:val="21"/>
    </w:rPr>
  </w:style>
  <w:style w:type="character" w:customStyle="1" w:styleId="1855">
    <w:name w:val="环正文 Char2"/>
    <w:qFormat/>
    <w:uiPriority w:val="0"/>
    <w:rPr>
      <w:rFonts w:ascii="宋体" w:hAnsi="宋体" w:eastAsia="宋体"/>
      <w:sz w:val="24"/>
      <w:lang w:val="en-US" w:eastAsia="zh-CN" w:bidi="ar-SA"/>
    </w:rPr>
  </w:style>
  <w:style w:type="character" w:customStyle="1" w:styleId="1856">
    <w:name w:val="style3 style1 style4"/>
    <w:qFormat/>
    <w:uiPriority w:val="0"/>
  </w:style>
  <w:style w:type="character" w:customStyle="1" w:styleId="1857">
    <w:name w:val="4级（小）标题 Char"/>
    <w:link w:val="1858"/>
    <w:semiHidden/>
    <w:qFormat/>
    <w:uiPriority w:val="0"/>
    <w:rPr>
      <w:rFonts w:ascii="@黑体" w:hAnsi="@黑体"/>
      <w:b/>
      <w:kern w:val="2"/>
      <w:sz w:val="24"/>
      <w:szCs w:val="24"/>
    </w:rPr>
  </w:style>
  <w:style w:type="paragraph" w:customStyle="1" w:styleId="1858">
    <w:name w:val="4级（小）标题"/>
    <w:basedOn w:val="1"/>
    <w:link w:val="1857"/>
    <w:semiHidden/>
    <w:qFormat/>
    <w:uiPriority w:val="0"/>
    <w:pPr>
      <w:spacing w:before="60" w:line="360" w:lineRule="auto"/>
      <w:ind w:firstLine="150" w:firstLineChars="150"/>
      <w:outlineLvl w:val="3"/>
    </w:pPr>
    <w:rPr>
      <w:rFonts w:ascii="@黑体" w:hAnsi="@黑体"/>
      <w:b/>
      <w:sz w:val="24"/>
    </w:rPr>
  </w:style>
  <w:style w:type="character" w:customStyle="1" w:styleId="1859">
    <w:name w:val="at_2"/>
    <w:qFormat/>
    <w:uiPriority w:val="0"/>
  </w:style>
  <w:style w:type="character" w:customStyle="1" w:styleId="1860">
    <w:name w:val="Char Char51"/>
    <w:qFormat/>
    <w:uiPriority w:val="0"/>
    <w:rPr>
      <w:rFonts w:ascii="宋体" w:eastAsia="宋体"/>
      <w:kern w:val="2"/>
      <w:sz w:val="24"/>
      <w:lang w:val="en-US" w:eastAsia="zh-CN" w:bidi="ar-SA"/>
    </w:rPr>
  </w:style>
  <w:style w:type="character" w:customStyle="1" w:styleId="1861">
    <w:name w:val="兴武正文 Char"/>
    <w:semiHidden/>
    <w:qFormat/>
    <w:uiPriority w:val="0"/>
    <w:rPr>
      <w:sz w:val="24"/>
    </w:rPr>
  </w:style>
  <w:style w:type="character" w:customStyle="1" w:styleId="1862">
    <w:name w:val="四级标题 Char"/>
    <w:link w:val="1863"/>
    <w:qFormat/>
    <w:uiPriority w:val="0"/>
    <w:rPr>
      <w:b/>
      <w:spacing w:val="16"/>
      <w:kern w:val="2"/>
      <w:sz w:val="24"/>
      <w:szCs w:val="32"/>
    </w:rPr>
  </w:style>
  <w:style w:type="paragraph" w:customStyle="1" w:styleId="1863">
    <w:name w:val="四级标题"/>
    <w:basedOn w:val="1"/>
    <w:link w:val="1862"/>
    <w:qFormat/>
    <w:uiPriority w:val="0"/>
    <w:pPr>
      <w:keepNext/>
      <w:widowControl/>
      <w:tabs>
        <w:tab w:val="left" w:pos="360"/>
        <w:tab w:val="left" w:pos="1005"/>
      </w:tabs>
      <w:spacing w:before="194" w:after="194"/>
      <w:ind w:left="1005" w:hanging="435"/>
      <w:jc w:val="center"/>
      <w:outlineLvl w:val="3"/>
    </w:pPr>
    <w:rPr>
      <w:b/>
      <w:spacing w:val="16"/>
      <w:sz w:val="24"/>
      <w:szCs w:val="32"/>
    </w:rPr>
  </w:style>
  <w:style w:type="character" w:customStyle="1" w:styleId="1864">
    <w:name w:val="表、图标题 Char Char"/>
    <w:link w:val="1865"/>
    <w:semiHidden/>
    <w:qFormat/>
    <w:uiPriority w:val="0"/>
    <w:rPr>
      <w:rFonts w:ascii="@黑体" w:hAnsi="@黑体"/>
      <w:b/>
      <w:bCs/>
      <w:sz w:val="24"/>
      <w:szCs w:val="21"/>
    </w:rPr>
  </w:style>
  <w:style w:type="paragraph" w:customStyle="1" w:styleId="1865">
    <w:name w:val="表、图标题"/>
    <w:basedOn w:val="1"/>
    <w:link w:val="1864"/>
    <w:semiHidden/>
    <w:qFormat/>
    <w:uiPriority w:val="0"/>
    <w:pPr>
      <w:adjustRightInd w:val="0"/>
      <w:snapToGrid w:val="0"/>
      <w:spacing w:line="480" w:lineRule="exact"/>
      <w:jc w:val="center"/>
    </w:pPr>
    <w:rPr>
      <w:rFonts w:ascii="@黑体" w:hAnsi="@黑体"/>
      <w:b/>
      <w:bCs/>
      <w:kern w:val="0"/>
      <w:sz w:val="24"/>
      <w:szCs w:val="21"/>
    </w:rPr>
  </w:style>
  <w:style w:type="character" w:customStyle="1" w:styleId="1866">
    <w:name w:val="Char Char Char Char Char Char Char"/>
    <w:link w:val="1867"/>
    <w:qFormat/>
    <w:uiPriority w:val="0"/>
    <w:rPr>
      <w:rFonts w:ascii="宋体" w:hAnsi="宋体"/>
      <w:kern w:val="2"/>
      <w:sz w:val="24"/>
      <w:szCs w:val="24"/>
    </w:rPr>
  </w:style>
  <w:style w:type="paragraph" w:customStyle="1" w:styleId="1867">
    <w:name w:val="Char Char Char Char Char Char61"/>
    <w:basedOn w:val="1"/>
    <w:link w:val="1866"/>
    <w:qFormat/>
    <w:uiPriority w:val="0"/>
    <w:rPr>
      <w:rFonts w:ascii="宋体" w:hAnsi="宋体"/>
      <w:sz w:val="24"/>
    </w:rPr>
  </w:style>
  <w:style w:type="character" w:customStyle="1" w:styleId="1868">
    <w:name w:val="表中值 Char"/>
    <w:link w:val="1869"/>
    <w:semiHidden/>
    <w:qFormat/>
    <w:uiPriority w:val="0"/>
    <w:rPr>
      <w:spacing w:val="4"/>
    </w:rPr>
  </w:style>
  <w:style w:type="paragraph" w:customStyle="1" w:styleId="1869">
    <w:name w:val="表中值"/>
    <w:basedOn w:val="1"/>
    <w:link w:val="1868"/>
    <w:semiHidden/>
    <w:qFormat/>
    <w:uiPriority w:val="0"/>
    <w:pPr>
      <w:keepLines/>
      <w:widowControl/>
      <w:spacing w:line="360" w:lineRule="exact"/>
      <w:jc w:val="center"/>
    </w:pPr>
    <w:rPr>
      <w:spacing w:val="4"/>
      <w:kern w:val="0"/>
      <w:sz w:val="20"/>
      <w:szCs w:val="20"/>
    </w:rPr>
  </w:style>
  <w:style w:type="character" w:customStyle="1" w:styleId="1870">
    <w:name w:val="text"/>
    <w:qFormat/>
    <w:uiPriority w:val="0"/>
  </w:style>
  <w:style w:type="character" w:customStyle="1" w:styleId="1871">
    <w:name w:val="Char Char30"/>
    <w:qFormat/>
    <w:uiPriority w:val="0"/>
    <w:rPr>
      <w:rFonts w:ascii="宋体" w:hAnsi="宋体" w:eastAsia="宋体"/>
      <w:kern w:val="2"/>
      <w:sz w:val="24"/>
      <w:lang w:val="en-US" w:eastAsia="zh-CN" w:bidi="ar-SA"/>
    </w:rPr>
  </w:style>
  <w:style w:type="character" w:customStyle="1" w:styleId="1872">
    <w:name w:val="篇号"/>
    <w:qFormat/>
    <w:uiPriority w:val="0"/>
    <w:rPr>
      <w:rFonts w:eastAsia="宋体"/>
    </w:rPr>
  </w:style>
  <w:style w:type="character" w:customStyle="1" w:styleId="1873">
    <w:name w:val="dan7-1 Char"/>
    <w:link w:val="1874"/>
    <w:semiHidden/>
    <w:qFormat/>
    <w:uiPriority w:val="0"/>
    <w:rPr>
      <w:sz w:val="24"/>
      <w:szCs w:val="24"/>
    </w:rPr>
  </w:style>
  <w:style w:type="paragraph" w:customStyle="1" w:styleId="1874">
    <w:name w:val="dan7-1"/>
    <w:basedOn w:val="1"/>
    <w:link w:val="1873"/>
    <w:semiHidden/>
    <w:qFormat/>
    <w:uiPriority w:val="0"/>
    <w:pPr>
      <w:spacing w:before="40" w:after="40" w:line="360" w:lineRule="auto"/>
      <w:ind w:firstLine="200" w:firstLineChars="200"/>
    </w:pPr>
    <w:rPr>
      <w:kern w:val="0"/>
      <w:sz w:val="24"/>
    </w:rPr>
  </w:style>
  <w:style w:type="character" w:customStyle="1" w:styleId="1875">
    <w:name w:val="Char Char24"/>
    <w:qFormat/>
    <w:uiPriority w:val="0"/>
    <w:rPr>
      <w:rFonts w:ascii="Times New Roman" w:hAnsi="Times New Roman" w:eastAsia="宋体" w:cs="Times New Roman"/>
      <w:szCs w:val="24"/>
      <w:shd w:val="clear" w:color="auto" w:fill="000080"/>
    </w:rPr>
  </w:style>
  <w:style w:type="character" w:customStyle="1" w:styleId="1876">
    <w:name w:val="Char Char221"/>
    <w:semiHidden/>
    <w:qFormat/>
    <w:uiPriority w:val="0"/>
    <w:rPr>
      <w:rFonts w:eastAsia="宋体"/>
      <w:kern w:val="2"/>
      <w:sz w:val="21"/>
      <w:szCs w:val="24"/>
      <w:lang w:val="en-US" w:eastAsia="zh-CN" w:bidi="ar-SA"/>
    </w:rPr>
  </w:style>
  <w:style w:type="character" w:customStyle="1" w:styleId="1877">
    <w:name w:val="H1 Char6"/>
    <w:qFormat/>
    <w:uiPriority w:val="0"/>
    <w:rPr>
      <w:rFonts w:ascii="宋体" w:hAnsi="宋体" w:eastAsia="宋体"/>
      <w:b/>
      <w:bCs/>
      <w:kern w:val="44"/>
      <w:sz w:val="44"/>
      <w:szCs w:val="44"/>
      <w:lang w:val="en-US" w:eastAsia="zh-CN" w:bidi="ar-SA"/>
    </w:rPr>
  </w:style>
  <w:style w:type="character" w:customStyle="1" w:styleId="1878">
    <w:name w:val="主标题 Char Char1"/>
    <w:semiHidden/>
    <w:qFormat/>
    <w:uiPriority w:val="0"/>
    <w:rPr>
      <w:rFonts w:ascii="Arial" w:hAnsi="Arial" w:eastAsia="宋体" w:cs="Arial"/>
      <w:b/>
      <w:bCs/>
      <w:sz w:val="32"/>
      <w:szCs w:val="32"/>
    </w:rPr>
  </w:style>
  <w:style w:type="character" w:customStyle="1" w:styleId="1879">
    <w:name w:val="正文文字 Char Char"/>
    <w:semiHidden/>
    <w:qFormat/>
    <w:uiPriority w:val="0"/>
    <w:rPr>
      <w:rFonts w:ascii="仿宋_GB2312" w:eastAsia="仿宋_GB2312"/>
      <w:kern w:val="2"/>
      <w:sz w:val="28"/>
      <w:lang w:val="en-US" w:eastAsia="zh-CN" w:bidi="ar-SA"/>
    </w:rPr>
  </w:style>
  <w:style w:type="character" w:customStyle="1" w:styleId="1880">
    <w:name w:val="第一部分1"/>
    <w:semiHidden/>
    <w:qFormat/>
    <w:uiPriority w:val="0"/>
    <w:rPr>
      <w:rFonts w:ascii="宋体" w:hAnsi="宋体" w:eastAsia="宋体"/>
      <w:spacing w:val="800"/>
      <w:sz w:val="22"/>
      <w:szCs w:val="22"/>
    </w:rPr>
  </w:style>
  <w:style w:type="character" w:customStyle="1" w:styleId="1881">
    <w:name w:val="ca-5"/>
    <w:semiHidden/>
    <w:qFormat/>
    <w:uiPriority w:val="0"/>
  </w:style>
  <w:style w:type="character" w:customStyle="1" w:styleId="1882">
    <w:name w:val="Char Char62"/>
    <w:qFormat/>
    <w:uiPriority w:val="0"/>
    <w:rPr>
      <w:rFonts w:ascii="Arial" w:hAnsi="Arial" w:eastAsia="宋体" w:cs="Arial"/>
      <w:b/>
      <w:bCs/>
      <w:sz w:val="28"/>
      <w:szCs w:val="28"/>
    </w:rPr>
  </w:style>
  <w:style w:type="character" w:customStyle="1" w:styleId="1883">
    <w:name w:val="pt14"/>
    <w:qFormat/>
    <w:uiPriority w:val="0"/>
  </w:style>
  <w:style w:type="character" w:customStyle="1" w:styleId="1884">
    <w:name w:val="Char Char252"/>
    <w:semiHidden/>
    <w:qFormat/>
    <w:uiPriority w:val="0"/>
    <w:rPr>
      <w:rFonts w:ascii="@黑体" w:hAnsi="@黑体"/>
      <w:kern w:val="2"/>
      <w:sz w:val="21"/>
      <w:szCs w:val="24"/>
    </w:rPr>
  </w:style>
  <w:style w:type="character" w:customStyle="1" w:styleId="1885">
    <w:name w:val="特点标题 Char2"/>
    <w:semiHidden/>
    <w:qFormat/>
    <w:uiPriority w:val="0"/>
    <w:rPr>
      <w:rFonts w:eastAsia="宋体"/>
      <w:kern w:val="2"/>
      <w:sz w:val="21"/>
      <w:szCs w:val="24"/>
      <w:lang w:val="en-US" w:eastAsia="zh-CN" w:bidi="ar-SA"/>
    </w:rPr>
  </w:style>
  <w:style w:type="character" w:customStyle="1" w:styleId="1886">
    <w:name w:val="正文（首行缩进两字） Char Char1 Char Char Char Cha"/>
    <w:qFormat/>
    <w:uiPriority w:val="0"/>
    <w:rPr>
      <w:rFonts w:ascii="仿宋_GB2312" w:eastAsia="仿宋_GB2312"/>
      <w:color w:val="000000"/>
      <w:kern w:val="2"/>
      <w:sz w:val="28"/>
      <w:szCs w:val="24"/>
      <w:lang w:val="en-US" w:eastAsia="zh-CN" w:bidi="ar-SA"/>
    </w:rPr>
  </w:style>
  <w:style w:type="character" w:customStyle="1" w:styleId="1887">
    <w:name w:val="样式 黑体 小四"/>
    <w:qFormat/>
    <w:uiPriority w:val="0"/>
    <w:rPr>
      <w:rFonts w:ascii="黑体" w:hAnsi="黑体" w:eastAsia="黑体"/>
      <w:sz w:val="24"/>
    </w:rPr>
  </w:style>
  <w:style w:type="character" w:customStyle="1" w:styleId="1888">
    <w:name w:val="Char4 Char Char Char Char2"/>
    <w:qFormat/>
    <w:uiPriority w:val="0"/>
    <w:rPr>
      <w:rFonts w:ascii="Times New Roman" w:hAnsi="Times New Roman" w:eastAsia="宋体" w:cs="Times New Roman"/>
      <w:sz w:val="24"/>
      <w:szCs w:val="24"/>
    </w:rPr>
  </w:style>
  <w:style w:type="character" w:customStyle="1" w:styleId="1889">
    <w:name w:val="图表 Char"/>
    <w:link w:val="1890"/>
    <w:qFormat/>
    <w:uiPriority w:val="0"/>
    <w:rPr>
      <w:szCs w:val="24"/>
    </w:rPr>
  </w:style>
  <w:style w:type="paragraph" w:customStyle="1" w:styleId="1890">
    <w:name w:val="图表"/>
    <w:link w:val="1889"/>
    <w:qFormat/>
    <w:uiPriority w:val="0"/>
    <w:pPr>
      <w:jc w:val="center"/>
    </w:pPr>
    <w:rPr>
      <w:rFonts w:ascii="Times New Roman" w:hAnsi="Times New Roman" w:eastAsia="宋体" w:cs="Times New Roman"/>
      <w:szCs w:val="24"/>
      <w:lang w:val="en-US" w:eastAsia="zh-CN" w:bidi="ar-SA"/>
    </w:rPr>
  </w:style>
  <w:style w:type="character" w:customStyle="1" w:styleId="1891">
    <w:name w:val="l00000w00000"/>
    <w:qFormat/>
    <w:uiPriority w:val="0"/>
  </w:style>
  <w:style w:type="character" w:customStyle="1" w:styleId="1892">
    <w:name w:val="Char Char92"/>
    <w:semiHidden/>
    <w:qFormat/>
    <w:uiPriority w:val="0"/>
    <w:rPr>
      <w:rFonts w:eastAsia="宋体"/>
      <w:kern w:val="2"/>
      <w:sz w:val="18"/>
      <w:lang w:val="en-US" w:eastAsia="zh-CN" w:bidi="ar-SA"/>
    </w:rPr>
  </w:style>
  <w:style w:type="character" w:customStyle="1" w:styleId="1893">
    <w:name w:val="subtitle1"/>
    <w:qFormat/>
    <w:uiPriority w:val="0"/>
    <w:rPr>
      <w:color w:val="FF0000"/>
      <w:sz w:val="21"/>
      <w:szCs w:val="21"/>
    </w:rPr>
  </w:style>
  <w:style w:type="character" w:customStyle="1" w:styleId="1894">
    <w:name w:val="注释标题 Char1"/>
    <w:qFormat/>
    <w:uiPriority w:val="0"/>
    <w:rPr>
      <w:rFonts w:eastAsia="宋体"/>
      <w:sz w:val="18"/>
      <w:szCs w:val="24"/>
      <w:lang w:val="en-US" w:eastAsia="zh-CN" w:bidi="ar-SA"/>
    </w:rPr>
  </w:style>
  <w:style w:type="character" w:customStyle="1" w:styleId="1895">
    <w:name w:val="主标题 Char Char4"/>
    <w:semiHidden/>
    <w:qFormat/>
    <w:uiPriority w:val="0"/>
    <w:rPr>
      <w:rFonts w:ascii="Arial" w:hAnsi="Arial" w:eastAsia="宋体" w:cs="Arial"/>
      <w:b/>
      <w:bCs/>
      <w:kern w:val="2"/>
      <w:sz w:val="32"/>
      <w:szCs w:val="32"/>
      <w:lang w:val="en-US" w:eastAsia="zh-CN" w:bidi="ar-SA"/>
    </w:rPr>
  </w:style>
  <w:style w:type="character" w:customStyle="1" w:styleId="1896">
    <w:name w:val="样式 正文首行缩进 + 左侧:  2 字符 段前: 0.15 行 段后: 0.15 行 Char"/>
    <w:link w:val="1897"/>
    <w:qFormat/>
    <w:uiPriority w:val="0"/>
    <w:rPr>
      <w:kern w:val="2"/>
      <w:sz w:val="28"/>
    </w:rPr>
  </w:style>
  <w:style w:type="paragraph" w:customStyle="1" w:styleId="1897">
    <w:name w:val="样式 正文首行缩进 + 左侧:  2 字符 段前: 0.15 行 段后: 0.15 行"/>
    <w:basedOn w:val="88"/>
    <w:link w:val="1896"/>
    <w:qFormat/>
    <w:uiPriority w:val="0"/>
    <w:pPr>
      <w:widowControl w:val="0"/>
      <w:tabs>
        <w:tab w:val="left" w:pos="283"/>
      </w:tabs>
      <w:adjustRightInd w:val="0"/>
      <w:snapToGrid w:val="0"/>
      <w:spacing w:after="0" w:line="520" w:lineRule="atLeast"/>
      <w:ind w:firstLine="200" w:firstLineChars="200"/>
      <w:jc w:val="both"/>
    </w:pPr>
    <w:rPr>
      <w:rFonts w:ascii="Times New Roman" w:hAnsi="Times New Roman" w:cs="Times New Roman"/>
      <w:kern w:val="2"/>
    </w:rPr>
  </w:style>
  <w:style w:type="character" w:customStyle="1" w:styleId="1898">
    <w:name w:val="参数 Char"/>
    <w:link w:val="1899"/>
    <w:semiHidden/>
    <w:qFormat/>
    <w:uiPriority w:val="0"/>
    <w:rPr>
      <w:sz w:val="24"/>
      <w:szCs w:val="28"/>
    </w:rPr>
  </w:style>
  <w:style w:type="paragraph" w:customStyle="1" w:styleId="1899">
    <w:name w:val="参数"/>
    <w:basedOn w:val="1302"/>
    <w:link w:val="1898"/>
    <w:semiHidden/>
    <w:qFormat/>
    <w:uiPriority w:val="0"/>
    <w:pPr>
      <w:tabs>
        <w:tab w:val="left" w:pos="2340"/>
      </w:tabs>
      <w:spacing w:line="360" w:lineRule="auto"/>
      <w:ind w:firstLine="1260" w:firstLineChars="450"/>
    </w:pPr>
    <w:rPr>
      <w:sz w:val="24"/>
    </w:rPr>
  </w:style>
  <w:style w:type="character" w:customStyle="1" w:styleId="1900">
    <w:name w:val="Char Char402"/>
    <w:semiHidden/>
    <w:qFormat/>
    <w:uiPriority w:val="0"/>
    <w:rPr>
      <w:rFonts w:ascii="宋体" w:hAnsi="宋体" w:eastAsia="宋体"/>
      <w:kern w:val="2"/>
      <w:sz w:val="24"/>
      <w:lang w:val="en-US" w:eastAsia="zh-CN" w:bidi="ar-SA"/>
    </w:rPr>
  </w:style>
  <w:style w:type="character" w:customStyle="1" w:styleId="1901">
    <w:name w:val="样式 标题 1 + 四号 Char Char"/>
    <w:semiHidden/>
    <w:qFormat/>
    <w:uiPriority w:val="0"/>
    <w:rPr>
      <w:rFonts w:eastAsia="宋体" w:cs="Times New Roman"/>
      <w:bCs/>
      <w:kern w:val="44"/>
      <w:sz w:val="44"/>
      <w:szCs w:val="44"/>
      <w:lang w:val="en-US" w:eastAsia="zh-CN" w:bidi="ar-SA"/>
    </w:rPr>
  </w:style>
  <w:style w:type="character" w:customStyle="1" w:styleId="1902">
    <w:name w:val="soqzabs"/>
    <w:qFormat/>
    <w:uiPriority w:val="0"/>
  </w:style>
  <w:style w:type="character" w:customStyle="1" w:styleId="1903">
    <w:name w:val="product_all_main_text"/>
    <w:qFormat/>
    <w:uiPriority w:val="0"/>
  </w:style>
  <w:style w:type="character" w:customStyle="1" w:styleId="1904">
    <w:name w:val="框图正文 Char Char"/>
    <w:qFormat/>
    <w:uiPriority w:val="0"/>
    <w:rPr>
      <w:rFonts w:eastAsia="宋体"/>
      <w:kern w:val="2"/>
      <w:sz w:val="21"/>
      <w:szCs w:val="24"/>
      <w:lang w:val="en-US" w:eastAsia="zh-CN" w:bidi="ar-SA"/>
    </w:rPr>
  </w:style>
  <w:style w:type="character" w:customStyle="1" w:styleId="1905">
    <w:name w:val="font1"/>
    <w:qFormat/>
    <w:uiPriority w:val="0"/>
    <w:rPr>
      <w:rFonts w:hint="default" w:ascii="Verdana" w:hAnsi="Verdana" w:eastAsia="宋体"/>
      <w:kern w:val="2"/>
      <w:sz w:val="18"/>
      <w:szCs w:val="18"/>
      <w:lang w:val="en-US" w:eastAsia="zh-CN" w:bidi="ar-SA"/>
    </w:rPr>
  </w:style>
  <w:style w:type="character" w:customStyle="1" w:styleId="1906">
    <w:name w:val="日期 Char Char Char Char Char"/>
    <w:semiHidden/>
    <w:qFormat/>
    <w:uiPriority w:val="0"/>
    <w:rPr>
      <w:rFonts w:ascii="宋体" w:eastAsia="宋体"/>
      <w:kern w:val="2"/>
      <w:sz w:val="24"/>
      <w:lang w:val="en-US" w:eastAsia="zh-CN" w:bidi="ar-SA"/>
    </w:rPr>
  </w:style>
  <w:style w:type="character" w:customStyle="1" w:styleId="1907">
    <w:name w:val="px141"/>
    <w:qFormat/>
    <w:uiPriority w:val="0"/>
    <w:rPr>
      <w:rFonts w:hint="default"/>
      <w:sz w:val="21"/>
      <w:szCs w:val="21"/>
    </w:rPr>
  </w:style>
  <w:style w:type="character" w:customStyle="1" w:styleId="1908">
    <w:name w:val="Char Char65"/>
    <w:link w:val="1909"/>
    <w:qFormat/>
    <w:uiPriority w:val="0"/>
    <w:rPr>
      <w:b/>
      <w:bCs/>
      <w:kern w:val="44"/>
      <w:sz w:val="44"/>
      <w:szCs w:val="44"/>
    </w:rPr>
  </w:style>
  <w:style w:type="paragraph" w:customStyle="1" w:styleId="1909">
    <w:name w:val="Char6"/>
    <w:basedOn w:val="1"/>
    <w:link w:val="1908"/>
    <w:qFormat/>
    <w:uiPriority w:val="0"/>
    <w:pPr>
      <w:autoSpaceDE w:val="0"/>
      <w:autoSpaceDN w:val="0"/>
      <w:adjustRightInd w:val="0"/>
      <w:snapToGrid w:val="0"/>
      <w:spacing w:before="50" w:after="50" w:line="360" w:lineRule="auto"/>
      <w:ind w:firstLine="560" w:firstLineChars="200"/>
    </w:pPr>
    <w:rPr>
      <w:b/>
      <w:bCs/>
      <w:kern w:val="44"/>
      <w:sz w:val="44"/>
      <w:szCs w:val="44"/>
    </w:rPr>
  </w:style>
  <w:style w:type="character" w:customStyle="1" w:styleId="1910">
    <w:name w:val="标题5"/>
    <w:semiHidden/>
    <w:qFormat/>
    <w:uiPriority w:val="0"/>
  </w:style>
  <w:style w:type="character" w:customStyle="1" w:styleId="1911">
    <w:name w:val="word21"/>
    <w:qFormat/>
    <w:uiPriority w:val="0"/>
    <w:rPr>
      <w:b/>
      <w:bCs/>
      <w:color w:val="0040A6"/>
      <w:spacing w:val="315"/>
      <w:sz w:val="20"/>
      <w:szCs w:val="20"/>
    </w:rPr>
  </w:style>
  <w:style w:type="character" w:customStyle="1" w:styleId="1912">
    <w:name w:val="样式 (中文) 仿宋_GB2312 四号"/>
    <w:semiHidden/>
    <w:qFormat/>
    <w:uiPriority w:val="0"/>
    <w:rPr>
      <w:rFonts w:eastAsia="仿宋_GB2312"/>
      <w:sz w:val="24"/>
    </w:rPr>
  </w:style>
  <w:style w:type="character" w:customStyle="1" w:styleId="1913">
    <w:name w:val="p31"/>
    <w:qFormat/>
    <w:uiPriority w:val="0"/>
    <w:rPr>
      <w:rFonts w:hint="eastAsia" w:ascii="文鼎粗行楷简" w:eastAsia="文鼎粗行楷简"/>
      <w:color w:val="FF0000"/>
      <w:sz w:val="30"/>
      <w:szCs w:val="30"/>
    </w:rPr>
  </w:style>
  <w:style w:type="character" w:customStyle="1" w:styleId="1914">
    <w:name w:val="h9 Char"/>
    <w:semiHidden/>
    <w:qFormat/>
    <w:uiPriority w:val="0"/>
    <w:rPr>
      <w:rFonts w:ascii="Arial" w:hAnsi="Arial" w:eastAsia="黑体"/>
      <w:kern w:val="2"/>
      <w:sz w:val="24"/>
      <w:lang w:val="en-US" w:eastAsia="zh-CN" w:bidi="ar-SA"/>
    </w:rPr>
  </w:style>
  <w:style w:type="character" w:customStyle="1" w:styleId="1915">
    <w:name w:val="H6 Char2"/>
    <w:qFormat/>
    <w:uiPriority w:val="9"/>
    <w:rPr>
      <w:rFonts w:ascii="Arial" w:hAnsi="Arial" w:eastAsia="黑体"/>
      <w:b/>
      <w:sz w:val="24"/>
      <w:lang w:val="en-US" w:eastAsia="zh-CN" w:bidi="ar-SA"/>
    </w:rPr>
  </w:style>
  <w:style w:type="character" w:customStyle="1" w:styleId="1916">
    <w:name w:val="+正文 Char"/>
    <w:link w:val="1917"/>
    <w:qFormat/>
    <w:uiPriority w:val="0"/>
    <w:rPr>
      <w:kern w:val="2"/>
      <w:sz w:val="28"/>
      <w:szCs w:val="28"/>
    </w:rPr>
  </w:style>
  <w:style w:type="paragraph" w:customStyle="1" w:styleId="1917">
    <w:name w:val="+正文"/>
    <w:basedOn w:val="1"/>
    <w:link w:val="1916"/>
    <w:qFormat/>
    <w:uiPriority w:val="0"/>
    <w:pPr>
      <w:spacing w:line="360" w:lineRule="auto"/>
      <w:ind w:firstLine="200" w:firstLineChars="200"/>
    </w:pPr>
    <w:rPr>
      <w:sz w:val="28"/>
      <w:szCs w:val="28"/>
    </w:rPr>
  </w:style>
  <w:style w:type="character" w:customStyle="1" w:styleId="1918">
    <w:name w:val="menu-text1"/>
    <w:semiHidden/>
    <w:qFormat/>
    <w:uiPriority w:val="0"/>
    <w:rPr>
      <w:rFonts w:hint="default" w:ascii="黑体" w:hAnsi="黑体"/>
      <w:color w:val="333333"/>
      <w:sz w:val="21"/>
      <w:szCs w:val="21"/>
      <w:u w:val="none"/>
    </w:rPr>
  </w:style>
  <w:style w:type="character" w:customStyle="1" w:styleId="1919">
    <w:name w:val="h8 Char1"/>
    <w:qFormat/>
    <w:uiPriority w:val="0"/>
    <w:rPr>
      <w:rFonts w:ascii="Arial" w:hAnsi="Arial" w:eastAsia="黑体"/>
      <w:sz w:val="24"/>
      <w:lang w:val="en-US" w:eastAsia="zh-CN" w:bidi="ar-SA"/>
    </w:rPr>
  </w:style>
  <w:style w:type="character" w:customStyle="1" w:styleId="1920">
    <w:name w:val="sz3evj"/>
    <w:qFormat/>
    <w:uiPriority w:val="0"/>
  </w:style>
  <w:style w:type="character" w:customStyle="1" w:styleId="1921">
    <w:name w:val="Job"/>
    <w:semiHidden/>
    <w:qFormat/>
    <w:uiPriority w:val="0"/>
  </w:style>
  <w:style w:type="character" w:customStyle="1" w:styleId="1922">
    <w:name w:val="haogao1"/>
    <w:qFormat/>
    <w:uiPriority w:val="0"/>
  </w:style>
  <w:style w:type="character" w:customStyle="1" w:styleId="1923">
    <w:name w:val="t_01"/>
    <w:semiHidden/>
    <w:qFormat/>
    <w:uiPriority w:val="0"/>
  </w:style>
  <w:style w:type="character" w:customStyle="1" w:styleId="1924">
    <w:name w:val="sh141"/>
    <w:qFormat/>
    <w:uiPriority w:val="0"/>
    <w:rPr>
      <w:color w:val="2B2B2B"/>
      <w:sz w:val="18"/>
      <w:szCs w:val="18"/>
    </w:rPr>
  </w:style>
  <w:style w:type="character" w:customStyle="1" w:styleId="1925">
    <w:name w:val="111表格 Char"/>
    <w:link w:val="1926"/>
    <w:semiHidden/>
    <w:qFormat/>
    <w:uiPriority w:val="0"/>
    <w:rPr>
      <w:kern w:val="2"/>
      <w:sz w:val="21"/>
      <w:szCs w:val="21"/>
    </w:rPr>
  </w:style>
  <w:style w:type="paragraph" w:customStyle="1" w:styleId="1926">
    <w:name w:val="111表格"/>
    <w:basedOn w:val="1"/>
    <w:link w:val="1925"/>
    <w:semiHidden/>
    <w:qFormat/>
    <w:uiPriority w:val="0"/>
    <w:pPr>
      <w:jc w:val="center"/>
    </w:pPr>
    <w:rPr>
      <w:szCs w:val="21"/>
    </w:rPr>
  </w:style>
  <w:style w:type="character" w:customStyle="1" w:styleId="1927">
    <w:name w:val="Char Char162"/>
    <w:semiHidden/>
    <w:qFormat/>
    <w:uiPriority w:val="0"/>
    <w:rPr>
      <w:rFonts w:eastAsia="仿宋_GB2312"/>
      <w:kern w:val="2"/>
      <w:sz w:val="28"/>
      <w:lang w:val="en-US" w:eastAsia="zh-CN" w:bidi="ar-SA"/>
    </w:rPr>
  </w:style>
  <w:style w:type="character" w:customStyle="1" w:styleId="1928">
    <w:name w:val="正文文字缩进 2 Char Char1"/>
    <w:semiHidden/>
    <w:qFormat/>
    <w:uiPriority w:val="0"/>
    <w:rPr>
      <w:rFonts w:eastAsia="宋体"/>
      <w:kern w:val="2"/>
      <w:sz w:val="21"/>
      <w:lang w:val="en-US" w:eastAsia="zh-CN" w:bidi="ar-SA"/>
    </w:rPr>
  </w:style>
  <w:style w:type="character" w:customStyle="1" w:styleId="1929">
    <w:name w:val="lemmatitleh1"/>
    <w:qFormat/>
    <w:uiPriority w:val="0"/>
  </w:style>
  <w:style w:type="character" w:customStyle="1" w:styleId="1930">
    <w:name w:val="表格 Char Char Char Char Char Char"/>
    <w:semiHidden/>
    <w:qFormat/>
    <w:uiPriority w:val="0"/>
    <w:rPr>
      <w:rFonts w:ascii="楷体_GB2312" w:hAnsi="楷体_GB2312" w:eastAsia="楷体_GB2312" w:cs="宋体"/>
      <w:bCs/>
      <w:snapToGrid/>
      <w:kern w:val="2"/>
      <w:sz w:val="24"/>
      <w:szCs w:val="24"/>
      <w:lang w:val="en-US" w:eastAsia="zh-CN" w:bidi="ar-SA"/>
    </w:rPr>
  </w:style>
  <w:style w:type="character" w:customStyle="1" w:styleId="1931">
    <w:name w:val="样式 表格标题新 + (西文) Times New Roman Char"/>
    <w:link w:val="1932"/>
    <w:semiHidden/>
    <w:qFormat/>
    <w:uiPriority w:val="0"/>
    <w:rPr>
      <w:rFonts w:ascii="宋体" w:hAnsi="宋体" w:eastAsia="黑体"/>
      <w:b/>
      <w:bCs/>
      <w:spacing w:val="4"/>
      <w:sz w:val="24"/>
      <w:szCs w:val="24"/>
    </w:rPr>
  </w:style>
  <w:style w:type="paragraph" w:customStyle="1" w:styleId="1932">
    <w:name w:val="样式 表格标题新 + (西文) Times New Roman"/>
    <w:basedOn w:val="363"/>
    <w:link w:val="1931"/>
    <w:semiHidden/>
    <w:qFormat/>
    <w:uiPriority w:val="0"/>
    <w:pPr>
      <w:widowControl/>
      <w:adjustRightInd/>
      <w:snapToGrid/>
      <w:ind w:firstLine="561" w:firstLineChars="0"/>
      <w:jc w:val="left"/>
    </w:pPr>
    <w:rPr>
      <w:rFonts w:ascii="宋体" w:hAnsi="宋体" w:eastAsia="黑体"/>
      <w:bCs/>
      <w:snapToGrid/>
      <w:kern w:val="0"/>
      <w:szCs w:val="24"/>
      <w:lang w:val="en-US"/>
    </w:rPr>
  </w:style>
  <w:style w:type="character" w:customStyle="1" w:styleId="1933">
    <w:name w:val="dash Char4"/>
    <w:qFormat/>
    <w:uiPriority w:val="9"/>
    <w:rPr>
      <w:rFonts w:eastAsia="宋体"/>
      <w:b/>
      <w:kern w:val="2"/>
      <w:sz w:val="28"/>
      <w:lang w:val="en-US" w:eastAsia="zh-CN" w:bidi="ar-SA"/>
    </w:rPr>
  </w:style>
  <w:style w:type="character" w:customStyle="1" w:styleId="1934">
    <w:name w:val="title31"/>
    <w:semiHidden/>
    <w:qFormat/>
    <w:uiPriority w:val="0"/>
  </w:style>
  <w:style w:type="character" w:customStyle="1" w:styleId="1935">
    <w:name w:val="In Table Char"/>
    <w:link w:val="1936"/>
    <w:qFormat/>
    <w:uiPriority w:val="0"/>
    <w:rPr>
      <w:rFonts w:ascii="Tahoma" w:hAnsi="Tahoma" w:eastAsia="华文中宋"/>
      <w:kern w:val="2"/>
      <w:sz w:val="21"/>
    </w:rPr>
  </w:style>
  <w:style w:type="paragraph" w:customStyle="1" w:styleId="1936">
    <w:name w:val="In Table"/>
    <w:basedOn w:val="1"/>
    <w:link w:val="1935"/>
    <w:qFormat/>
    <w:uiPriority w:val="0"/>
    <w:pPr>
      <w:tabs>
        <w:tab w:val="left" w:pos="2200"/>
        <w:tab w:val="left" w:pos="3960"/>
        <w:tab w:val="left" w:pos="5280"/>
      </w:tabs>
      <w:spacing w:before="96" w:after="96" w:line="0" w:lineRule="atLeast"/>
      <w:jc w:val="center"/>
    </w:pPr>
    <w:rPr>
      <w:rFonts w:ascii="Tahoma" w:hAnsi="Tahoma" w:eastAsia="华文中宋"/>
      <w:szCs w:val="20"/>
    </w:rPr>
  </w:style>
  <w:style w:type="character" w:customStyle="1" w:styleId="1937">
    <w:name w:val="环标2 Char"/>
    <w:qFormat/>
    <w:uiPriority w:val="0"/>
    <w:rPr>
      <w:rFonts w:ascii="黑体" w:hAnsi="Arial" w:eastAsia="黑体"/>
      <w:color w:val="000000"/>
      <w:sz w:val="28"/>
      <w:lang w:val="en-US" w:eastAsia="zh-CN" w:bidi="ar-SA"/>
    </w:rPr>
  </w:style>
  <w:style w:type="character" w:customStyle="1" w:styleId="1938">
    <w:name w:val="f241"/>
    <w:qFormat/>
    <w:uiPriority w:val="0"/>
    <w:rPr>
      <w:sz w:val="36"/>
      <w:szCs w:val="36"/>
    </w:rPr>
  </w:style>
  <w:style w:type="character" w:customStyle="1" w:styleId="1939">
    <w:name w:val="text081"/>
    <w:semiHidden/>
    <w:qFormat/>
    <w:uiPriority w:val="0"/>
    <w:rPr>
      <w:rFonts w:hint="default" w:ascii="@黑体" w:hAnsi="@黑体"/>
      <w:color w:val="525052"/>
      <w:sz w:val="28"/>
      <w:szCs w:val="28"/>
      <w:u w:val="none"/>
    </w:rPr>
  </w:style>
  <w:style w:type="character" w:customStyle="1" w:styleId="1940">
    <w:name w:val="style7"/>
    <w:semiHidden/>
    <w:qFormat/>
    <w:uiPriority w:val="0"/>
    <w:rPr>
      <w:rFonts w:cs="Times New Roman"/>
      <w:sz w:val="18"/>
      <w:szCs w:val="18"/>
    </w:rPr>
  </w:style>
  <w:style w:type="character" w:customStyle="1" w:styleId="1941">
    <w:name w:val="标题1 Char"/>
    <w:link w:val="1942"/>
    <w:semiHidden/>
    <w:qFormat/>
    <w:uiPriority w:val="0"/>
    <w:rPr>
      <w:rFonts w:eastAsia="黑体"/>
      <w:kern w:val="2"/>
      <w:sz w:val="44"/>
      <w:szCs w:val="44"/>
    </w:rPr>
  </w:style>
  <w:style w:type="paragraph" w:customStyle="1" w:styleId="1942">
    <w:name w:val="标题13"/>
    <w:basedOn w:val="1"/>
    <w:link w:val="1941"/>
    <w:semiHidden/>
    <w:qFormat/>
    <w:uiPriority w:val="0"/>
    <w:pPr>
      <w:spacing w:after="240"/>
      <w:outlineLvl w:val="0"/>
    </w:pPr>
    <w:rPr>
      <w:rFonts w:eastAsia="黑体"/>
      <w:sz w:val="44"/>
      <w:szCs w:val="44"/>
    </w:rPr>
  </w:style>
  <w:style w:type="character" w:customStyle="1" w:styleId="1943">
    <w:name w:val="Char Char381"/>
    <w:semiHidden/>
    <w:qFormat/>
    <w:uiPriority w:val="0"/>
    <w:rPr>
      <w:rFonts w:ascii="宋体" w:hAnsi="Times New Roman" w:eastAsia="宋体" w:cs="Times New Roman"/>
      <w:sz w:val="18"/>
      <w:szCs w:val="18"/>
    </w:rPr>
  </w:style>
  <w:style w:type="character" w:customStyle="1" w:styleId="1944">
    <w:name w:val="satajq8"/>
    <w:qFormat/>
    <w:uiPriority w:val="0"/>
  </w:style>
  <w:style w:type="character" w:customStyle="1" w:styleId="1945">
    <w:name w:val="Char Char Char Char Char Char Char6"/>
    <w:semiHidden/>
    <w:qFormat/>
    <w:uiPriority w:val="0"/>
    <w:rPr>
      <w:rFonts w:ascii="宋体" w:hAnsi="宋体"/>
      <w:kern w:val="2"/>
      <w:sz w:val="24"/>
      <w:szCs w:val="24"/>
    </w:rPr>
  </w:style>
  <w:style w:type="character" w:customStyle="1" w:styleId="1946">
    <w:name w:val="pw1"/>
    <w:semiHidden/>
    <w:qFormat/>
    <w:uiPriority w:val="0"/>
    <w:rPr>
      <w:color w:val="FF0000"/>
    </w:rPr>
  </w:style>
  <w:style w:type="character" w:customStyle="1" w:styleId="1947">
    <w:name w:val="首行缩进 Char"/>
    <w:semiHidden/>
    <w:qFormat/>
    <w:uiPriority w:val="0"/>
    <w:rPr>
      <w:rFonts w:eastAsia="宋体"/>
      <w:kern w:val="2"/>
      <w:sz w:val="21"/>
      <w:lang w:val="en-US" w:eastAsia="zh-CN" w:bidi="ar-SA"/>
    </w:rPr>
  </w:style>
  <w:style w:type="character" w:customStyle="1" w:styleId="1948">
    <w:name w:val="z21"/>
    <w:qFormat/>
    <w:uiPriority w:val="0"/>
    <w:rPr>
      <w:rFonts w:hint="default"/>
      <w:color w:val="000000"/>
      <w:spacing w:val="270"/>
      <w:sz w:val="18"/>
      <w:szCs w:val="18"/>
    </w:rPr>
  </w:style>
  <w:style w:type="character" w:customStyle="1" w:styleId="1949">
    <w:name w:val="Char Char231"/>
    <w:semiHidden/>
    <w:qFormat/>
    <w:uiPriority w:val="0"/>
    <w:rPr>
      <w:rFonts w:ascii="Arial" w:hAnsi="Arial" w:eastAsia="仿宋_GB2312" w:cs="Times New Roman"/>
      <w:kern w:val="0"/>
      <w:sz w:val="18"/>
      <w:szCs w:val="18"/>
    </w:rPr>
  </w:style>
  <w:style w:type="character" w:customStyle="1" w:styleId="1950">
    <w:name w:val="正文01 Char1"/>
    <w:qFormat/>
    <w:uiPriority w:val="0"/>
    <w:rPr>
      <w:kern w:val="2"/>
      <w:sz w:val="24"/>
      <w:szCs w:val="24"/>
    </w:rPr>
  </w:style>
  <w:style w:type="character" w:customStyle="1" w:styleId="1951">
    <w:name w:val="图例 Char"/>
    <w:semiHidden/>
    <w:qFormat/>
    <w:uiPriority w:val="0"/>
    <w:rPr>
      <w:rFonts w:ascii="Arial" w:hAnsi="Arial" w:eastAsia="宋体" w:cs="Arial"/>
      <w:kern w:val="2"/>
      <w:sz w:val="28"/>
      <w:szCs w:val="28"/>
      <w:lang w:val="en-US" w:eastAsia="zh-CN" w:bidi="ar-SA"/>
    </w:rPr>
  </w:style>
  <w:style w:type="character" w:customStyle="1" w:styleId="1952">
    <w:name w:val="表格中文字 Char"/>
    <w:semiHidden/>
    <w:qFormat/>
    <w:uiPriority w:val="0"/>
    <w:rPr>
      <w:kern w:val="18"/>
      <w:szCs w:val="21"/>
    </w:rPr>
  </w:style>
  <w:style w:type="character" w:customStyle="1" w:styleId="1953">
    <w:name w:val="scu4wkd"/>
    <w:qFormat/>
    <w:uiPriority w:val="0"/>
  </w:style>
  <w:style w:type="character" w:customStyle="1" w:styleId="1954">
    <w:name w:val="Char Char511"/>
    <w:qFormat/>
    <w:uiPriority w:val="0"/>
    <w:rPr>
      <w:rFonts w:ascii="宋体" w:eastAsia="宋体"/>
      <w:kern w:val="2"/>
      <w:sz w:val="24"/>
      <w:lang w:val="en-US" w:eastAsia="zh-CN" w:bidi="ar-SA"/>
    </w:rPr>
  </w:style>
  <w:style w:type="character" w:customStyle="1" w:styleId="1955">
    <w:name w:val="样式 楷体_GB2312 四号"/>
    <w:qFormat/>
    <w:uiPriority w:val="0"/>
    <w:rPr>
      <w:rFonts w:ascii="Times New Roman" w:hAnsi="Times New Roman" w:eastAsia="楷体_GB2312"/>
      <w:sz w:val="28"/>
      <w:szCs w:val="28"/>
    </w:rPr>
  </w:style>
  <w:style w:type="character" w:customStyle="1" w:styleId="1956">
    <w:name w:val="contentproject11"/>
    <w:semiHidden/>
    <w:qFormat/>
    <w:uiPriority w:val="0"/>
  </w:style>
  <w:style w:type="character" w:customStyle="1" w:styleId="1957">
    <w:name w:val="Char Char213"/>
    <w:qFormat/>
    <w:uiPriority w:val="0"/>
    <w:rPr>
      <w:rFonts w:ascii="宋体" w:hAnsi="宋体" w:eastAsia="宋体"/>
      <w:kern w:val="2"/>
      <w:sz w:val="18"/>
      <w:szCs w:val="18"/>
      <w:lang w:val="en-US" w:eastAsia="zh-CN" w:bidi="ar-SA"/>
    </w:rPr>
  </w:style>
  <w:style w:type="character" w:customStyle="1" w:styleId="1958">
    <w:name w:val="Char Char122"/>
    <w:qFormat/>
    <w:uiPriority w:val="0"/>
    <w:rPr>
      <w:sz w:val="18"/>
      <w:szCs w:val="18"/>
    </w:rPr>
  </w:style>
  <w:style w:type="character" w:customStyle="1" w:styleId="1959">
    <w:name w:val="Char Char214"/>
    <w:qFormat/>
    <w:uiPriority w:val="0"/>
    <w:rPr>
      <w:rFonts w:ascii="@黑体" w:hAnsi="@黑体"/>
      <w:kern w:val="2"/>
      <w:sz w:val="18"/>
      <w:szCs w:val="18"/>
    </w:rPr>
  </w:style>
  <w:style w:type="character" w:customStyle="1" w:styleId="1960">
    <w:name w:val="Char Char243"/>
    <w:semiHidden/>
    <w:qFormat/>
    <w:uiPriority w:val="0"/>
    <w:rPr>
      <w:sz w:val="18"/>
      <w:szCs w:val="18"/>
    </w:rPr>
  </w:style>
  <w:style w:type="character" w:customStyle="1" w:styleId="1961">
    <w:name w:val="td1"/>
    <w:qFormat/>
    <w:uiPriority w:val="0"/>
    <w:rPr>
      <w:color w:val="000000"/>
      <w:sz w:val="21"/>
      <w:szCs w:val="21"/>
    </w:rPr>
  </w:style>
  <w:style w:type="character" w:customStyle="1" w:styleId="1962">
    <w:name w:val="表注 Char"/>
    <w:qFormat/>
    <w:uiPriority w:val="0"/>
    <w:rPr>
      <w:rFonts w:ascii="宋体" w:hAnsi="宋体"/>
      <w:b/>
      <w:spacing w:val="10"/>
      <w:kern w:val="2"/>
      <w:sz w:val="18"/>
      <w:szCs w:val="21"/>
    </w:rPr>
  </w:style>
  <w:style w:type="character" w:customStyle="1" w:styleId="1963">
    <w:name w:val="sgiivq"/>
    <w:qFormat/>
    <w:uiPriority w:val="0"/>
  </w:style>
  <w:style w:type="character" w:customStyle="1" w:styleId="1964">
    <w:name w:val="z31"/>
    <w:qFormat/>
    <w:uiPriority w:val="0"/>
    <w:rPr>
      <w:rFonts w:hint="default"/>
      <w:color w:val="FF0000"/>
      <w:spacing w:val="300"/>
      <w:sz w:val="18"/>
      <w:szCs w:val="18"/>
    </w:rPr>
  </w:style>
  <w:style w:type="character" w:customStyle="1" w:styleId="1965">
    <w:name w:val="标题三最终 Char Char"/>
    <w:link w:val="1966"/>
    <w:semiHidden/>
    <w:qFormat/>
    <w:uiPriority w:val="0"/>
    <w:rPr>
      <w:rFonts w:hAnsi="宋体"/>
      <w:b/>
      <w:bCs/>
      <w:kern w:val="2"/>
      <w:sz w:val="28"/>
      <w:szCs w:val="28"/>
    </w:rPr>
  </w:style>
  <w:style w:type="paragraph" w:customStyle="1" w:styleId="1966">
    <w:name w:val="标题三最终"/>
    <w:basedOn w:val="1"/>
    <w:link w:val="1965"/>
    <w:semiHidden/>
    <w:qFormat/>
    <w:uiPriority w:val="0"/>
    <w:pPr>
      <w:keepNext/>
      <w:keepLines/>
      <w:adjustRightInd w:val="0"/>
      <w:snapToGrid w:val="0"/>
      <w:spacing w:before="156" w:beforeLines="50" w:line="360" w:lineRule="auto"/>
      <w:jc w:val="left"/>
      <w:outlineLvl w:val="2"/>
    </w:pPr>
    <w:rPr>
      <w:rFonts w:hAnsi="宋体"/>
      <w:b/>
      <w:bCs/>
      <w:sz w:val="28"/>
      <w:szCs w:val="28"/>
    </w:rPr>
  </w:style>
  <w:style w:type="character" w:customStyle="1" w:styleId="1967">
    <w:name w:val="批注引用 Char"/>
    <w:qFormat/>
    <w:uiPriority w:val="0"/>
  </w:style>
  <w:style w:type="character" w:customStyle="1" w:styleId="1968">
    <w:name w:val="日期 Char Char Char Char Char2"/>
    <w:semiHidden/>
    <w:qFormat/>
    <w:uiPriority w:val="0"/>
    <w:rPr>
      <w:rFonts w:ascii="宋体" w:eastAsia="宋体"/>
      <w:kern w:val="2"/>
      <w:sz w:val="24"/>
      <w:lang w:val="en-US" w:eastAsia="zh-CN" w:bidi="ar-SA"/>
    </w:rPr>
  </w:style>
  <w:style w:type="character" w:customStyle="1" w:styleId="1969">
    <w:name w:val="样式 图号 + 宋体 Char"/>
    <w:semiHidden/>
    <w:qFormat/>
    <w:uiPriority w:val="0"/>
    <w:rPr>
      <w:rFonts w:ascii="宋体" w:hAnsi="宋体" w:eastAsia="宋体"/>
      <w:b/>
      <w:bCs/>
      <w:kern w:val="32"/>
      <w:sz w:val="24"/>
      <w:szCs w:val="24"/>
      <w:lang w:val="en-US" w:eastAsia="zh-CN" w:bidi="ar-SA"/>
    </w:rPr>
  </w:style>
  <w:style w:type="character" w:customStyle="1" w:styleId="1970">
    <w:name w:val="articletitle1"/>
    <w:qFormat/>
    <w:uiPriority w:val="0"/>
    <w:rPr>
      <w:rFonts w:hint="default" w:ascii="MS Shell Dlg" w:hAnsi="MS Shell Dlg"/>
      <w:b/>
      <w:bCs/>
      <w:color w:val="666699"/>
      <w:sz w:val="32"/>
      <w:szCs w:val="32"/>
    </w:rPr>
  </w:style>
  <w:style w:type="character" w:customStyle="1" w:styleId="1971">
    <w:name w:val="Char Char12"/>
    <w:qFormat/>
    <w:uiPriority w:val="0"/>
    <w:rPr>
      <w:rFonts w:eastAsia="宋体"/>
      <w:kern w:val="2"/>
      <w:sz w:val="16"/>
      <w:szCs w:val="16"/>
      <w:lang w:val="en-US" w:eastAsia="zh-CN" w:bidi="ar-SA"/>
    </w:rPr>
  </w:style>
  <w:style w:type="character" w:customStyle="1" w:styleId="1972">
    <w:name w:val="infotitle1"/>
    <w:qFormat/>
    <w:uiPriority w:val="0"/>
    <w:rPr>
      <w:b/>
      <w:bCs/>
      <w:color w:val="000000"/>
      <w:sz w:val="32"/>
      <w:szCs w:val="32"/>
    </w:rPr>
  </w:style>
  <w:style w:type="character" w:customStyle="1" w:styleId="1973">
    <w:name w:val="正文标准格式张 Char"/>
    <w:link w:val="1974"/>
    <w:qFormat/>
    <w:uiPriority w:val="0"/>
    <w:rPr>
      <w:rFonts w:hAnsi="宋体"/>
      <w:sz w:val="24"/>
      <w:szCs w:val="24"/>
    </w:rPr>
  </w:style>
  <w:style w:type="paragraph" w:customStyle="1" w:styleId="1974">
    <w:name w:val="正文标准格式张"/>
    <w:basedOn w:val="1"/>
    <w:link w:val="1973"/>
    <w:qFormat/>
    <w:uiPriority w:val="0"/>
    <w:pPr>
      <w:tabs>
        <w:tab w:val="left" w:pos="1260"/>
      </w:tabs>
      <w:adjustRightInd w:val="0"/>
      <w:snapToGrid w:val="0"/>
      <w:spacing w:before="60" w:beforeLines="25" w:after="60" w:afterLines="25" w:line="312" w:lineRule="auto"/>
      <w:ind w:firstLine="542" w:firstLineChars="225"/>
      <w:textAlignment w:val="baseline"/>
    </w:pPr>
    <w:rPr>
      <w:rFonts w:hAnsi="宋体"/>
      <w:kern w:val="0"/>
      <w:sz w:val="24"/>
    </w:rPr>
  </w:style>
  <w:style w:type="character" w:customStyle="1" w:styleId="1975">
    <w:name w:val="标题 2 Char Char"/>
    <w:qFormat/>
    <w:uiPriority w:val="0"/>
    <w:rPr>
      <w:rFonts w:ascii="Arial" w:hAnsi="Arial" w:eastAsia="黑体"/>
      <w:b/>
      <w:bCs/>
      <w:kern w:val="2"/>
      <w:sz w:val="32"/>
      <w:szCs w:val="32"/>
      <w:lang w:val="en-US" w:eastAsia="zh-CN" w:bidi="ar-SA"/>
    </w:rPr>
  </w:style>
  <w:style w:type="character" w:customStyle="1" w:styleId="1976">
    <w:name w:val="标题 7 Char1"/>
    <w:qFormat/>
    <w:uiPriority w:val="0"/>
    <w:rPr>
      <w:b/>
      <w:bCs/>
      <w:kern w:val="2"/>
      <w:sz w:val="24"/>
      <w:szCs w:val="24"/>
    </w:rPr>
  </w:style>
  <w:style w:type="character" w:customStyle="1" w:styleId="1977">
    <w:name w:val="a14"/>
    <w:qFormat/>
    <w:uiPriority w:val="0"/>
  </w:style>
  <w:style w:type="character" w:customStyle="1" w:styleId="1978">
    <w:name w:val="标题33 Char"/>
    <w:link w:val="1979"/>
    <w:qFormat/>
    <w:uiPriority w:val="0"/>
    <w:rPr>
      <w:rFonts w:ascii="宋体" w:hAnsi="宋体"/>
      <w:b/>
      <w:color w:val="000000"/>
      <w:sz w:val="30"/>
      <w:szCs w:val="30"/>
    </w:rPr>
  </w:style>
  <w:style w:type="paragraph" w:customStyle="1" w:styleId="1979">
    <w:name w:val="标题33"/>
    <w:basedOn w:val="290"/>
    <w:link w:val="1978"/>
    <w:qFormat/>
    <w:uiPriority w:val="0"/>
    <w:pPr>
      <w:widowControl w:val="0"/>
      <w:tabs>
        <w:tab w:val="left" w:pos="425"/>
      </w:tabs>
      <w:adjustRightInd/>
      <w:spacing w:before="240" w:after="240"/>
      <w:ind w:firstLine="0" w:firstLineChars="0"/>
      <w:jc w:val="both"/>
      <w:outlineLvl w:val="2"/>
    </w:pPr>
    <w:rPr>
      <w:b/>
      <w:color w:val="000000"/>
      <w:spacing w:val="0"/>
      <w:sz w:val="30"/>
      <w:szCs w:val="30"/>
      <w:lang w:eastAsia="zh-CN" w:bidi="ar-SA"/>
    </w:rPr>
  </w:style>
  <w:style w:type="character" w:customStyle="1" w:styleId="1980">
    <w:name w:val="Char Char361"/>
    <w:semiHidden/>
    <w:qFormat/>
    <w:uiPriority w:val="0"/>
    <w:rPr>
      <w:rFonts w:ascii="Times New Roman" w:hAnsi="Times New Roman" w:eastAsia="宋体" w:cs="Times New Roman"/>
      <w:b/>
      <w:bCs/>
      <w:szCs w:val="20"/>
    </w:rPr>
  </w:style>
  <w:style w:type="character" w:customStyle="1" w:styleId="1981">
    <w:name w:val="Char Char481"/>
    <w:semiHidden/>
    <w:qFormat/>
    <w:uiPriority w:val="0"/>
    <w:rPr>
      <w:rFonts w:ascii="Arial" w:hAnsi="Arial" w:eastAsia="仿宋_GB2312"/>
      <w:i/>
      <w:iCs/>
      <w:sz w:val="24"/>
      <w:lang w:val="en-US" w:eastAsia="zh-CN" w:bidi="ar-SA"/>
    </w:rPr>
  </w:style>
  <w:style w:type="character" w:customStyle="1" w:styleId="1982">
    <w:name w:val="图标题 Char Char"/>
    <w:link w:val="1983"/>
    <w:qFormat/>
    <w:uiPriority w:val="0"/>
    <w:rPr>
      <w:b/>
      <w:bCs/>
      <w:kern w:val="2"/>
      <w:sz w:val="24"/>
    </w:rPr>
  </w:style>
  <w:style w:type="paragraph" w:customStyle="1" w:styleId="1983">
    <w:name w:val="图标题"/>
    <w:basedOn w:val="1"/>
    <w:link w:val="1982"/>
    <w:qFormat/>
    <w:uiPriority w:val="0"/>
    <w:pPr>
      <w:framePr w:hSpace="181" w:vSpace="181" w:wrap="around" w:vAnchor="text" w:hAnchor="text" w:y="1"/>
      <w:spacing w:line="260" w:lineRule="exact"/>
      <w:jc w:val="center"/>
    </w:pPr>
    <w:rPr>
      <w:b/>
      <w:bCs/>
      <w:sz w:val="24"/>
      <w:szCs w:val="20"/>
    </w:rPr>
  </w:style>
  <w:style w:type="character" w:customStyle="1" w:styleId="1984">
    <w:name w:val="s2ze7v"/>
    <w:qFormat/>
    <w:uiPriority w:val="0"/>
  </w:style>
  <w:style w:type="character" w:customStyle="1" w:styleId="1985">
    <w:name w:val="标题四最终 Char"/>
    <w:semiHidden/>
    <w:qFormat/>
    <w:uiPriority w:val="0"/>
    <w:rPr>
      <w:rFonts w:hAnsi="宋体"/>
      <w:b/>
      <w:bCs/>
      <w:snapToGrid w:val="0"/>
      <w:kern w:val="2"/>
      <w:sz w:val="28"/>
      <w:szCs w:val="28"/>
    </w:rPr>
  </w:style>
  <w:style w:type="character" w:customStyle="1" w:styleId="1986">
    <w:name w:val="un"/>
    <w:qFormat/>
    <w:uiPriority w:val="0"/>
  </w:style>
  <w:style w:type="character" w:customStyle="1" w:styleId="1987">
    <w:name w:val="Char Char9"/>
    <w:qFormat/>
    <w:uiPriority w:val="0"/>
    <w:rPr>
      <w:rFonts w:eastAsia="宋体"/>
      <w:kern w:val="2"/>
      <w:sz w:val="18"/>
      <w:lang w:val="en-US" w:eastAsia="zh-CN" w:bidi="ar-SA"/>
    </w:rPr>
  </w:style>
  <w:style w:type="character" w:customStyle="1" w:styleId="1988">
    <w:name w:val="Char Char201"/>
    <w:semiHidden/>
    <w:qFormat/>
    <w:uiPriority w:val="0"/>
    <w:rPr>
      <w:rFonts w:eastAsia="宋体"/>
      <w:sz w:val="18"/>
      <w:szCs w:val="24"/>
      <w:lang w:val="en-US" w:eastAsia="zh-CN" w:bidi="ar-SA"/>
    </w:rPr>
  </w:style>
  <w:style w:type="character" w:customStyle="1" w:styleId="1989">
    <w:name w:val="unnamed2"/>
    <w:qFormat/>
    <w:uiPriority w:val="0"/>
  </w:style>
  <w:style w:type="character" w:customStyle="1" w:styleId="1990">
    <w:name w:val="at_1"/>
    <w:qFormat/>
    <w:uiPriority w:val="0"/>
  </w:style>
  <w:style w:type="character" w:customStyle="1" w:styleId="1991">
    <w:name w:val="x文 Char Char"/>
    <w:link w:val="1992"/>
    <w:semiHidden/>
    <w:qFormat/>
    <w:uiPriority w:val="0"/>
    <w:rPr>
      <w:rFonts w:ascii="宋体" w:hAnsi="宋体"/>
      <w:sz w:val="24"/>
      <w:szCs w:val="24"/>
    </w:rPr>
  </w:style>
  <w:style w:type="paragraph" w:customStyle="1" w:styleId="1992">
    <w:name w:val="x文"/>
    <w:basedOn w:val="1"/>
    <w:link w:val="1991"/>
    <w:semiHidden/>
    <w:qFormat/>
    <w:uiPriority w:val="0"/>
    <w:pPr>
      <w:spacing w:line="360" w:lineRule="auto"/>
      <w:ind w:firstLine="480" w:firstLineChars="200"/>
    </w:pPr>
    <w:rPr>
      <w:rFonts w:ascii="宋体" w:hAnsi="宋体"/>
      <w:kern w:val="0"/>
      <w:sz w:val="24"/>
    </w:rPr>
  </w:style>
  <w:style w:type="character" w:customStyle="1" w:styleId="1993">
    <w:name w:val="正文（首行缩进两字） Char Char Char Char Char Char Char Char Char Char Char Char Char Char Char Char Char Char Char Char Char Char Char Char C"/>
    <w:qFormat/>
    <w:uiPriority w:val="0"/>
    <w:rPr>
      <w:rFonts w:ascii="仿宋_GB2312" w:hAnsi="Arial Black" w:eastAsia="仿宋_GB2312"/>
      <w:kern w:val="2"/>
      <w:sz w:val="28"/>
      <w:lang w:val="en-US" w:eastAsia="zh-CN" w:bidi="ar-SA"/>
    </w:rPr>
  </w:style>
  <w:style w:type="character" w:customStyle="1" w:styleId="1994">
    <w:name w:val="Char Char431"/>
    <w:semiHidden/>
    <w:qFormat/>
    <w:uiPriority w:val="0"/>
    <w:rPr>
      <w:rFonts w:ascii="Arial" w:hAnsi="Arial" w:eastAsia="仿宋_GB2312" w:cs="Arial"/>
      <w:b/>
      <w:bCs/>
      <w:kern w:val="28"/>
      <w:sz w:val="32"/>
      <w:szCs w:val="32"/>
      <w:lang w:val="en-US" w:eastAsia="zh-CN" w:bidi="ar-SA"/>
    </w:rPr>
  </w:style>
  <w:style w:type="character" w:customStyle="1" w:styleId="1995">
    <w:name w:val="正文001 Char"/>
    <w:link w:val="1996"/>
    <w:qFormat/>
    <w:uiPriority w:val="0"/>
    <w:rPr>
      <w:kern w:val="2"/>
      <w:sz w:val="24"/>
    </w:rPr>
  </w:style>
  <w:style w:type="paragraph" w:customStyle="1" w:styleId="1996">
    <w:name w:val="正文001"/>
    <w:basedOn w:val="1"/>
    <w:link w:val="1995"/>
    <w:qFormat/>
    <w:uiPriority w:val="0"/>
    <w:pPr>
      <w:spacing w:line="500" w:lineRule="atLeast"/>
      <w:ind w:firstLine="200" w:firstLineChars="200"/>
    </w:pPr>
    <w:rPr>
      <w:sz w:val="24"/>
      <w:szCs w:val="20"/>
    </w:rPr>
  </w:style>
  <w:style w:type="character" w:customStyle="1" w:styleId="1997">
    <w:name w:val="at_10"/>
    <w:qFormat/>
    <w:uiPriority w:val="0"/>
  </w:style>
  <w:style w:type="character" w:customStyle="1" w:styleId="1998">
    <w:name w:val="标准文本 居中 行距1.5倍 Char"/>
    <w:semiHidden/>
    <w:qFormat/>
    <w:uiPriority w:val="0"/>
    <w:rPr>
      <w:rFonts w:eastAsia="宋体" w:cs="宋体"/>
      <w:kern w:val="2"/>
      <w:sz w:val="24"/>
      <w:lang w:val="en-US" w:eastAsia="zh-CN" w:bidi="ar-SA"/>
    </w:rPr>
  </w:style>
  <w:style w:type="character" w:customStyle="1" w:styleId="1999">
    <w:name w:val="样式 样式 样式 宋体 小四 行距: 多倍行距 1.4 字行2 + 黑色 + Times New Roman2 Char"/>
    <w:link w:val="2000"/>
    <w:qFormat/>
    <w:uiPriority w:val="0"/>
    <w:rPr>
      <w:rFonts w:ascii="宋体" w:hAnsi="宋体"/>
      <w:b/>
      <w:color w:val="000000"/>
      <w:spacing w:val="10"/>
      <w:kern w:val="2"/>
      <w:sz w:val="24"/>
      <w:szCs w:val="24"/>
    </w:rPr>
  </w:style>
  <w:style w:type="paragraph" w:customStyle="1" w:styleId="2000">
    <w:name w:val="样式 样式 样式 宋体 小四 行距: 多倍行距 1.4 字行2 + 黑色 + Times New Roman2"/>
    <w:basedOn w:val="1517"/>
    <w:link w:val="1999"/>
    <w:qFormat/>
    <w:uiPriority w:val="0"/>
    <w:pPr>
      <w:spacing w:line="360" w:lineRule="auto"/>
      <w:ind w:firstLine="200"/>
    </w:pPr>
  </w:style>
  <w:style w:type="character" w:customStyle="1" w:styleId="2001">
    <w:name w:val="txt181"/>
    <w:semiHidden/>
    <w:qFormat/>
    <w:uiPriority w:val="0"/>
    <w:rPr>
      <w:rFonts w:hint="eastAsia" w:ascii="宋体" w:hAnsi="宋体" w:eastAsia="宋体"/>
      <w:b/>
      <w:bCs/>
      <w:color w:val="003CC8"/>
      <w:sz w:val="39"/>
      <w:szCs w:val="39"/>
      <w:u w:val="none"/>
    </w:rPr>
  </w:style>
  <w:style w:type="character" w:customStyle="1" w:styleId="2002">
    <w:name w:val="Char Char111"/>
    <w:qFormat/>
    <w:uiPriority w:val="0"/>
    <w:rPr>
      <w:rFonts w:hint="eastAsia" w:ascii="宋体" w:hAnsi="宋体" w:eastAsia="宋体"/>
      <w:kern w:val="2"/>
      <w:sz w:val="21"/>
      <w:lang w:val="en-US" w:eastAsia="zh-CN" w:bidi="ar-SA"/>
    </w:rPr>
  </w:style>
  <w:style w:type="character" w:customStyle="1" w:styleId="2003">
    <w:name w:val="表后段落 Char Char"/>
    <w:link w:val="2004"/>
    <w:qFormat/>
    <w:uiPriority w:val="0"/>
    <w:rPr>
      <w:rFonts w:eastAsia="楷体_GB2312"/>
      <w:kern w:val="2"/>
      <w:sz w:val="24"/>
      <w:szCs w:val="28"/>
    </w:rPr>
  </w:style>
  <w:style w:type="paragraph" w:customStyle="1" w:styleId="2004">
    <w:name w:val="表后段落 Char"/>
    <w:basedOn w:val="1"/>
    <w:link w:val="2003"/>
    <w:qFormat/>
    <w:uiPriority w:val="0"/>
    <w:pPr>
      <w:spacing w:before="75" w:beforeLines="75" w:line="360" w:lineRule="auto"/>
      <w:ind w:firstLine="200" w:firstLineChars="200"/>
    </w:pPr>
    <w:rPr>
      <w:rFonts w:eastAsia="楷体_GB2312"/>
      <w:sz w:val="24"/>
      <w:szCs w:val="28"/>
    </w:rPr>
  </w:style>
  <w:style w:type="character" w:customStyle="1" w:styleId="2005">
    <w:name w:val="Char4 Char Char Char Char"/>
    <w:link w:val="2006"/>
    <w:qFormat/>
    <w:uiPriority w:val="0"/>
    <w:rPr>
      <w:kern w:val="2"/>
      <w:sz w:val="24"/>
      <w:szCs w:val="24"/>
    </w:rPr>
  </w:style>
  <w:style w:type="paragraph" w:customStyle="1" w:styleId="2006">
    <w:name w:val="Char4 Char Char Char5"/>
    <w:basedOn w:val="1"/>
    <w:link w:val="2005"/>
    <w:qFormat/>
    <w:uiPriority w:val="0"/>
    <w:rPr>
      <w:sz w:val="24"/>
    </w:rPr>
  </w:style>
  <w:style w:type="character" w:customStyle="1" w:styleId="2007">
    <w:name w:val="标题03 Char1"/>
    <w:link w:val="2008"/>
    <w:qFormat/>
    <w:uiPriority w:val="0"/>
    <w:rPr>
      <w:rFonts w:ascii="@黑体" w:hAnsi="@黑体"/>
      <w:b/>
      <w:kern w:val="2"/>
      <w:sz w:val="24"/>
    </w:rPr>
  </w:style>
  <w:style w:type="paragraph" w:customStyle="1" w:styleId="2008">
    <w:name w:val="标题03"/>
    <w:basedOn w:val="1"/>
    <w:next w:val="1"/>
    <w:link w:val="2007"/>
    <w:qFormat/>
    <w:uiPriority w:val="0"/>
    <w:pPr>
      <w:spacing w:line="480" w:lineRule="atLeast"/>
      <w:ind w:firstLine="480"/>
    </w:pPr>
    <w:rPr>
      <w:rFonts w:ascii="@黑体" w:hAnsi="@黑体"/>
      <w:b/>
      <w:sz w:val="24"/>
      <w:szCs w:val="20"/>
    </w:rPr>
  </w:style>
  <w:style w:type="character" w:customStyle="1" w:styleId="2009">
    <w:name w:val="px121"/>
    <w:qFormat/>
    <w:uiPriority w:val="0"/>
  </w:style>
  <w:style w:type="character" w:customStyle="1" w:styleId="2010">
    <w:name w:val="font122"/>
    <w:semiHidden/>
    <w:qFormat/>
    <w:uiPriority w:val="0"/>
    <w:rPr>
      <w:rFonts w:hint="default" w:ascii="Times New Roman" w:hAnsi="Times New Roman" w:cs="Times New Roman"/>
      <w:color w:val="000000"/>
      <w:sz w:val="18"/>
      <w:szCs w:val="18"/>
      <w:u w:val="none"/>
    </w:rPr>
  </w:style>
  <w:style w:type="character" w:customStyle="1" w:styleId="2011">
    <w:name w:val="style6"/>
    <w:qFormat/>
    <w:uiPriority w:val="0"/>
  </w:style>
  <w:style w:type="character" w:customStyle="1" w:styleId="2012">
    <w:name w:val="汊河正文 Char"/>
    <w:link w:val="2013"/>
    <w:qFormat/>
    <w:uiPriority w:val="0"/>
    <w:rPr>
      <w:kern w:val="2"/>
      <w:sz w:val="24"/>
    </w:rPr>
  </w:style>
  <w:style w:type="paragraph" w:customStyle="1" w:styleId="2013">
    <w:name w:val="汊河正文"/>
    <w:basedOn w:val="1"/>
    <w:link w:val="2012"/>
    <w:qFormat/>
    <w:uiPriority w:val="0"/>
    <w:pPr>
      <w:spacing w:line="480" w:lineRule="exact"/>
      <w:ind w:firstLine="480" w:firstLineChars="200"/>
    </w:pPr>
    <w:rPr>
      <w:sz w:val="24"/>
      <w:szCs w:val="20"/>
    </w:rPr>
  </w:style>
  <w:style w:type="character" w:customStyle="1" w:styleId="2014">
    <w:name w:val="z141"/>
    <w:qFormat/>
    <w:uiPriority w:val="0"/>
    <w:rPr>
      <w:sz w:val="21"/>
      <w:szCs w:val="21"/>
    </w:rPr>
  </w:style>
  <w:style w:type="character" w:customStyle="1" w:styleId="2015">
    <w:name w:val="标题 Char"/>
    <w:qFormat/>
    <w:uiPriority w:val="0"/>
    <w:rPr>
      <w:rFonts w:ascii="Cambria" w:hAnsi="Cambria" w:cs="Times New Roman"/>
      <w:b/>
      <w:bCs/>
      <w:kern w:val="2"/>
      <w:sz w:val="32"/>
      <w:szCs w:val="32"/>
    </w:rPr>
  </w:style>
  <w:style w:type="character" w:customStyle="1" w:styleId="2016">
    <w:name w:val="Char Char223"/>
    <w:semiHidden/>
    <w:qFormat/>
    <w:uiPriority w:val="0"/>
    <w:rPr>
      <w:rFonts w:eastAsia="宋体"/>
      <w:kern w:val="2"/>
      <w:sz w:val="21"/>
      <w:szCs w:val="24"/>
      <w:lang w:val="en-US" w:eastAsia="zh-CN" w:bidi="ar-SA"/>
    </w:rPr>
  </w:style>
  <w:style w:type="character" w:customStyle="1" w:styleId="2017">
    <w:name w:val="项标题(1) Char"/>
    <w:qFormat/>
    <w:uiPriority w:val="9"/>
    <w:rPr>
      <w:rFonts w:ascii="宋体" w:hAnsi="Arial Black" w:eastAsia="宋体"/>
      <w:b/>
      <w:bCs/>
      <w:sz w:val="24"/>
      <w:lang w:val="en-US" w:eastAsia="zh-CN" w:bidi="ar-SA"/>
    </w:rPr>
  </w:style>
  <w:style w:type="character" w:customStyle="1" w:styleId="2018">
    <w:name w:val="12pix1"/>
    <w:semiHidden/>
    <w:qFormat/>
    <w:uiPriority w:val="0"/>
    <w:rPr>
      <w:sz w:val="18"/>
      <w:szCs w:val="18"/>
      <w:u w:val="none"/>
    </w:rPr>
  </w:style>
  <w:style w:type="character" w:customStyle="1" w:styleId="2019">
    <w:name w:val="unnamed111"/>
    <w:qFormat/>
    <w:uiPriority w:val="0"/>
    <w:rPr>
      <w:color w:val="003366"/>
      <w:sz w:val="24"/>
      <w:szCs w:val="24"/>
      <w:u w:val="none"/>
    </w:rPr>
  </w:style>
  <w:style w:type="character" w:customStyle="1" w:styleId="2020">
    <w:name w:val="目录2 Char Char"/>
    <w:semiHidden/>
    <w:qFormat/>
    <w:uiPriority w:val="0"/>
    <w:rPr>
      <w:rFonts w:eastAsia="宋体"/>
      <w:b/>
      <w:bCs/>
      <w:caps/>
      <w:kern w:val="2"/>
      <w:sz w:val="28"/>
      <w:szCs w:val="28"/>
      <w:lang w:val="en-US" w:eastAsia="zh-CN" w:bidi="ar-SA"/>
    </w:rPr>
  </w:style>
  <w:style w:type="character" w:customStyle="1" w:styleId="2021">
    <w:name w:val="正文标准样式 Char"/>
    <w:link w:val="2022"/>
    <w:semiHidden/>
    <w:qFormat/>
    <w:uiPriority w:val="0"/>
    <w:rPr>
      <w:sz w:val="24"/>
    </w:rPr>
  </w:style>
  <w:style w:type="paragraph" w:customStyle="1" w:styleId="2022">
    <w:name w:val="正文标准样式"/>
    <w:basedOn w:val="1"/>
    <w:link w:val="2021"/>
    <w:semiHidden/>
    <w:qFormat/>
    <w:uiPriority w:val="0"/>
    <w:pPr>
      <w:adjustRightInd w:val="0"/>
      <w:spacing w:line="300" w:lineRule="auto"/>
      <w:ind w:firstLine="482"/>
      <w:textAlignment w:val="baseline"/>
    </w:pPr>
    <w:rPr>
      <w:kern w:val="0"/>
      <w:sz w:val="24"/>
      <w:szCs w:val="20"/>
    </w:rPr>
  </w:style>
  <w:style w:type="character" w:customStyle="1" w:styleId="2023">
    <w:name w:val="ttitle1"/>
    <w:qFormat/>
    <w:uiPriority w:val="0"/>
    <w:rPr>
      <w:spacing w:val="120"/>
      <w:sz w:val="21"/>
      <w:szCs w:val="21"/>
    </w:rPr>
  </w:style>
  <w:style w:type="character" w:customStyle="1" w:styleId="2024">
    <w:name w:val="11p"/>
    <w:semiHidden/>
    <w:qFormat/>
    <w:uiPriority w:val="0"/>
  </w:style>
  <w:style w:type="character" w:customStyle="1" w:styleId="2025">
    <w:name w:val="样式 标题 3标题 3 正式 + (西文) Times New Roman3 Char"/>
    <w:link w:val="2026"/>
    <w:semiHidden/>
    <w:qFormat/>
    <w:uiPriority w:val="0"/>
    <w:rPr>
      <w:rFonts w:eastAsia="黑体"/>
      <w:b/>
      <w:bCs/>
      <w:spacing w:val="4"/>
      <w:sz w:val="28"/>
      <w:szCs w:val="28"/>
    </w:rPr>
  </w:style>
  <w:style w:type="paragraph" w:customStyle="1" w:styleId="2026">
    <w:name w:val="样式 标题 3标题 3 正式 + (西文) Times New Roman3"/>
    <w:basedOn w:val="5"/>
    <w:link w:val="2025"/>
    <w:semiHidden/>
    <w:qFormat/>
    <w:uiPriority w:val="0"/>
    <w:pPr>
      <w:numPr>
        <w:ilvl w:val="0"/>
        <w:numId w:val="0"/>
      </w:numPr>
      <w:tabs>
        <w:tab w:val="left" w:pos="0"/>
      </w:tabs>
      <w:adjustRightInd w:val="0"/>
      <w:snapToGrid w:val="0"/>
      <w:spacing w:before="120" w:after="120" w:line="360" w:lineRule="auto"/>
      <w:ind w:firstLine="200" w:firstLineChars="200"/>
    </w:pPr>
    <w:rPr>
      <w:rFonts w:eastAsia="黑体"/>
      <w:spacing w:val="4"/>
      <w:kern w:val="0"/>
      <w:sz w:val="28"/>
      <w:szCs w:val="28"/>
      <w:lang w:val="en-US"/>
    </w:rPr>
  </w:style>
  <w:style w:type="character" w:customStyle="1" w:styleId="2027">
    <w:name w:val="aa051"/>
    <w:semiHidden/>
    <w:qFormat/>
    <w:uiPriority w:val="0"/>
    <w:rPr>
      <w:sz w:val="20"/>
      <w:szCs w:val="20"/>
    </w:rPr>
  </w:style>
  <w:style w:type="character" w:customStyle="1" w:styleId="2028">
    <w:name w:val="f91"/>
    <w:semiHidden/>
    <w:qFormat/>
    <w:uiPriority w:val="0"/>
    <w:rPr>
      <w:strike/>
      <w:sz w:val="18"/>
    </w:rPr>
  </w:style>
  <w:style w:type="character" w:customStyle="1" w:styleId="2029">
    <w:name w:val="节 Char Char"/>
    <w:qFormat/>
    <w:uiPriority w:val="0"/>
    <w:rPr>
      <w:rFonts w:ascii="仿宋_GB2312" w:hAnsi="Arial" w:eastAsia="仿宋_GB2312"/>
      <w:b/>
      <w:bCs/>
      <w:kern w:val="2"/>
      <w:sz w:val="30"/>
      <w:szCs w:val="32"/>
      <w:lang w:val="en-US" w:eastAsia="zh-CN" w:bidi="ar-SA"/>
    </w:rPr>
  </w:style>
  <w:style w:type="character" w:customStyle="1" w:styleId="2030">
    <w:name w:val="mainfirst1"/>
    <w:qFormat/>
    <w:uiPriority w:val="0"/>
    <w:rPr>
      <w:rFonts w:ascii="宋体" w:hAnsi="宋体" w:eastAsia="黑体" w:cs="宋体"/>
      <w:b/>
      <w:bCs/>
      <w:color w:val="FF0000"/>
      <w:kern w:val="2"/>
      <w:sz w:val="36"/>
      <w:szCs w:val="36"/>
      <w:lang w:val="en-US" w:eastAsia="zh-CN" w:bidi="ar-SA"/>
    </w:rPr>
  </w:style>
  <w:style w:type="character" w:customStyle="1" w:styleId="2031">
    <w:name w:val="Char Char362"/>
    <w:semiHidden/>
    <w:qFormat/>
    <w:uiPriority w:val="0"/>
    <w:rPr>
      <w:rFonts w:ascii="@黑体" w:hAnsi="@黑体"/>
      <w:b/>
      <w:bCs/>
      <w:kern w:val="2"/>
      <w:sz w:val="32"/>
      <w:szCs w:val="32"/>
    </w:rPr>
  </w:style>
  <w:style w:type="character" w:customStyle="1" w:styleId="2032">
    <w:name w:val="z-窗体底部 Char Char"/>
    <w:semiHidden/>
    <w:qFormat/>
    <w:uiPriority w:val="0"/>
    <w:rPr>
      <w:rFonts w:ascii="Arial" w:hAnsi="Arial" w:eastAsia="仿宋_GB2312" w:cs="Arial"/>
      <w:vanish/>
      <w:sz w:val="16"/>
      <w:szCs w:val="16"/>
    </w:rPr>
  </w:style>
  <w:style w:type="character" w:customStyle="1" w:styleId="2033">
    <w:name w:val="lh151"/>
    <w:qFormat/>
    <w:uiPriority w:val="0"/>
  </w:style>
  <w:style w:type="character" w:customStyle="1" w:styleId="2034">
    <w:name w:val="明显引用 字符1"/>
    <w:qFormat/>
    <w:uiPriority w:val="99"/>
    <w:rPr>
      <w:rFonts w:ascii="Times New Roman" w:hAnsi="Times New Roman"/>
      <w:i/>
      <w:iCs/>
      <w:color w:val="4472C4"/>
      <w:kern w:val="2"/>
      <w:sz w:val="21"/>
    </w:rPr>
  </w:style>
  <w:style w:type="character" w:customStyle="1" w:styleId="2035">
    <w:name w:val="title-blue1"/>
    <w:qFormat/>
    <w:uiPriority w:val="0"/>
    <w:rPr>
      <w:rFonts w:hint="eastAsia" w:ascii="幼圆" w:hAnsi="黑体" w:eastAsia="幼圆"/>
      <w:b/>
      <w:bCs/>
      <w:color w:val="009FFF"/>
      <w:spacing w:val="75"/>
      <w:kern w:val="44"/>
      <w:sz w:val="24"/>
      <w:szCs w:val="24"/>
      <w:lang w:val="en-US" w:eastAsia="zh-CN"/>
    </w:rPr>
  </w:style>
  <w:style w:type="character" w:customStyle="1" w:styleId="2036">
    <w:name w:val="无节 Char"/>
    <w:qFormat/>
    <w:uiPriority w:val="0"/>
    <w:rPr>
      <w:rFonts w:ascii="Arial" w:hAnsi="Arial" w:eastAsia="黑体"/>
      <w:b/>
      <w:kern w:val="2"/>
      <w:sz w:val="24"/>
      <w:lang w:val="en-US" w:eastAsia="zh-CN" w:bidi="ar-SA"/>
    </w:rPr>
  </w:style>
  <w:style w:type="character" w:customStyle="1" w:styleId="2037">
    <w:name w:val="Char Char172"/>
    <w:qFormat/>
    <w:uiPriority w:val="0"/>
    <w:rPr>
      <w:rFonts w:ascii="宋体" w:eastAsia="宋体"/>
      <w:kern w:val="2"/>
      <w:sz w:val="24"/>
      <w:lang w:val="en-US" w:eastAsia="zh-CN" w:bidi="ar-SA"/>
    </w:rPr>
  </w:style>
  <w:style w:type="character" w:customStyle="1" w:styleId="2038">
    <w:name w:val="c1"/>
    <w:qFormat/>
    <w:uiPriority w:val="0"/>
    <w:rPr>
      <w:rFonts w:hint="default"/>
      <w:color w:val="000000"/>
      <w:sz w:val="21"/>
      <w:szCs w:val="21"/>
      <w:u w:val="none"/>
    </w:rPr>
  </w:style>
  <w:style w:type="character" w:customStyle="1" w:styleId="2039">
    <w:name w:val="title141"/>
    <w:qFormat/>
    <w:uiPriority w:val="0"/>
    <w:rPr>
      <w:sz w:val="18"/>
      <w:szCs w:val="18"/>
      <w:u w:val="none"/>
    </w:rPr>
  </w:style>
  <w:style w:type="character" w:customStyle="1" w:styleId="2040">
    <w:name w:val="正文样式 Char Char Char Char Char Char"/>
    <w:link w:val="2041"/>
    <w:semiHidden/>
    <w:qFormat/>
    <w:uiPriority w:val="0"/>
    <w:rPr>
      <w:rFonts w:ascii="宋体" w:hAnsi="宋体"/>
      <w:color w:val="000000"/>
      <w:sz w:val="24"/>
      <w:szCs w:val="24"/>
    </w:rPr>
  </w:style>
  <w:style w:type="paragraph" w:customStyle="1" w:styleId="2041">
    <w:name w:val="正文样式 Char Char Char Char Char"/>
    <w:basedOn w:val="1"/>
    <w:link w:val="2040"/>
    <w:semiHidden/>
    <w:qFormat/>
    <w:uiPriority w:val="0"/>
    <w:pPr>
      <w:spacing w:line="360" w:lineRule="auto"/>
      <w:ind w:firstLine="480" w:firstLineChars="200"/>
    </w:pPr>
    <w:rPr>
      <w:rFonts w:ascii="宋体" w:hAnsi="宋体"/>
      <w:color w:val="000000"/>
      <w:kern w:val="0"/>
      <w:sz w:val="24"/>
    </w:rPr>
  </w:style>
  <w:style w:type="character" w:customStyle="1" w:styleId="2042">
    <w:name w:val="Char Char132"/>
    <w:qFormat/>
    <w:uiPriority w:val="0"/>
    <w:rPr>
      <w:rFonts w:eastAsia="宋体"/>
      <w:kern w:val="2"/>
      <w:sz w:val="21"/>
      <w:lang w:val="en-US" w:eastAsia="zh-CN" w:bidi="ar-SA"/>
    </w:rPr>
  </w:style>
  <w:style w:type="character" w:customStyle="1" w:styleId="2043">
    <w:name w:val="样式 标题 3 Char1标题 3 Char Char Char1标题 3 Char Char1h3 Char3 Cha... Char"/>
    <w:link w:val="2044"/>
    <w:semiHidden/>
    <w:qFormat/>
    <w:uiPriority w:val="0"/>
    <w:rPr>
      <w:bCs/>
      <w:sz w:val="24"/>
      <w:szCs w:val="32"/>
    </w:rPr>
  </w:style>
  <w:style w:type="paragraph" w:customStyle="1" w:styleId="2044">
    <w:name w:val="样式 标题 3 Char1标题 3 Char Char Char1标题 3 Char Char1h3 Char3 Cha..."/>
    <w:basedOn w:val="5"/>
    <w:link w:val="2043"/>
    <w:semiHidden/>
    <w:qFormat/>
    <w:uiPriority w:val="0"/>
    <w:pPr>
      <w:keepNext w:val="0"/>
      <w:keepLines w:val="0"/>
      <w:widowControl/>
      <w:numPr>
        <w:ilvl w:val="0"/>
        <w:numId w:val="0"/>
      </w:numPr>
      <w:adjustRightInd w:val="0"/>
      <w:spacing w:before="240" w:after="240" w:line="360" w:lineRule="auto"/>
      <w:jc w:val="center"/>
    </w:pPr>
    <w:rPr>
      <w:b w:val="0"/>
      <w:kern w:val="0"/>
      <w:sz w:val="24"/>
      <w:lang w:val="en-US"/>
    </w:rPr>
  </w:style>
  <w:style w:type="character" w:customStyle="1" w:styleId="2045">
    <w:name w:val="at_5"/>
    <w:qFormat/>
    <w:uiPriority w:val="0"/>
  </w:style>
  <w:style w:type="character" w:customStyle="1" w:styleId="2046">
    <w:name w:val="Char Char102"/>
    <w:qFormat/>
    <w:uiPriority w:val="0"/>
    <w:rPr>
      <w:rFonts w:eastAsia="宋体"/>
      <w:kern w:val="2"/>
      <w:sz w:val="21"/>
      <w:lang w:val="en-US" w:eastAsia="zh-CN" w:bidi="ar-SA"/>
    </w:rPr>
  </w:style>
  <w:style w:type="character" w:customStyle="1" w:styleId="2047">
    <w:name w:val="title41"/>
    <w:qFormat/>
    <w:uiPriority w:val="0"/>
  </w:style>
  <w:style w:type="character" w:customStyle="1" w:styleId="2048">
    <w:name w:val="main-11"/>
    <w:qFormat/>
    <w:uiPriority w:val="0"/>
  </w:style>
  <w:style w:type="character" w:customStyle="1" w:styleId="2049">
    <w:name w:val="Char Char192"/>
    <w:semiHidden/>
    <w:qFormat/>
    <w:uiPriority w:val="0"/>
    <w:rPr>
      <w:rFonts w:eastAsia="宋体"/>
      <w:kern w:val="2"/>
      <w:sz w:val="24"/>
      <w:lang w:val="en-US" w:eastAsia="zh-CN" w:bidi="ar-SA"/>
    </w:rPr>
  </w:style>
  <w:style w:type="character" w:customStyle="1" w:styleId="2050">
    <w:name w:val="样式8 Char"/>
    <w:link w:val="2051"/>
    <w:qFormat/>
    <w:uiPriority w:val="0"/>
    <w:rPr>
      <w:rFonts w:ascii="宋体" w:hAnsi="Arial Black"/>
      <w:kern w:val="2"/>
      <w:sz w:val="24"/>
      <w:szCs w:val="24"/>
    </w:rPr>
  </w:style>
  <w:style w:type="paragraph" w:customStyle="1" w:styleId="2051">
    <w:name w:val="样式8"/>
    <w:basedOn w:val="1"/>
    <w:next w:val="1"/>
    <w:link w:val="2050"/>
    <w:qFormat/>
    <w:uiPriority w:val="0"/>
    <w:pPr>
      <w:ind w:firstLine="420"/>
    </w:pPr>
    <w:rPr>
      <w:rFonts w:ascii="宋体" w:hAnsi="Arial Black"/>
      <w:sz w:val="24"/>
    </w:rPr>
  </w:style>
  <w:style w:type="character" w:customStyle="1" w:styleId="2052">
    <w:name w:val="1正文段落 Char"/>
    <w:link w:val="2053"/>
    <w:qFormat/>
    <w:uiPriority w:val="0"/>
    <w:rPr>
      <w:sz w:val="24"/>
      <w:szCs w:val="24"/>
    </w:rPr>
  </w:style>
  <w:style w:type="paragraph" w:customStyle="1" w:styleId="2053">
    <w:name w:val="1正文段落"/>
    <w:basedOn w:val="1"/>
    <w:link w:val="2052"/>
    <w:qFormat/>
    <w:uiPriority w:val="0"/>
    <w:pPr>
      <w:spacing w:line="360" w:lineRule="auto"/>
      <w:ind w:firstLine="480" w:firstLineChars="200"/>
      <w:jc w:val="left"/>
    </w:pPr>
    <w:rPr>
      <w:kern w:val="0"/>
      <w:sz w:val="24"/>
    </w:rPr>
  </w:style>
  <w:style w:type="character" w:customStyle="1" w:styleId="2054">
    <w:name w:val="Char4 Char"/>
    <w:semiHidden/>
    <w:qFormat/>
    <w:uiPriority w:val="0"/>
    <w:rPr>
      <w:sz w:val="18"/>
      <w:szCs w:val="18"/>
    </w:rPr>
  </w:style>
  <w:style w:type="character" w:customStyle="1" w:styleId="2055">
    <w:name w:val="标准文本 首行缩进:2 字符 行距1.5倍 Char Char"/>
    <w:semiHidden/>
    <w:qFormat/>
    <w:uiPriority w:val="0"/>
    <w:rPr>
      <w:rFonts w:eastAsia="宋体" w:cs="宋体"/>
      <w:kern w:val="2"/>
      <w:sz w:val="24"/>
      <w:szCs w:val="24"/>
      <w:lang w:val="en-US" w:eastAsia="zh-CN" w:bidi="ar-SA"/>
    </w:rPr>
  </w:style>
  <w:style w:type="character" w:customStyle="1" w:styleId="2056">
    <w:name w:val="表蕊居中 Char Char"/>
    <w:qFormat/>
    <w:uiPriority w:val="0"/>
    <w:rPr>
      <w:rFonts w:eastAsia="仿宋_GB2312"/>
      <w:bCs/>
      <w:iCs/>
      <w:spacing w:val="-10"/>
      <w:sz w:val="21"/>
      <w:szCs w:val="21"/>
      <w:lang w:val="en-US" w:eastAsia="zh-CN" w:bidi="ar-SA"/>
    </w:rPr>
  </w:style>
  <w:style w:type="character" w:customStyle="1" w:styleId="2057">
    <w:name w:val="样式 标准文本 首行缩进:2 字符 行距1.5倍 + 首行缩进:  2 字符1 Char"/>
    <w:semiHidden/>
    <w:qFormat/>
    <w:uiPriority w:val="0"/>
  </w:style>
  <w:style w:type="character" w:customStyle="1" w:styleId="2058">
    <w:name w:val="c121"/>
    <w:qFormat/>
    <w:uiPriority w:val="0"/>
    <w:rPr>
      <w:color w:val="666666"/>
      <w:sz w:val="18"/>
      <w:szCs w:val="18"/>
      <w:u w:val="none"/>
    </w:rPr>
  </w:style>
  <w:style w:type="character" w:customStyle="1" w:styleId="2059">
    <w:name w:val="sovnn"/>
    <w:qFormat/>
    <w:uiPriority w:val="0"/>
  </w:style>
  <w:style w:type="character" w:customStyle="1" w:styleId="2060">
    <w:name w:val="newstxt"/>
    <w:qFormat/>
    <w:uiPriority w:val="0"/>
  </w:style>
  <w:style w:type="character" w:customStyle="1" w:styleId="2061">
    <w:name w:val="文本匡小五号 Char Char Char"/>
    <w:qFormat/>
    <w:uiPriority w:val="0"/>
    <w:rPr>
      <w:rFonts w:ascii="宋体" w:hAnsi="宋体" w:eastAsia="仿宋_GB2312" w:cs="Courier New"/>
      <w:kern w:val="2"/>
      <w:sz w:val="18"/>
      <w:szCs w:val="24"/>
      <w:lang w:val="en-US" w:eastAsia="zh-CN" w:bidi="ar-SA"/>
    </w:rPr>
  </w:style>
  <w:style w:type="character" w:customStyle="1" w:styleId="2062">
    <w:name w:val="表号 Char1"/>
    <w:semiHidden/>
    <w:qFormat/>
    <w:uiPriority w:val="0"/>
    <w:rPr>
      <w:rFonts w:ascii="宋体" w:hAnsi="宋体" w:eastAsia="宋体"/>
      <w:sz w:val="24"/>
      <w:szCs w:val="24"/>
      <w:lang w:val="en-US" w:eastAsia="zh-CN" w:bidi="ar-SA"/>
    </w:rPr>
  </w:style>
  <w:style w:type="character" w:customStyle="1" w:styleId="2063">
    <w:name w:val="hottext1"/>
    <w:qFormat/>
    <w:uiPriority w:val="0"/>
    <w:rPr>
      <w:rFonts w:ascii="宋体" w:hAnsi="宋体" w:eastAsia="宋体"/>
      <w:strike/>
      <w:sz w:val="22"/>
      <w:u w:val="none"/>
    </w:rPr>
  </w:style>
  <w:style w:type="character" w:customStyle="1" w:styleId="2064">
    <w:name w:val="Char Char123"/>
    <w:qFormat/>
    <w:uiPriority w:val="0"/>
    <w:rPr>
      <w:rFonts w:eastAsia="宋体"/>
      <w:kern w:val="2"/>
      <w:sz w:val="16"/>
      <w:szCs w:val="16"/>
      <w:lang w:val="en-US" w:eastAsia="zh-CN" w:bidi="ar-SA"/>
    </w:rPr>
  </w:style>
  <w:style w:type="character" w:customStyle="1" w:styleId="2065">
    <w:name w:val="Char4 Char Char Char Char3"/>
    <w:link w:val="2066"/>
    <w:qFormat/>
    <w:uiPriority w:val="0"/>
    <w:rPr>
      <w:sz w:val="24"/>
      <w:szCs w:val="24"/>
    </w:rPr>
  </w:style>
  <w:style w:type="paragraph" w:customStyle="1" w:styleId="2066">
    <w:name w:val="Char4 Char Char Char"/>
    <w:basedOn w:val="1"/>
    <w:link w:val="2065"/>
    <w:qFormat/>
    <w:uiPriority w:val="0"/>
    <w:rPr>
      <w:kern w:val="0"/>
      <w:sz w:val="24"/>
    </w:rPr>
  </w:style>
  <w:style w:type="character" w:customStyle="1" w:styleId="2067">
    <w:name w:val="line181"/>
    <w:qFormat/>
    <w:uiPriority w:val="0"/>
  </w:style>
  <w:style w:type="character" w:customStyle="1" w:styleId="2068">
    <w:name w:val="样式 标准文本 首行缩进:2 字符 行距1.5倍 + 首行缩进:  2 字符1 Char Char"/>
    <w:semiHidden/>
    <w:qFormat/>
    <w:uiPriority w:val="0"/>
    <w:rPr>
      <w:rFonts w:eastAsia="宋体" w:cs="宋体"/>
      <w:kern w:val="2"/>
      <w:sz w:val="24"/>
      <w:szCs w:val="24"/>
      <w:lang w:val="en-US" w:eastAsia="zh-CN" w:bidi="ar-SA"/>
    </w:rPr>
  </w:style>
  <w:style w:type="character" w:customStyle="1" w:styleId="2069">
    <w:name w:val="hhcwt表格内文字 Char"/>
    <w:link w:val="2070"/>
    <w:qFormat/>
    <w:uiPriority w:val="0"/>
    <w:rPr>
      <w:rFonts w:eastAsia="仿宋_GB2312"/>
      <w:kern w:val="2"/>
      <w:sz w:val="21"/>
      <w:szCs w:val="21"/>
    </w:rPr>
  </w:style>
  <w:style w:type="paragraph" w:customStyle="1" w:styleId="2070">
    <w:name w:val="hhcwt表格内文字"/>
    <w:basedOn w:val="1"/>
    <w:link w:val="2069"/>
    <w:qFormat/>
    <w:uiPriority w:val="0"/>
    <w:pPr>
      <w:jc w:val="center"/>
    </w:pPr>
    <w:rPr>
      <w:rFonts w:eastAsia="仿宋_GB2312"/>
      <w:szCs w:val="21"/>
    </w:rPr>
  </w:style>
  <w:style w:type="character" w:customStyle="1" w:styleId="2071">
    <w:name w:val="Char Char11"/>
    <w:qFormat/>
    <w:uiPriority w:val="0"/>
    <w:rPr>
      <w:rFonts w:ascii="Arial" w:hAnsi="Arial" w:eastAsia="宋体" w:cs="Arial"/>
      <w:b/>
      <w:bCs/>
      <w:kern w:val="2"/>
      <w:sz w:val="32"/>
      <w:szCs w:val="32"/>
      <w:lang w:val="en-US" w:eastAsia="zh-CN" w:bidi="ar-SA"/>
    </w:rPr>
  </w:style>
  <w:style w:type="character" w:customStyle="1" w:styleId="2072">
    <w:name w:val="smile4"/>
    <w:semiHidden/>
    <w:qFormat/>
    <w:uiPriority w:val="0"/>
    <w:rPr>
      <w:rFonts w:hint="default" w:ascii="黑体" w:hAnsi="黑体"/>
      <w:color w:val="000000"/>
      <w:sz w:val="18"/>
      <w:szCs w:val="18"/>
    </w:rPr>
  </w:style>
  <w:style w:type="character" w:customStyle="1" w:styleId="2073">
    <w:name w:val="主标题 Char Char2"/>
    <w:semiHidden/>
    <w:qFormat/>
    <w:uiPriority w:val="0"/>
    <w:rPr>
      <w:rFonts w:ascii="Arial" w:hAnsi="Arial" w:eastAsia="宋体" w:cs="Arial"/>
      <w:b/>
      <w:bCs/>
      <w:sz w:val="32"/>
      <w:szCs w:val="32"/>
    </w:rPr>
  </w:style>
  <w:style w:type="character" w:customStyle="1" w:styleId="2074">
    <w:name w:val="table"/>
    <w:semiHidden/>
    <w:qFormat/>
    <w:uiPriority w:val="0"/>
  </w:style>
  <w:style w:type="character" w:customStyle="1" w:styleId="2075">
    <w:name w:val="dash Char1"/>
    <w:qFormat/>
    <w:uiPriority w:val="0"/>
    <w:rPr>
      <w:rFonts w:eastAsia="宋体"/>
      <w:b/>
      <w:kern w:val="2"/>
      <w:sz w:val="28"/>
      <w:lang w:val="en-US" w:eastAsia="zh-CN" w:bidi="ar-SA"/>
    </w:rPr>
  </w:style>
  <w:style w:type="character" w:customStyle="1" w:styleId="2076">
    <w:name w:val="Char Char441"/>
    <w:semiHidden/>
    <w:qFormat/>
    <w:uiPriority w:val="0"/>
    <w:rPr>
      <w:rFonts w:ascii="Arial" w:hAnsi="Arial" w:eastAsia="仿宋_GB2312"/>
      <w:sz w:val="24"/>
      <w:lang w:val="en-US" w:eastAsia="zh-CN" w:bidi="ar-SA"/>
    </w:rPr>
  </w:style>
  <w:style w:type="character" w:customStyle="1" w:styleId="2077">
    <w:name w:val="keyword"/>
    <w:qFormat/>
    <w:uiPriority w:val="0"/>
  </w:style>
  <w:style w:type="character" w:customStyle="1" w:styleId="2078">
    <w:name w:val="bititle"/>
    <w:qFormat/>
    <w:uiPriority w:val="0"/>
  </w:style>
  <w:style w:type="character" w:customStyle="1" w:styleId="2079">
    <w:name w:val="表头图名 Char"/>
    <w:link w:val="2080"/>
    <w:semiHidden/>
    <w:qFormat/>
    <w:uiPriority w:val="0"/>
    <w:rPr>
      <w:b/>
      <w:spacing w:val="10"/>
      <w:sz w:val="24"/>
      <w:szCs w:val="28"/>
    </w:rPr>
  </w:style>
  <w:style w:type="paragraph" w:customStyle="1" w:styleId="2080">
    <w:name w:val="表头图名"/>
    <w:basedOn w:val="1"/>
    <w:link w:val="2079"/>
    <w:semiHidden/>
    <w:qFormat/>
    <w:uiPriority w:val="0"/>
    <w:pPr>
      <w:adjustRightInd w:val="0"/>
      <w:snapToGrid w:val="0"/>
      <w:spacing w:line="240" w:lineRule="atLeast"/>
      <w:jc w:val="center"/>
    </w:pPr>
    <w:rPr>
      <w:b/>
      <w:spacing w:val="10"/>
      <w:kern w:val="0"/>
      <w:sz w:val="24"/>
      <w:szCs w:val="28"/>
    </w:rPr>
  </w:style>
  <w:style w:type="character" w:customStyle="1" w:styleId="2081">
    <w:name w:val="环表头 Char5"/>
    <w:qFormat/>
    <w:uiPriority w:val="0"/>
    <w:rPr>
      <w:rFonts w:eastAsia="黑体"/>
      <w:color w:val="000000"/>
      <w:sz w:val="24"/>
      <w:szCs w:val="24"/>
      <w:lang w:val="en-US" w:eastAsia="zh-CN" w:bidi="ar-SA"/>
    </w:rPr>
  </w:style>
  <w:style w:type="character" w:customStyle="1" w:styleId="2082">
    <w:name w:val="正文01 Char Char Char"/>
    <w:link w:val="2083"/>
    <w:semiHidden/>
    <w:qFormat/>
    <w:uiPriority w:val="0"/>
    <w:rPr>
      <w:rFonts w:ascii="@黑体" w:hAnsi="@黑体"/>
      <w:color w:val="000000"/>
      <w:sz w:val="24"/>
      <w:szCs w:val="24"/>
    </w:rPr>
  </w:style>
  <w:style w:type="paragraph" w:customStyle="1" w:styleId="2083">
    <w:name w:val="正文01 Char Char"/>
    <w:basedOn w:val="1"/>
    <w:link w:val="2082"/>
    <w:semiHidden/>
    <w:qFormat/>
    <w:uiPriority w:val="0"/>
    <w:pPr>
      <w:adjustRightInd w:val="0"/>
      <w:snapToGrid w:val="0"/>
      <w:spacing w:before="60" w:line="460" w:lineRule="exact"/>
      <w:ind w:firstLine="200" w:firstLineChars="200"/>
    </w:pPr>
    <w:rPr>
      <w:rFonts w:ascii="@黑体" w:hAnsi="@黑体"/>
      <w:color w:val="000000"/>
      <w:kern w:val="0"/>
      <w:sz w:val="24"/>
    </w:rPr>
  </w:style>
  <w:style w:type="character" w:customStyle="1" w:styleId="2084">
    <w:name w:val="content"/>
    <w:qFormat/>
    <w:uiPriority w:val="0"/>
    <w:rPr>
      <w:rFonts w:ascii="宋体" w:hAnsi="宋体" w:eastAsia="宋体"/>
      <w:b/>
      <w:spacing w:val="10"/>
      <w:kern w:val="2"/>
      <w:sz w:val="24"/>
      <w:szCs w:val="24"/>
      <w:lang w:val="en-US" w:eastAsia="zh-CN" w:bidi="ar-SA"/>
    </w:rPr>
  </w:style>
  <w:style w:type="character" w:customStyle="1" w:styleId="2085">
    <w:name w:val="Char Char165"/>
    <w:semiHidden/>
    <w:qFormat/>
    <w:uiPriority w:val="0"/>
    <w:rPr>
      <w:rFonts w:eastAsia="宋体"/>
      <w:kern w:val="2"/>
      <w:sz w:val="21"/>
      <w:lang w:val="en-US" w:eastAsia="zh-CN" w:bidi="ar-SA"/>
    </w:rPr>
  </w:style>
  <w:style w:type="character" w:customStyle="1" w:styleId="2086">
    <w:name w:val="blacktt1"/>
    <w:semiHidden/>
    <w:qFormat/>
    <w:uiPriority w:val="0"/>
    <w:rPr>
      <w:rFonts w:hint="default" w:ascii="黑体" w:hAnsi="黑体"/>
      <w:color w:val="000000"/>
      <w:sz w:val="18"/>
      <w:szCs w:val="18"/>
      <w:u w:val="none"/>
    </w:rPr>
  </w:style>
  <w:style w:type="character" w:customStyle="1" w:styleId="2087">
    <w:name w:val="样式 小四 Char"/>
    <w:link w:val="2088"/>
    <w:qFormat/>
    <w:uiPriority w:val="0"/>
    <w:rPr>
      <w:kern w:val="2"/>
      <w:sz w:val="24"/>
      <w:szCs w:val="24"/>
    </w:rPr>
  </w:style>
  <w:style w:type="paragraph" w:customStyle="1" w:styleId="2088">
    <w:name w:val="样式 小四"/>
    <w:basedOn w:val="1"/>
    <w:link w:val="2087"/>
    <w:qFormat/>
    <w:uiPriority w:val="0"/>
    <w:pPr>
      <w:spacing w:before="120" w:line="288" w:lineRule="auto"/>
      <w:ind w:firstLine="200" w:firstLineChars="200"/>
    </w:pPr>
    <w:rPr>
      <w:sz w:val="24"/>
    </w:rPr>
  </w:style>
  <w:style w:type="paragraph" w:customStyle="1" w:styleId="2089">
    <w:name w:val="xl287"/>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b/>
      <w:bCs/>
      <w:color w:val="CC99FF"/>
      <w:kern w:val="0"/>
      <w:sz w:val="18"/>
      <w:szCs w:val="18"/>
    </w:rPr>
  </w:style>
  <w:style w:type="paragraph" w:customStyle="1" w:styleId="2090">
    <w:name w:val="Char Char Char Char Char Char Char Char Char Char Char Char Char Char"/>
    <w:basedOn w:val="1"/>
    <w:semiHidden/>
    <w:qFormat/>
    <w:uiPriority w:val="0"/>
    <w:rPr>
      <w:rFonts w:ascii="Calibri" w:hAnsi="Calibri" w:cs="Calibri"/>
      <w:sz w:val="24"/>
    </w:rPr>
  </w:style>
  <w:style w:type="paragraph" w:customStyle="1" w:styleId="2091">
    <w:name w:val="zxz5"/>
    <w:next w:val="2053"/>
    <w:qFormat/>
    <w:uiPriority w:val="99"/>
    <w:pPr>
      <w:tabs>
        <w:tab w:val="left" w:pos="0"/>
      </w:tabs>
      <w:jc w:val="center"/>
    </w:pPr>
    <w:rPr>
      <w:rFonts w:ascii="宋体" w:hAnsi="宋体" w:eastAsia="Times New Roman" w:cs="宋体"/>
      <w:bCs/>
      <w:kern w:val="2"/>
      <w:sz w:val="18"/>
      <w:szCs w:val="18"/>
      <w:lang w:val="en-US" w:eastAsia="zh-CN" w:bidi="ar-SA"/>
    </w:rPr>
  </w:style>
  <w:style w:type="paragraph" w:customStyle="1" w:styleId="2092">
    <w:name w:val="xl211"/>
    <w:basedOn w:val="1"/>
    <w:semiHidden/>
    <w:qFormat/>
    <w:uiPriority w:val="0"/>
    <w:pPr>
      <w:widowControl/>
      <w:pBdr>
        <w:bottom w:val="single" w:color="auto" w:sz="12"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2093">
    <w:name w:val="红线"/>
    <w:basedOn w:val="1"/>
    <w:qFormat/>
    <w:uiPriority w:val="0"/>
    <w:pPr>
      <w:autoSpaceDE w:val="0"/>
      <w:autoSpaceDN w:val="0"/>
      <w:adjustRightInd w:val="0"/>
      <w:spacing w:after="170" w:line="227" w:lineRule="atLeast"/>
      <w:jc w:val="center"/>
    </w:pPr>
    <w:rPr>
      <w:rFonts w:ascii="Calibri" w:hAnsi="Calibri" w:eastAsia="方正仿宋_GBK" w:cs="Calibri"/>
      <w:snapToGrid w:val="0"/>
      <w:kern w:val="0"/>
      <w:sz w:val="10"/>
      <w:szCs w:val="20"/>
    </w:rPr>
  </w:style>
  <w:style w:type="paragraph" w:customStyle="1" w:styleId="2094">
    <w:name w:val="正文文本缩进 312"/>
    <w:basedOn w:val="1"/>
    <w:semiHidden/>
    <w:qFormat/>
    <w:uiPriority w:val="0"/>
    <w:pPr>
      <w:adjustRightInd w:val="0"/>
      <w:spacing w:line="480" w:lineRule="exact"/>
      <w:ind w:firstLine="525"/>
      <w:textAlignment w:val="baseline"/>
    </w:pPr>
    <w:rPr>
      <w:rFonts w:ascii="宋体" w:hAnsi="Calibri" w:cs="Calibri"/>
      <w:sz w:val="28"/>
      <w:szCs w:val="20"/>
    </w:rPr>
  </w:style>
  <w:style w:type="paragraph" w:customStyle="1" w:styleId="2095">
    <w:name w:val="Personal Info"/>
    <w:semiHidden/>
    <w:qFormat/>
    <w:uiPriority w:val="0"/>
    <w:pPr>
      <w:spacing w:before="220"/>
    </w:pPr>
    <w:rPr>
      <w:rFonts w:ascii="Times New Roman" w:hAnsi="Times New Roman" w:eastAsia="宋体" w:cs="Calibri"/>
      <w:lang w:val="en-US" w:eastAsia="zh-CN" w:bidi="ar-SA"/>
    </w:rPr>
  </w:style>
  <w:style w:type="paragraph" w:customStyle="1" w:styleId="2096">
    <w:name w:val="Achievement"/>
    <w:basedOn w:val="36"/>
    <w:semiHidden/>
    <w:qFormat/>
    <w:uiPriority w:val="0"/>
    <w:pPr>
      <w:snapToGrid/>
      <w:spacing w:before="0" w:after="60" w:line="220" w:lineRule="atLeast"/>
      <w:ind w:right="-360"/>
      <w:jc w:val="left"/>
    </w:pPr>
    <w:rPr>
      <w:rFonts w:ascii="@黑体" w:hAnsi="@黑体" w:eastAsia="黑体" w:cs="Calibri"/>
      <w:sz w:val="20"/>
      <w:lang w:val="en-US"/>
    </w:rPr>
  </w:style>
  <w:style w:type="paragraph" w:customStyle="1" w:styleId="2097">
    <w:name w:val="Char2 Char Char Char Char Char Char Char Char Char Char Char Char Char Char Char Char Char Char Char Char Char"/>
    <w:basedOn w:val="1"/>
    <w:qFormat/>
    <w:uiPriority w:val="99"/>
    <w:pPr>
      <w:snapToGrid w:val="0"/>
      <w:spacing w:line="360" w:lineRule="auto"/>
      <w:ind w:firstLine="200" w:firstLineChars="200"/>
    </w:pPr>
    <w:rPr>
      <w:rFonts w:ascii="Calibri" w:hAnsi="Calibri" w:eastAsia="仿宋_GB2312" w:cs="Calibri"/>
      <w:sz w:val="24"/>
    </w:rPr>
  </w:style>
  <w:style w:type="paragraph" w:customStyle="1" w:styleId="2098">
    <w:name w:val="Char Char Char Char Char Char Char Char1 Char Char Char Char Char Char Char Char Char Char Char Char1 Char1"/>
    <w:basedOn w:val="1"/>
    <w:qFormat/>
    <w:uiPriority w:val="99"/>
    <w:rPr>
      <w:rFonts w:ascii="Calibri" w:hAnsi="Calibri" w:cs="Calibri"/>
      <w:sz w:val="24"/>
    </w:rPr>
  </w:style>
  <w:style w:type="paragraph" w:customStyle="1" w:styleId="2099">
    <w:name w:val="Char2 Char Char Char Char Char Char Char Char 字元 字元"/>
    <w:basedOn w:val="1"/>
    <w:semiHidden/>
    <w:qFormat/>
    <w:uiPriority w:val="0"/>
    <w:rPr>
      <w:rFonts w:ascii="Calibri" w:hAnsi="Calibri" w:cs="Calibri"/>
      <w:sz w:val="24"/>
    </w:rPr>
  </w:style>
  <w:style w:type="paragraph" w:customStyle="1" w:styleId="2100">
    <w:name w:val="Char3 Char Char Char4"/>
    <w:basedOn w:val="1"/>
    <w:semiHidden/>
    <w:qFormat/>
    <w:uiPriority w:val="0"/>
    <w:rPr>
      <w:rFonts w:ascii="Calibri" w:hAnsi="Calibri" w:cs="Calibri"/>
      <w:sz w:val="28"/>
    </w:rPr>
  </w:style>
  <w:style w:type="paragraph" w:customStyle="1" w:styleId="2101">
    <w:name w:val="sy11"/>
    <w:basedOn w:val="1"/>
    <w:semiHidden/>
    <w:qFormat/>
    <w:uiPriority w:val="0"/>
    <w:pPr>
      <w:widowControl/>
      <w:spacing w:before="100" w:beforeAutospacing="1" w:after="100" w:afterAutospacing="1"/>
      <w:jc w:val="left"/>
    </w:pPr>
    <w:rPr>
      <w:rFonts w:ascii="@黑体" w:hAnsi="@黑体" w:eastAsia="黑体" w:cs="@黑体"/>
      <w:color w:val="000000"/>
      <w:kern w:val="0"/>
      <w:sz w:val="24"/>
    </w:rPr>
  </w:style>
  <w:style w:type="paragraph" w:customStyle="1" w:styleId="2102">
    <w:name w:val="方框图"/>
    <w:basedOn w:val="1"/>
    <w:semiHidden/>
    <w:qFormat/>
    <w:uiPriority w:val="0"/>
    <w:pPr>
      <w:spacing w:line="240" w:lineRule="exact"/>
      <w:jc w:val="center"/>
    </w:pPr>
    <w:rPr>
      <w:rFonts w:ascii="Calibri" w:hAnsi="Calibri" w:eastAsia="方正仿宋_GBK" w:cs="Calibri"/>
    </w:rPr>
  </w:style>
  <w:style w:type="paragraph" w:customStyle="1" w:styleId="2103">
    <w:name w:val="Plain Text2"/>
    <w:basedOn w:val="1"/>
    <w:qFormat/>
    <w:uiPriority w:val="0"/>
    <w:pPr>
      <w:autoSpaceDE w:val="0"/>
      <w:autoSpaceDN w:val="0"/>
      <w:adjustRightInd w:val="0"/>
      <w:textAlignment w:val="baseline"/>
    </w:pPr>
    <w:rPr>
      <w:rFonts w:ascii="宋体" w:hAnsi="Tms Rmn" w:cs="Calibri"/>
      <w:kern w:val="0"/>
      <w:szCs w:val="20"/>
    </w:rPr>
  </w:style>
  <w:style w:type="paragraph" w:customStyle="1" w:styleId="2104">
    <w:name w:val="样式 标题 4 + 段前: 7.8 磅"/>
    <w:basedOn w:val="6"/>
    <w:qFormat/>
    <w:uiPriority w:val="0"/>
    <w:pPr>
      <w:numPr>
        <w:ilvl w:val="0"/>
        <w:numId w:val="0"/>
      </w:numPr>
      <w:adjustRightInd w:val="0"/>
      <w:spacing w:before="0" w:after="0" w:line="500" w:lineRule="exact"/>
      <w:outlineLvl w:val="0"/>
    </w:pPr>
    <w:rPr>
      <w:rFonts w:eastAsia="仿宋_GB2312" w:cs="Arial"/>
      <w:b w:val="0"/>
      <w:sz w:val="24"/>
      <w:szCs w:val="21"/>
      <w:lang w:val="en-US"/>
    </w:rPr>
  </w:style>
  <w:style w:type="paragraph" w:customStyle="1" w:styleId="2105">
    <w:name w:val="样式 标题 3 + 宋体 四号 行距: 1.5 倍行距"/>
    <w:basedOn w:val="5"/>
    <w:qFormat/>
    <w:uiPriority w:val="99"/>
    <w:pPr>
      <w:numPr>
        <w:ilvl w:val="0"/>
        <w:numId w:val="0"/>
      </w:numPr>
      <w:adjustRightInd w:val="0"/>
      <w:spacing w:line="360" w:lineRule="auto"/>
    </w:pPr>
    <w:rPr>
      <w:rFonts w:ascii="宋体" w:hAnsi="宋体" w:cs="Calibri"/>
      <w:b w:val="0"/>
      <w:sz w:val="24"/>
      <w:szCs w:val="28"/>
      <w:lang w:val="en-US"/>
    </w:rPr>
  </w:style>
  <w:style w:type="paragraph" w:customStyle="1" w:styleId="2106">
    <w:name w:val="Char Char Char Char Char Char Char Char Char Char2"/>
    <w:basedOn w:val="1"/>
    <w:qFormat/>
    <w:uiPriority w:val="99"/>
    <w:rPr>
      <w:rFonts w:ascii="Calibri" w:hAnsi="Calibri" w:cs="Calibri"/>
      <w:sz w:val="24"/>
    </w:rPr>
  </w:style>
  <w:style w:type="paragraph" w:customStyle="1" w:styleId="2107">
    <w:name w:val="3xi1"/>
    <w:basedOn w:val="1"/>
    <w:qFormat/>
    <w:uiPriority w:val="99"/>
    <w:pPr>
      <w:widowControl/>
      <w:spacing w:before="100" w:beforeAutospacing="1" w:after="100" w:afterAutospacing="1"/>
      <w:jc w:val="left"/>
    </w:pPr>
    <w:rPr>
      <w:rFonts w:ascii="宋体" w:hAnsi="宋体" w:cs="宋体"/>
      <w:kern w:val="0"/>
      <w:sz w:val="24"/>
    </w:rPr>
  </w:style>
  <w:style w:type="paragraph" w:customStyle="1" w:styleId="2108">
    <w:name w:val="正文图"/>
    <w:basedOn w:val="1"/>
    <w:qFormat/>
    <w:uiPriority w:val="0"/>
    <w:pPr>
      <w:adjustRightInd w:val="0"/>
      <w:snapToGrid w:val="0"/>
      <w:spacing w:before="40"/>
      <w:jc w:val="center"/>
      <w:textAlignment w:val="baseline"/>
    </w:pPr>
    <w:rPr>
      <w:rFonts w:ascii="宋体" w:hAnsi="Calibri" w:cs="Calibri"/>
      <w:kern w:val="0"/>
      <w:sz w:val="24"/>
      <w:szCs w:val="20"/>
    </w:rPr>
  </w:style>
  <w:style w:type="paragraph" w:customStyle="1" w:styleId="2109">
    <w:name w:val="Char Char Char Char Char Char Char Char1 Char Char Char Char Char Char Char Char Char Char Char Char1"/>
    <w:basedOn w:val="1"/>
    <w:qFormat/>
    <w:uiPriority w:val="0"/>
    <w:rPr>
      <w:rFonts w:ascii="Calibri" w:hAnsi="Calibri" w:cs="Calibri"/>
      <w:sz w:val="24"/>
    </w:rPr>
  </w:style>
  <w:style w:type="paragraph" w:customStyle="1" w:styleId="2110">
    <w:name w:val="样式 小四 行距: 1.5 倍行距"/>
    <w:basedOn w:val="1"/>
    <w:qFormat/>
    <w:uiPriority w:val="99"/>
    <w:pPr>
      <w:spacing w:line="360" w:lineRule="auto"/>
      <w:ind w:firstLine="200" w:firstLineChars="200"/>
    </w:pPr>
    <w:rPr>
      <w:rFonts w:ascii="Calibri" w:hAnsi="Calibri" w:cs="宋体"/>
      <w:kern w:val="0"/>
      <w:sz w:val="24"/>
      <w:szCs w:val="20"/>
    </w:rPr>
  </w:style>
  <w:style w:type="paragraph" w:customStyle="1" w:styleId="2111">
    <w:name w:val="图名"/>
    <w:qFormat/>
    <w:uiPriority w:val="99"/>
    <w:pPr>
      <w:textAlignment w:val="baseline"/>
    </w:pPr>
    <w:rPr>
      <w:rFonts w:ascii="Times New Roman" w:hAnsi="Times New Roman" w:eastAsia="宋体" w:cs="Calibri"/>
      <w:lang w:val="en-US" w:eastAsia="zh-CN" w:bidi="ar-SA"/>
    </w:rPr>
  </w:style>
  <w:style w:type="paragraph" w:customStyle="1" w:styleId="2112">
    <w:name w:val="表名"/>
    <w:basedOn w:val="1"/>
    <w:qFormat/>
    <w:uiPriority w:val="0"/>
    <w:pPr>
      <w:adjustRightInd w:val="0"/>
      <w:spacing w:before="120" w:after="120" w:line="380" w:lineRule="atLeast"/>
      <w:ind w:firstLine="425"/>
      <w:jc w:val="center"/>
    </w:pPr>
    <w:rPr>
      <w:rFonts w:ascii="Calibri" w:hAnsi="Calibri" w:cs="Calibri"/>
      <w:kern w:val="0"/>
      <w:sz w:val="24"/>
      <w:szCs w:val="20"/>
    </w:rPr>
  </w:style>
  <w:style w:type="paragraph" w:customStyle="1" w:styleId="2113">
    <w:name w:val="myformat_content Char"/>
    <w:basedOn w:val="1"/>
    <w:qFormat/>
    <w:uiPriority w:val="99"/>
    <w:pPr>
      <w:spacing w:beforeLines="50" w:afterLines="50" w:line="360" w:lineRule="exact"/>
      <w:ind w:firstLine="480" w:firstLineChars="200"/>
    </w:pPr>
    <w:rPr>
      <w:rFonts w:ascii="Calibri" w:hAnsi="Calibri" w:cs="Calibri"/>
      <w:sz w:val="24"/>
      <w:szCs w:val="20"/>
    </w:rPr>
  </w:style>
  <w:style w:type="paragraph" w:customStyle="1" w:styleId="2114">
    <w:name w:val="小四居中行1"/>
    <w:basedOn w:val="1"/>
    <w:qFormat/>
    <w:uiPriority w:val="0"/>
    <w:pPr>
      <w:ind w:left="140"/>
      <w:jc w:val="center"/>
    </w:pPr>
    <w:rPr>
      <w:rFonts w:ascii="宋体" w:hAnsi="Calibri" w:eastAsia="仿宋_GB2312" w:cs="Calibri"/>
      <w:sz w:val="24"/>
      <w:szCs w:val="20"/>
    </w:rPr>
  </w:style>
  <w:style w:type="paragraph" w:customStyle="1" w:styleId="2115">
    <w:name w:val="xl45"/>
    <w:basedOn w:val="1"/>
    <w:qFormat/>
    <w:uiPriority w:val="0"/>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116">
    <w:name w:val="za正文"/>
    <w:basedOn w:val="1"/>
    <w:qFormat/>
    <w:uiPriority w:val="99"/>
    <w:pPr>
      <w:adjustRightInd w:val="0"/>
      <w:snapToGrid w:val="0"/>
      <w:ind w:firstLine="236" w:firstLineChars="98"/>
      <w:jc w:val="center"/>
      <w:outlineLvl w:val="3"/>
    </w:pPr>
    <w:rPr>
      <w:rFonts w:ascii="宋体" w:hAnsi="宋体" w:cs="Calibri"/>
      <w:b/>
      <w:bCs/>
      <w:color w:val="000000"/>
      <w:kern w:val="0"/>
      <w:sz w:val="24"/>
    </w:rPr>
  </w:style>
  <w:style w:type="paragraph" w:customStyle="1" w:styleId="2117">
    <w:name w:val="一级"/>
    <w:basedOn w:val="3"/>
    <w:next w:val="1"/>
    <w:semiHidden/>
    <w:qFormat/>
    <w:uiPriority w:val="0"/>
    <w:pPr>
      <w:tabs>
        <w:tab w:val="left" w:pos="0"/>
      </w:tabs>
      <w:overflowPunct/>
      <w:adjustRightInd w:val="0"/>
      <w:snapToGrid/>
      <w:spacing w:before="240" w:beforeLines="100" w:after="240" w:afterLines="100" w:line="500" w:lineRule="exact"/>
      <w:ind w:left="0" w:firstLine="0"/>
    </w:pPr>
    <w:rPr>
      <w:rFonts w:eastAsia="宋体"/>
      <w:b w:val="0"/>
      <w:bCs w:val="0"/>
      <w:color w:val="auto"/>
      <w:spacing w:val="12"/>
      <w:kern w:val="2"/>
      <w:sz w:val="28"/>
      <w:szCs w:val="28"/>
    </w:rPr>
  </w:style>
  <w:style w:type="paragraph" w:customStyle="1" w:styleId="2118">
    <w:name w:val="日期11"/>
    <w:basedOn w:val="1"/>
    <w:next w:val="1"/>
    <w:qFormat/>
    <w:uiPriority w:val="99"/>
    <w:pPr>
      <w:adjustRightInd w:val="0"/>
      <w:textAlignment w:val="baseline"/>
    </w:pPr>
    <w:rPr>
      <w:rFonts w:ascii="Calibri" w:hAnsi="Calibri" w:cs="Calibri"/>
      <w:szCs w:val="20"/>
    </w:rPr>
  </w:style>
  <w:style w:type="paragraph" w:customStyle="1" w:styleId="2119">
    <w:name w:val="样式 标题 3 + 宋体 四号"/>
    <w:basedOn w:val="5"/>
    <w:qFormat/>
    <w:uiPriority w:val="99"/>
    <w:pPr>
      <w:numPr>
        <w:ilvl w:val="0"/>
        <w:numId w:val="0"/>
      </w:numPr>
      <w:adjustRightInd w:val="0"/>
    </w:pPr>
    <w:rPr>
      <w:rFonts w:ascii="宋体" w:hAnsi="宋体" w:cs="Calibri"/>
      <w:b w:val="0"/>
      <w:sz w:val="24"/>
      <w:szCs w:val="24"/>
      <w:lang w:val="en-US"/>
    </w:rPr>
  </w:style>
  <w:style w:type="paragraph" w:customStyle="1" w:styleId="2120">
    <w:name w:val="样式11"/>
    <w:basedOn w:val="1"/>
    <w:qFormat/>
    <w:uiPriority w:val="0"/>
    <w:pPr>
      <w:tabs>
        <w:tab w:val="left" w:pos="720"/>
      </w:tabs>
      <w:adjustRightInd w:val="0"/>
      <w:snapToGrid w:val="0"/>
      <w:spacing w:line="312" w:lineRule="auto"/>
      <w:ind w:left="720" w:hanging="720"/>
    </w:pPr>
    <w:rPr>
      <w:rFonts w:ascii="仿宋_GB2312" w:hAnsi="Calibri" w:eastAsia="仿宋_GB2312" w:cs="Calibri"/>
      <w:sz w:val="28"/>
    </w:rPr>
  </w:style>
  <w:style w:type="paragraph" w:customStyle="1" w:styleId="2121">
    <w:name w:val="Char Char Char Char Char Char Char Char Char Char Char Char Char Char Char Char Char Char Char Char Char Char Char Char Char Char Char Char Char Char Char1"/>
    <w:basedOn w:val="1"/>
    <w:semiHidden/>
    <w:qFormat/>
    <w:uiPriority w:val="0"/>
    <w:pPr>
      <w:spacing w:line="360" w:lineRule="auto"/>
      <w:ind w:firstLine="200" w:firstLineChars="200"/>
    </w:pPr>
    <w:rPr>
      <w:rFonts w:ascii="@黑体" w:hAnsi="@黑体" w:eastAsia="黑体" w:cs="@黑体"/>
      <w:sz w:val="24"/>
    </w:rPr>
  </w:style>
  <w:style w:type="paragraph" w:customStyle="1" w:styleId="2122">
    <w:name w:val="xl220"/>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123">
    <w:name w:val="reader-word-layer reader-word-s3-3"/>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124">
    <w:name w:val="样式-1-"/>
    <w:basedOn w:val="57"/>
    <w:qFormat/>
    <w:uiPriority w:val="99"/>
    <w:pPr>
      <w:framePr w:wrap="around" w:vAnchor="text" w:hAnchor="margin" w:xAlign="center" w:y="1"/>
    </w:pPr>
    <w:rPr>
      <w:rFonts w:ascii="仿宋_GB2312" w:hAnsi="Courier New" w:cs="Calibri"/>
      <w:sz w:val="24"/>
      <w:lang w:val="en-US"/>
    </w:rPr>
  </w:style>
  <w:style w:type="paragraph" w:customStyle="1" w:styleId="2125">
    <w:name w:val="xl106"/>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cs="Calibri"/>
      <w:kern w:val="0"/>
      <w:sz w:val="12"/>
      <w:szCs w:val="12"/>
    </w:rPr>
  </w:style>
  <w:style w:type="paragraph" w:customStyle="1" w:styleId="2126">
    <w:name w:val="Char Char Char Char1 Char Char Char Char Char Char Char1"/>
    <w:basedOn w:val="1"/>
    <w:qFormat/>
    <w:uiPriority w:val="99"/>
    <w:pPr>
      <w:tabs>
        <w:tab w:val="left" w:pos="360"/>
      </w:tabs>
      <w:snapToGrid w:val="0"/>
      <w:spacing w:line="360" w:lineRule="auto"/>
    </w:pPr>
    <w:rPr>
      <w:rFonts w:ascii="Calibri" w:hAnsi="Calibri" w:eastAsia="仿宋_GB2312" w:cs="宋体"/>
      <w:sz w:val="24"/>
    </w:rPr>
  </w:style>
  <w:style w:type="paragraph" w:customStyle="1" w:styleId="2127">
    <w:name w:val="reader-word-layer reader-word-s3-9"/>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128">
    <w:name w:val="xl46"/>
    <w:basedOn w:val="1"/>
    <w:qFormat/>
    <w:uiPriority w:val="0"/>
    <w:pPr>
      <w:widowControl/>
      <w:pBdr>
        <w:bottom w:val="single" w:color="auto" w:sz="12" w:space="0"/>
        <w:right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2129">
    <w:name w:val="Char Char Char Char Char Char Char Char Char Char Char Char Char Char Char Char Char Char Char Char Char Char Char Char2"/>
    <w:basedOn w:val="1"/>
    <w:qFormat/>
    <w:uiPriority w:val="99"/>
    <w:rPr>
      <w:rFonts w:ascii="Calibri" w:hAnsi="Calibri" w:cs="Calibri"/>
      <w:sz w:val="24"/>
    </w:rPr>
  </w:style>
  <w:style w:type="paragraph" w:customStyle="1" w:styleId="2130">
    <w:name w:val="Char Char Char Char Char Char Char Char1 Char Char Char Char Char Char Char Char Char Char Char Char2"/>
    <w:basedOn w:val="1"/>
    <w:semiHidden/>
    <w:qFormat/>
    <w:uiPriority w:val="0"/>
    <w:rPr>
      <w:rFonts w:ascii="Calibri" w:hAnsi="Calibri" w:cs="Calibri"/>
      <w:sz w:val="24"/>
    </w:rPr>
  </w:style>
  <w:style w:type="paragraph" w:customStyle="1" w:styleId="2131">
    <w:name w:val="正文样式3"/>
    <w:basedOn w:val="1"/>
    <w:qFormat/>
    <w:uiPriority w:val="99"/>
    <w:pPr>
      <w:keepLines/>
      <w:adjustRightInd w:val="0"/>
      <w:spacing w:line="20" w:lineRule="atLeast"/>
      <w:ind w:firstLine="200" w:firstLineChars="200"/>
      <w:jc w:val="center"/>
      <w:textAlignment w:val="baseline"/>
    </w:pPr>
    <w:rPr>
      <w:rFonts w:ascii="Calibri" w:hAnsi="Calibri" w:eastAsia="仿宋_GB2312" w:cs="Calibri"/>
      <w:kern w:val="0"/>
      <w:sz w:val="24"/>
      <w:szCs w:val="20"/>
    </w:rPr>
  </w:style>
  <w:style w:type="paragraph" w:customStyle="1" w:styleId="2132">
    <w:name w:val="目录100"/>
    <w:basedOn w:val="1"/>
    <w:semiHidden/>
    <w:qFormat/>
    <w:uiPriority w:val="0"/>
    <w:pPr>
      <w:spacing w:line="560" w:lineRule="exact"/>
      <w:jc w:val="center"/>
    </w:pPr>
    <w:rPr>
      <w:rFonts w:ascii="@黑体" w:hAnsi="@黑体" w:eastAsia="黑体" w:cs="@黑体"/>
      <w:b/>
      <w:bCs/>
      <w:sz w:val="36"/>
      <w:szCs w:val="20"/>
    </w:rPr>
  </w:style>
  <w:style w:type="paragraph" w:customStyle="1" w:styleId="2133">
    <w:name w:val="标题正4"/>
    <w:basedOn w:val="1"/>
    <w:qFormat/>
    <w:uiPriority w:val="0"/>
    <w:pPr>
      <w:spacing w:line="280" w:lineRule="exact"/>
      <w:jc w:val="center"/>
    </w:pPr>
    <w:rPr>
      <w:rFonts w:ascii="宋体" w:hAnsi="宋体" w:cs="Calibri"/>
      <w:color w:val="000000"/>
    </w:rPr>
  </w:style>
  <w:style w:type="paragraph" w:customStyle="1" w:styleId="2134">
    <w:name w:val="Char4 Char Char Char Char Char Char Char Char Char Char Char Char Char Char Char Char Char Char Char Char Char Char Char Char Char Char Char"/>
    <w:basedOn w:val="1"/>
    <w:semiHidden/>
    <w:qFormat/>
    <w:uiPriority w:val="0"/>
    <w:pPr>
      <w:spacing w:line="240" w:lineRule="exact"/>
      <w:ind w:firstLine="200" w:firstLineChars="200"/>
    </w:pPr>
    <w:rPr>
      <w:rFonts w:ascii="Calibri" w:hAnsi="Calibri" w:cs="Calibri"/>
      <w:sz w:val="28"/>
      <w:szCs w:val="28"/>
    </w:rPr>
  </w:style>
  <w:style w:type="paragraph" w:customStyle="1" w:styleId="2135">
    <w:name w:val="Char Char Char1 Char Char1"/>
    <w:basedOn w:val="1"/>
    <w:qFormat/>
    <w:uiPriority w:val="99"/>
    <w:rPr>
      <w:rFonts w:ascii="黑体" w:hAnsi="黑体" w:eastAsia="黑体" w:cs="Calibri"/>
      <w:b/>
      <w:spacing w:val="10"/>
      <w:sz w:val="28"/>
      <w:szCs w:val="20"/>
    </w:rPr>
  </w:style>
  <w:style w:type="paragraph" w:customStyle="1" w:styleId="2136">
    <w:name w:val="Objective"/>
    <w:basedOn w:val="1"/>
    <w:next w:val="36"/>
    <w:semiHidden/>
    <w:qFormat/>
    <w:uiPriority w:val="0"/>
    <w:pPr>
      <w:widowControl/>
      <w:spacing w:before="220" w:after="220" w:line="220" w:lineRule="atLeast"/>
      <w:jc w:val="left"/>
    </w:pPr>
    <w:rPr>
      <w:rFonts w:ascii="@黑体" w:hAnsi="@黑体" w:eastAsia="黑体" w:cs="Calibri"/>
      <w:kern w:val="0"/>
      <w:sz w:val="20"/>
      <w:szCs w:val="20"/>
    </w:rPr>
  </w:style>
  <w:style w:type="paragraph" w:customStyle="1" w:styleId="2137">
    <w:name w:val="表名1"/>
    <w:basedOn w:val="2112"/>
    <w:qFormat/>
    <w:uiPriority w:val="99"/>
    <w:pPr>
      <w:keepNext/>
      <w:overflowPunct w:val="0"/>
      <w:snapToGrid w:val="0"/>
      <w:spacing w:before="0" w:after="0" w:line="240" w:lineRule="auto"/>
      <w:ind w:firstLine="0"/>
      <w:textAlignment w:val="baseline"/>
    </w:pPr>
    <w:rPr>
      <w:rFonts w:eastAsia="黑体"/>
      <w:kern w:val="24"/>
      <w:sz w:val="21"/>
      <w:szCs w:val="21"/>
    </w:rPr>
  </w:style>
  <w:style w:type="paragraph" w:customStyle="1" w:styleId="2138">
    <w:name w:val="Char Char Char Char Char Char Char Char Char 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2139">
    <w:name w:val="Char Char Char1 Char Char Char Char Char Char Char Char Char Char Char Char Char Char Char1 Char Char Char Char Char Char Char Char Char Char Char Char Char Char Char Char Char Char Char Char Char Char Char"/>
    <w:basedOn w:val="1"/>
    <w:semiHidden/>
    <w:qFormat/>
    <w:uiPriority w:val="0"/>
    <w:rPr>
      <w:rFonts w:ascii="Calibri" w:hAnsi="Calibri" w:cs="Calibri"/>
      <w:szCs w:val="21"/>
    </w:rPr>
  </w:style>
  <w:style w:type="paragraph" w:customStyle="1" w:styleId="2140">
    <w:name w:val="xl174"/>
    <w:basedOn w:val="1"/>
    <w:qFormat/>
    <w:uiPriority w:val="99"/>
    <w:pPr>
      <w:widowControl/>
      <w:spacing w:before="100" w:beforeAutospacing="1" w:after="100" w:afterAutospacing="1"/>
      <w:jc w:val="center"/>
    </w:pPr>
    <w:rPr>
      <w:rFonts w:ascii="Arial Unicode MS" w:hAnsi="Arial Unicode MS" w:cs="Calibri"/>
      <w:kern w:val="0"/>
      <w:sz w:val="16"/>
      <w:szCs w:val="16"/>
    </w:rPr>
  </w:style>
  <w:style w:type="paragraph" w:customStyle="1" w:styleId="2141">
    <w:name w:val="Char Char Char Char Char Char Char Char Char Char Char Char Char Char Char Char Char Char Char Char Char Char"/>
    <w:basedOn w:val="1"/>
    <w:qFormat/>
    <w:uiPriority w:val="0"/>
    <w:rPr>
      <w:rFonts w:ascii="Calibri" w:hAnsi="Calibri" w:cs="Calibri"/>
      <w:sz w:val="24"/>
    </w:rPr>
  </w:style>
  <w:style w:type="paragraph" w:customStyle="1" w:styleId="2142">
    <w:name w:val="表后注"/>
    <w:basedOn w:val="1"/>
    <w:qFormat/>
    <w:uiPriority w:val="99"/>
    <w:pPr>
      <w:spacing w:line="500" w:lineRule="exact"/>
      <w:ind w:firstLine="584"/>
    </w:pPr>
    <w:rPr>
      <w:rFonts w:ascii="Calibri" w:hAnsi="Calibri" w:cs="Calibri"/>
      <w:sz w:val="24"/>
    </w:rPr>
  </w:style>
  <w:style w:type="paragraph" w:customStyle="1" w:styleId="2143">
    <w:name w:val="Char Char Char Char Char Char Char Char Char Char Char Char Char Char Char Char Char Char Char Char Char Char Char Char Char Char Char Char Char Char Char Char Char1 Char Char Char Char Char Char2"/>
    <w:basedOn w:val="1"/>
    <w:semiHidden/>
    <w:qFormat/>
    <w:uiPriority w:val="0"/>
    <w:rPr>
      <w:rFonts w:ascii="Calibri" w:hAnsi="Calibri" w:cs="Calibri"/>
      <w:sz w:val="24"/>
    </w:rPr>
  </w:style>
  <w:style w:type="paragraph" w:customStyle="1" w:styleId="2144">
    <w:name w:val="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2145">
    <w:name w:val="Content"/>
    <w:basedOn w:val="1"/>
    <w:qFormat/>
    <w:uiPriority w:val="99"/>
    <w:pPr>
      <w:widowControl/>
      <w:tabs>
        <w:tab w:val="left" w:pos="9480"/>
        <w:tab w:val="left" w:pos="9600"/>
      </w:tabs>
      <w:spacing w:before="120" w:after="120" w:line="240" w:lineRule="atLeast"/>
      <w:jc w:val="center"/>
    </w:pPr>
    <w:rPr>
      <w:rFonts w:ascii="Arial" w:hAnsi="Arial" w:cs="Calibri"/>
      <w:b/>
      <w:kern w:val="0"/>
      <w:sz w:val="28"/>
      <w:szCs w:val="20"/>
      <w:lang w:val="fr-FR"/>
    </w:rPr>
  </w:style>
  <w:style w:type="paragraph" w:customStyle="1" w:styleId="2146">
    <w:name w:val="环评0.01"/>
    <w:basedOn w:val="1"/>
    <w:next w:val="36"/>
    <w:qFormat/>
    <w:uiPriority w:val="99"/>
    <w:pPr>
      <w:adjustRightInd w:val="0"/>
      <w:snapToGrid w:val="0"/>
      <w:spacing w:line="360" w:lineRule="auto"/>
    </w:pPr>
    <w:rPr>
      <w:rFonts w:ascii="Calibri" w:hAnsi="Calibri" w:eastAsia="华文中宋" w:cs="Calibri"/>
      <w:sz w:val="28"/>
      <w:szCs w:val="20"/>
    </w:rPr>
  </w:style>
  <w:style w:type="paragraph" w:customStyle="1" w:styleId="2147">
    <w:name w:val="Char Char Char Char Char Char Char Char1 Char Char Char Char Char Char Char Char Char Char2"/>
    <w:basedOn w:val="1"/>
    <w:semiHidden/>
    <w:qFormat/>
    <w:uiPriority w:val="0"/>
    <w:rPr>
      <w:rFonts w:ascii="Calibri" w:hAnsi="Calibri" w:cs="Calibri"/>
      <w:sz w:val="24"/>
    </w:rPr>
  </w:style>
  <w:style w:type="paragraph" w:customStyle="1" w:styleId="2148">
    <w:name w:val="附录五级条标题"/>
    <w:next w:val="6"/>
    <w:semiHidden/>
    <w:qFormat/>
    <w:uiPriority w:val="0"/>
    <w:pPr>
      <w:tabs>
        <w:tab w:val="left" w:pos="360"/>
        <w:tab w:val="left" w:pos="435"/>
        <w:tab w:val="left" w:pos="828"/>
        <w:tab w:val="left" w:pos="960"/>
        <w:tab w:val="left" w:pos="1068"/>
      </w:tabs>
      <w:ind w:left="435" w:hanging="165"/>
      <w:outlineLvl w:val="6"/>
    </w:pPr>
    <w:rPr>
      <w:rFonts w:ascii="Times New Roman" w:hAnsi="Times New Roman" w:eastAsia="宋体" w:cs="Calibri"/>
      <w:lang w:val="en-US" w:eastAsia="zh-CN" w:bidi="ar-SA"/>
    </w:rPr>
  </w:style>
  <w:style w:type="paragraph" w:customStyle="1" w:styleId="2149">
    <w:name w:val="附录四级条标题"/>
    <w:next w:val="6"/>
    <w:semiHidden/>
    <w:qFormat/>
    <w:uiPriority w:val="0"/>
    <w:pPr>
      <w:tabs>
        <w:tab w:val="left" w:pos="360"/>
        <w:tab w:val="left" w:pos="828"/>
        <w:tab w:val="left" w:pos="960"/>
        <w:tab w:val="left" w:pos="1068"/>
      </w:tabs>
      <w:ind w:left="960"/>
      <w:outlineLvl w:val="5"/>
    </w:pPr>
    <w:rPr>
      <w:rFonts w:ascii="Times New Roman" w:hAnsi="Times New Roman" w:eastAsia="宋体" w:cs="Calibri"/>
      <w:lang w:val="en-US" w:eastAsia="zh-CN" w:bidi="ar-SA"/>
    </w:rPr>
  </w:style>
  <w:style w:type="paragraph" w:customStyle="1" w:styleId="2150">
    <w:name w:val="附录三级条标题"/>
    <w:next w:val="6"/>
    <w:semiHidden/>
    <w:qFormat/>
    <w:uiPriority w:val="0"/>
    <w:pPr>
      <w:tabs>
        <w:tab w:val="left" w:pos="360"/>
        <w:tab w:val="left" w:pos="828"/>
        <w:tab w:val="left" w:pos="1068"/>
      </w:tabs>
      <w:ind w:left="1068"/>
      <w:outlineLvl w:val="4"/>
    </w:pPr>
    <w:rPr>
      <w:rFonts w:ascii="Times New Roman" w:hAnsi="Times New Roman" w:eastAsia="宋体" w:cs="Calibri"/>
      <w:lang w:val="en-US" w:eastAsia="zh-CN" w:bidi="ar-SA"/>
    </w:rPr>
  </w:style>
  <w:style w:type="paragraph" w:customStyle="1" w:styleId="2151">
    <w:name w:val="附录二级条标题"/>
    <w:next w:val="6"/>
    <w:semiHidden/>
    <w:qFormat/>
    <w:uiPriority w:val="0"/>
    <w:pPr>
      <w:tabs>
        <w:tab w:val="left" w:pos="360"/>
        <w:tab w:val="left" w:pos="828"/>
      </w:tabs>
      <w:ind w:left="360" w:hanging="360"/>
      <w:outlineLvl w:val="3"/>
    </w:pPr>
    <w:rPr>
      <w:rFonts w:ascii="Times New Roman" w:hAnsi="Times New Roman" w:eastAsia="宋体" w:cs="Calibri"/>
      <w:lang w:val="en-US" w:eastAsia="zh-CN" w:bidi="ar-SA"/>
    </w:rPr>
  </w:style>
  <w:style w:type="paragraph" w:customStyle="1" w:styleId="2152">
    <w:name w:val="附录一级条标题"/>
    <w:next w:val="6"/>
    <w:semiHidden/>
    <w:qFormat/>
    <w:uiPriority w:val="0"/>
    <w:pPr>
      <w:tabs>
        <w:tab w:val="left" w:pos="828"/>
      </w:tabs>
      <w:autoSpaceDN w:val="0"/>
      <w:ind w:left="828" w:hanging="240"/>
      <w:outlineLvl w:val="2"/>
    </w:pPr>
    <w:rPr>
      <w:rFonts w:ascii="Times New Roman" w:hAnsi="Times New Roman" w:eastAsia="宋体" w:cs="Calibri"/>
      <w:lang w:val="en-US" w:eastAsia="zh-CN" w:bidi="ar-SA"/>
    </w:rPr>
  </w:style>
  <w:style w:type="paragraph" w:customStyle="1" w:styleId="2153">
    <w:name w:val="附录章标题"/>
    <w:next w:val="6"/>
    <w:semiHidden/>
    <w:qFormat/>
    <w:uiPriority w:val="0"/>
    <w:pPr>
      <w:wordWrap w:val="0"/>
      <w:overflowPunct w:val="0"/>
      <w:autoSpaceDE w:val="0"/>
      <w:spacing w:beforeLines="50" w:afterLines="50"/>
      <w:jc w:val="both"/>
      <w:textAlignment w:val="baseline"/>
      <w:outlineLvl w:val="1"/>
    </w:pPr>
    <w:rPr>
      <w:rFonts w:ascii="黑体" w:hAnsi="Calibri" w:eastAsia="黑体" w:cs="Calibri"/>
      <w:kern w:val="21"/>
      <w:sz w:val="21"/>
      <w:lang w:val="en-US" w:eastAsia="zh-CN" w:bidi="ar-SA"/>
    </w:rPr>
  </w:style>
  <w:style w:type="paragraph" w:customStyle="1" w:styleId="2154">
    <w:name w:val="bt1"/>
    <w:basedOn w:val="1"/>
    <w:semiHidden/>
    <w:qFormat/>
    <w:uiPriority w:val="0"/>
    <w:pPr>
      <w:adjustRightInd w:val="0"/>
      <w:spacing w:line="360" w:lineRule="auto"/>
      <w:ind w:firstLine="624"/>
      <w:textAlignment w:val="baseline"/>
    </w:pPr>
    <w:rPr>
      <w:rFonts w:ascii="@黑体" w:hAnsi="@黑体" w:eastAsia="黑体" w:cs="Calibri"/>
      <w:b/>
      <w:kern w:val="0"/>
      <w:sz w:val="32"/>
      <w:szCs w:val="20"/>
    </w:rPr>
  </w:style>
  <w:style w:type="paragraph" w:customStyle="1" w:styleId="2155">
    <w:name w:val="标题B"/>
    <w:basedOn w:val="1"/>
    <w:qFormat/>
    <w:uiPriority w:val="99"/>
    <w:pPr>
      <w:spacing w:before="50" w:beforeLines="50" w:after="50" w:afterLines="50" w:line="420" w:lineRule="exact"/>
    </w:pPr>
    <w:rPr>
      <w:rFonts w:ascii="Calibri" w:hAnsi="Calibri" w:eastAsia="黑体" w:cs="Calibri"/>
      <w:sz w:val="32"/>
    </w:rPr>
  </w:style>
  <w:style w:type="paragraph" w:customStyle="1" w:styleId="2156">
    <w:name w:val="表内字"/>
    <w:qFormat/>
    <w:uiPriority w:val="99"/>
    <w:pPr>
      <w:jc w:val="center"/>
    </w:pPr>
    <w:rPr>
      <w:rFonts w:ascii="Arial" w:hAnsi="Arial" w:eastAsia="楷体_GB2312" w:cs="Calibri"/>
      <w:sz w:val="21"/>
      <w:lang w:val="en-US" w:eastAsia="zh-CN" w:bidi="ar-SA"/>
    </w:rPr>
  </w:style>
  <w:style w:type="paragraph" w:customStyle="1" w:styleId="2157">
    <w:name w:val="xl56"/>
    <w:basedOn w:val="1"/>
    <w:qFormat/>
    <w:uiPriority w:val="99"/>
    <w:pPr>
      <w:widowControl/>
      <w:pBdr>
        <w:bottom w:val="single" w:color="auto" w:sz="12" w:space="0"/>
      </w:pBdr>
      <w:spacing w:before="100" w:beforeAutospacing="1" w:after="100" w:afterAutospacing="1"/>
      <w:jc w:val="left"/>
      <w:textAlignment w:val="center"/>
    </w:pPr>
    <w:rPr>
      <w:rFonts w:ascii="Arial Unicode MS" w:hAnsi="Arial Unicode MS" w:cs="Calibri"/>
      <w:kern w:val="0"/>
      <w:sz w:val="12"/>
      <w:szCs w:val="12"/>
    </w:rPr>
  </w:style>
  <w:style w:type="paragraph" w:customStyle="1" w:styleId="2158">
    <w:name w:val="段标题"/>
    <w:basedOn w:val="1"/>
    <w:semiHidden/>
    <w:qFormat/>
    <w:uiPriority w:val="0"/>
    <w:pPr>
      <w:spacing w:line="360" w:lineRule="auto"/>
    </w:pPr>
    <w:rPr>
      <w:rFonts w:ascii="Calibri" w:hAnsi="Calibri" w:eastAsia="楷体_GB2312" w:cs="Calibri"/>
      <w:bCs/>
      <w:sz w:val="30"/>
      <w:szCs w:val="30"/>
    </w:rPr>
  </w:style>
  <w:style w:type="paragraph" w:customStyle="1" w:styleId="2159">
    <w:name w:val="样式 标题 1章节H1Section HeadHeader1h11st levell1Heading 0Fab...1"/>
    <w:basedOn w:val="3"/>
    <w:semiHidden/>
    <w:qFormat/>
    <w:uiPriority w:val="0"/>
    <w:pPr>
      <w:keepLines/>
      <w:tabs>
        <w:tab w:val="left" w:pos="432"/>
      </w:tabs>
      <w:overflowPunct/>
      <w:adjustRightInd w:val="0"/>
      <w:snapToGrid/>
      <w:spacing w:before="0" w:after="0" w:line="578" w:lineRule="atLeast"/>
    </w:pPr>
    <w:rPr>
      <w:rFonts w:ascii="黑体" w:hAnsi="华文中宋" w:eastAsia="华文中宋" w:cs="宋体"/>
      <w:b w:val="0"/>
      <w:bCs w:val="0"/>
      <w:color w:val="auto"/>
      <w:sz w:val="28"/>
      <w:szCs w:val="20"/>
    </w:rPr>
  </w:style>
  <w:style w:type="paragraph" w:customStyle="1" w:styleId="2160">
    <w:name w:val="标题样式2"/>
    <w:basedOn w:val="1"/>
    <w:qFormat/>
    <w:uiPriority w:val="99"/>
    <w:pPr>
      <w:adjustRightInd w:val="0"/>
      <w:spacing w:line="480" w:lineRule="atLeast"/>
      <w:textAlignment w:val="baseline"/>
    </w:pPr>
    <w:rPr>
      <w:rFonts w:ascii="新宋体" w:hAnsi="新宋体" w:eastAsia="仿宋_GB2312" w:cs="Calibri"/>
      <w:kern w:val="0"/>
      <w:sz w:val="28"/>
      <w:szCs w:val="20"/>
    </w:rPr>
  </w:style>
  <w:style w:type="paragraph" w:customStyle="1" w:styleId="2161">
    <w:name w:val="Char Char Char1 Char Char Char Char Char Char Char Char Char Char Char Char Char Char Char1 Char Char Char Char Char Char Char Char Char Char Char Char Char Char Char Char Char"/>
    <w:basedOn w:val="1"/>
    <w:semiHidden/>
    <w:qFormat/>
    <w:uiPriority w:val="0"/>
    <w:rPr>
      <w:rFonts w:ascii="Calibri" w:hAnsi="Calibri" w:cs="Calibri"/>
      <w:szCs w:val="21"/>
    </w:rPr>
  </w:style>
  <w:style w:type="paragraph" w:customStyle="1" w:styleId="2162">
    <w:name w:val="Char Char Char1 Char Char Char Char Char Char Char Char Char Char Char Char Char Char Char1 Char Char Char Char Char Char Char Char Char Char Char Char1"/>
    <w:basedOn w:val="1"/>
    <w:qFormat/>
    <w:uiPriority w:val="99"/>
    <w:rPr>
      <w:rFonts w:ascii="Calibri" w:hAnsi="Calibri" w:cs="Calibri"/>
      <w:szCs w:val="21"/>
    </w:rPr>
  </w:style>
  <w:style w:type="paragraph" w:customStyle="1" w:styleId="2163">
    <w:name w:val="Char1 Char Char Char Char Char Char Char Char Char1 Char Char Char Char Char Char"/>
    <w:basedOn w:val="1"/>
    <w:qFormat/>
    <w:uiPriority w:val="0"/>
    <w:pPr>
      <w:widowControl/>
      <w:spacing w:before="100" w:beforeAutospacing="1" w:after="100" w:afterAutospacing="1"/>
      <w:ind w:firstLine="200" w:firstLineChars="200"/>
      <w:jc w:val="left"/>
    </w:pPr>
    <w:rPr>
      <w:rFonts w:ascii="Verdana" w:hAnsi="Verdana" w:eastAsia="仿宋_GB2312" w:cs="Calibri"/>
      <w:kern w:val="0"/>
      <w:sz w:val="20"/>
      <w:szCs w:val="21"/>
      <w:lang w:eastAsia="en-US"/>
    </w:rPr>
  </w:style>
  <w:style w:type="paragraph" w:customStyle="1" w:styleId="2164">
    <w:name w:val="报告样式4"/>
    <w:basedOn w:val="23"/>
    <w:semiHidden/>
    <w:qFormat/>
    <w:uiPriority w:val="0"/>
    <w:pPr>
      <w:adjustRightInd/>
      <w:snapToGrid/>
      <w:spacing w:line="360" w:lineRule="auto"/>
      <w:ind w:firstLine="480"/>
    </w:pPr>
    <w:rPr>
      <w:rFonts w:ascii="Calibri" w:hAnsi="Calibri" w:eastAsia="宋体" w:cs="Calibri"/>
      <w:bCs/>
      <w:sz w:val="24"/>
      <w:szCs w:val="22"/>
      <w:lang w:val="en-US"/>
    </w:rPr>
  </w:style>
  <w:style w:type="paragraph" w:customStyle="1" w:styleId="2165">
    <w:name w:val="表格小4"/>
    <w:basedOn w:val="1"/>
    <w:next w:val="36"/>
    <w:semiHidden/>
    <w:qFormat/>
    <w:uiPriority w:val="0"/>
    <w:pPr>
      <w:adjustRightInd w:val="0"/>
      <w:snapToGrid w:val="0"/>
      <w:spacing w:before="60" w:after="60" w:line="320" w:lineRule="atLeast"/>
    </w:pPr>
    <w:rPr>
      <w:rFonts w:ascii="Calibri" w:hAnsi="Calibri" w:cs="宋体"/>
      <w:sz w:val="24"/>
      <w:szCs w:val="20"/>
    </w:rPr>
  </w:style>
  <w:style w:type="paragraph" w:customStyle="1" w:styleId="2166">
    <w:name w:val="正文my"/>
    <w:basedOn w:val="37"/>
    <w:semiHidden/>
    <w:qFormat/>
    <w:uiPriority w:val="0"/>
    <w:pPr>
      <w:spacing w:before="60" w:after="0" w:line="460" w:lineRule="exact"/>
      <w:ind w:left="0" w:leftChars="0" w:firstLine="200" w:firstLineChars="200"/>
    </w:pPr>
    <w:rPr>
      <w:rFonts w:cs="Calibri"/>
      <w:kern w:val="2"/>
      <w:szCs w:val="24"/>
      <w:lang w:val="en-US"/>
    </w:rPr>
  </w:style>
  <w:style w:type="paragraph" w:customStyle="1" w:styleId="2167">
    <w:name w:val="1标题3级"/>
    <w:basedOn w:val="1"/>
    <w:qFormat/>
    <w:uiPriority w:val="99"/>
    <w:pPr>
      <w:keepNext/>
      <w:snapToGrid w:val="0"/>
      <w:spacing w:line="420" w:lineRule="auto"/>
      <w:outlineLvl w:val="2"/>
    </w:pPr>
    <w:rPr>
      <w:rFonts w:ascii="Calibri" w:hAnsi="Calibri" w:eastAsia="黑体" w:cs="Calibri"/>
      <w:b/>
      <w:sz w:val="24"/>
      <w:szCs w:val="20"/>
    </w:rPr>
  </w:style>
  <w:style w:type="paragraph" w:customStyle="1" w:styleId="2168">
    <w:name w:val="样式 标题 4 + (西文) Times New Roman (中文) 宋体 非加粗 黑色 段前: 0 磅 段后: 0..."/>
    <w:basedOn w:val="6"/>
    <w:semiHidden/>
    <w:qFormat/>
    <w:uiPriority w:val="0"/>
    <w:pPr>
      <w:numPr>
        <w:ilvl w:val="0"/>
        <w:numId w:val="0"/>
      </w:numPr>
      <w:adjustRightInd w:val="0"/>
      <w:spacing w:before="0" w:after="0" w:line="480" w:lineRule="exact"/>
      <w:ind w:firstLine="426" w:firstLineChars="152"/>
    </w:pPr>
    <w:rPr>
      <w:rFonts w:ascii="Times New Roman" w:hAnsi="Times New Roman" w:eastAsia="宋体" w:cs="宋体"/>
      <w:b w:val="0"/>
      <w:color w:val="000000"/>
      <w:spacing w:val="15"/>
      <w:kern w:val="28"/>
      <w:lang w:val="en-US"/>
    </w:rPr>
  </w:style>
  <w:style w:type="paragraph" w:customStyle="1" w:styleId="2169">
    <w:name w:val="Char Char Char Char Char Char Char Char Char1 Char Char Char Char Char Char1"/>
    <w:basedOn w:val="1"/>
    <w:qFormat/>
    <w:uiPriority w:val="0"/>
    <w:rPr>
      <w:rFonts w:ascii="Calibri" w:hAnsi="Calibri" w:cs="Calibri"/>
      <w:szCs w:val="21"/>
    </w:rPr>
  </w:style>
  <w:style w:type="paragraph" w:customStyle="1" w:styleId="2170">
    <w:name w:val="xl291"/>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171">
    <w:name w:val="xl115"/>
    <w:basedOn w:val="1"/>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333399"/>
      <w:kern w:val="0"/>
      <w:sz w:val="18"/>
      <w:szCs w:val="18"/>
    </w:rPr>
  </w:style>
  <w:style w:type="paragraph" w:customStyle="1" w:styleId="2172">
    <w:name w:val="IDC A-Head (2nd Line)"/>
    <w:basedOn w:val="1"/>
    <w:next w:val="1"/>
    <w:qFormat/>
    <w:uiPriority w:val="99"/>
    <w:pPr>
      <w:widowControl/>
      <w:jc w:val="center"/>
    </w:pPr>
    <w:rPr>
      <w:rFonts w:ascii="Calibri" w:hAnsi="Calibri" w:cs="Calibri"/>
      <w:caps/>
      <w:kern w:val="0"/>
      <w:sz w:val="24"/>
      <w:szCs w:val="20"/>
    </w:rPr>
  </w:style>
  <w:style w:type="paragraph" w:customStyle="1" w:styleId="2173">
    <w:name w:val="xl36"/>
    <w:basedOn w:val="1"/>
    <w:qFormat/>
    <w:uiPriority w:val="0"/>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174">
    <w:name w:val="Char Char Char1 Char Char Char Char Char Char Char Char Char Char Char Char Char Char Char1 Char Char Char Char Char Char Char Char Char Char Char Char Char Char"/>
    <w:basedOn w:val="1"/>
    <w:semiHidden/>
    <w:qFormat/>
    <w:uiPriority w:val="0"/>
    <w:rPr>
      <w:rFonts w:ascii="Calibri" w:hAnsi="Calibri" w:cs="Calibri"/>
      <w:szCs w:val="21"/>
    </w:rPr>
  </w:style>
  <w:style w:type="paragraph" w:customStyle="1" w:styleId="2175">
    <w:name w:val="样式 标题 3条标题1.1.1H3BOD 0Heading 3 - oldLevel 3 Headh33rd le..."/>
    <w:basedOn w:val="5"/>
    <w:semiHidden/>
    <w:qFormat/>
    <w:uiPriority w:val="0"/>
    <w:pPr>
      <w:numPr>
        <w:ilvl w:val="0"/>
        <w:numId w:val="0"/>
      </w:numPr>
      <w:adjustRightInd w:val="0"/>
      <w:spacing w:before="0" w:after="0" w:line="360" w:lineRule="auto"/>
    </w:pPr>
    <w:rPr>
      <w:rFonts w:cs="宋体"/>
      <w:b w:val="0"/>
      <w:bCs w:val="0"/>
      <w:sz w:val="24"/>
      <w:szCs w:val="20"/>
      <w:lang w:val="en-US"/>
    </w:rPr>
  </w:style>
  <w:style w:type="paragraph" w:customStyle="1" w:styleId="2176">
    <w:name w:val="HX-报告正文"/>
    <w:basedOn w:val="1"/>
    <w:semiHidden/>
    <w:qFormat/>
    <w:uiPriority w:val="0"/>
    <w:pPr>
      <w:spacing w:line="440" w:lineRule="exact"/>
      <w:ind w:firstLine="480" w:firstLineChars="200"/>
    </w:pPr>
    <w:rPr>
      <w:rFonts w:ascii="Calibri" w:hAnsi="Calibri" w:eastAsia="华文中宋" w:cs="Calibri"/>
      <w:sz w:val="24"/>
    </w:rPr>
  </w:style>
  <w:style w:type="paragraph" w:customStyle="1" w:styleId="2177">
    <w:name w:val="Body Text Indent 32"/>
    <w:basedOn w:val="1"/>
    <w:semiHidden/>
    <w:qFormat/>
    <w:uiPriority w:val="0"/>
    <w:pPr>
      <w:adjustRightInd w:val="0"/>
      <w:spacing w:line="480" w:lineRule="exact"/>
      <w:ind w:firstLine="525"/>
      <w:textAlignment w:val="baseline"/>
    </w:pPr>
    <w:rPr>
      <w:rFonts w:ascii="宋体" w:hAnsi="Calibri" w:cs="Calibri"/>
      <w:sz w:val="28"/>
      <w:szCs w:val="20"/>
    </w:rPr>
  </w:style>
  <w:style w:type="paragraph" w:customStyle="1" w:styleId="2178">
    <w:name w:val="Char Char Char Char 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2179">
    <w:name w:val="文本123-II"/>
    <w:basedOn w:val="6"/>
    <w:qFormat/>
    <w:uiPriority w:val="0"/>
    <w:pPr>
      <w:keepNext w:val="0"/>
      <w:keepLines w:val="0"/>
      <w:numPr>
        <w:ilvl w:val="0"/>
        <w:numId w:val="0"/>
      </w:numPr>
      <w:tabs>
        <w:tab w:val="left" w:pos="780"/>
        <w:tab w:val="left" w:pos="1620"/>
      </w:tabs>
      <w:adjustRightInd w:val="0"/>
      <w:spacing w:before="50" w:beforeLines="50" w:after="0" w:line="480" w:lineRule="exact"/>
      <w:ind w:left="780" w:hanging="360"/>
    </w:pPr>
    <w:rPr>
      <w:rFonts w:ascii="Times New Roman" w:hAnsi="宋体" w:eastAsia="宋体" w:cs="Calibri"/>
      <w:b w:val="0"/>
      <w:sz w:val="24"/>
      <w:szCs w:val="24"/>
      <w:lang w:val="en-US"/>
    </w:rPr>
  </w:style>
  <w:style w:type="paragraph" w:customStyle="1" w:styleId="2180">
    <w:name w:val="普通 (Web)17"/>
    <w:basedOn w:val="1"/>
    <w:qFormat/>
    <w:uiPriority w:val="99"/>
    <w:pPr>
      <w:widowControl/>
      <w:spacing w:before="100" w:beforeAutospacing="1" w:after="100" w:afterAutospacing="1"/>
      <w:jc w:val="left"/>
    </w:pPr>
    <w:rPr>
      <w:rFonts w:ascii="Arial Unicode MS" w:hAnsi="Arial Unicode MS" w:eastAsia="Times New Roman" w:cs="Calibri"/>
      <w:kern w:val="0"/>
      <w:sz w:val="18"/>
      <w:szCs w:val="18"/>
    </w:rPr>
  </w:style>
  <w:style w:type="paragraph" w:customStyle="1" w:styleId="2181">
    <w:name w:val="样式 (符号) 宋体 首行缩进:  0.99 厘米 行距: 固定值 25 磅1"/>
    <w:basedOn w:val="1"/>
    <w:semiHidden/>
    <w:qFormat/>
    <w:uiPriority w:val="0"/>
    <w:pPr>
      <w:spacing w:line="500" w:lineRule="exact"/>
      <w:ind w:firstLine="561"/>
    </w:pPr>
    <w:rPr>
      <w:rFonts w:ascii="Calibri" w:hAnsi="宋体" w:cs="宋体"/>
      <w:spacing w:val="-2"/>
      <w:sz w:val="24"/>
      <w:szCs w:val="20"/>
    </w:rPr>
  </w:style>
  <w:style w:type="paragraph" w:customStyle="1" w:styleId="2182">
    <w:name w:val="Char4 Char Char Char Char Char Char Char Char Char Char Char Char Char Char Char Char Char1 Char Char Char Char Char Char1 Char"/>
    <w:basedOn w:val="1"/>
    <w:qFormat/>
    <w:uiPriority w:val="99"/>
    <w:pPr>
      <w:spacing w:line="240" w:lineRule="exact"/>
      <w:ind w:firstLine="200" w:firstLineChars="200"/>
    </w:pPr>
    <w:rPr>
      <w:rFonts w:ascii="Calibri" w:hAnsi="Calibri" w:cs="Calibri"/>
      <w:sz w:val="28"/>
      <w:szCs w:val="28"/>
    </w:rPr>
  </w:style>
  <w:style w:type="paragraph" w:customStyle="1" w:styleId="2183">
    <w:name w:val="xl289"/>
    <w:basedOn w:val="1"/>
    <w:semiHidden/>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993300"/>
      <w:kern w:val="0"/>
      <w:sz w:val="18"/>
      <w:szCs w:val="18"/>
    </w:rPr>
  </w:style>
  <w:style w:type="paragraph" w:customStyle="1" w:styleId="2184">
    <w:name w:val="33333333333333"/>
    <w:basedOn w:val="5"/>
    <w:next w:val="1"/>
    <w:semiHidden/>
    <w:qFormat/>
    <w:uiPriority w:val="0"/>
    <w:pPr>
      <w:numPr>
        <w:ilvl w:val="0"/>
        <w:numId w:val="0"/>
      </w:numPr>
      <w:adjustRightInd w:val="0"/>
      <w:snapToGrid w:val="0"/>
      <w:spacing w:before="156" w:beforeLines="50" w:after="156" w:afterLines="50" w:line="500" w:lineRule="exact"/>
    </w:pPr>
    <w:rPr>
      <w:rFonts w:ascii="仿宋_GB2312" w:eastAsia="仿宋_GB2312" w:cs="Calibri"/>
      <w:bCs w:val="0"/>
      <w:sz w:val="24"/>
      <w:szCs w:val="28"/>
      <w:lang w:val="en-US"/>
    </w:rPr>
  </w:style>
  <w:style w:type="paragraph" w:customStyle="1" w:styleId="2185">
    <w:name w:val="依据文字"/>
    <w:basedOn w:val="89"/>
    <w:qFormat/>
    <w:uiPriority w:val="99"/>
    <w:pPr>
      <w:tabs>
        <w:tab w:val="left" w:pos="420"/>
        <w:tab w:val="left" w:pos="870"/>
        <w:tab w:val="left" w:pos="3150"/>
      </w:tabs>
      <w:autoSpaceDE w:val="0"/>
      <w:autoSpaceDN w:val="0"/>
      <w:spacing w:before="60" w:after="0" w:line="336" w:lineRule="auto"/>
      <w:ind w:left="0" w:leftChars="0" w:firstLine="527" w:firstLineChars="0"/>
      <w:textAlignment w:val="baseline"/>
    </w:pPr>
    <w:rPr>
      <w:rFonts w:ascii="宋体" w:eastAsia="宋体" w:cs="Calibri"/>
      <w:sz w:val="24"/>
      <w:szCs w:val="20"/>
    </w:rPr>
  </w:style>
  <w:style w:type="paragraph" w:customStyle="1" w:styleId="2186">
    <w:name w:val="Style2"/>
    <w:basedOn w:val="3"/>
    <w:semiHidden/>
    <w:qFormat/>
    <w:uiPriority w:val="0"/>
    <w:pPr>
      <w:keepLines/>
      <w:tabs>
        <w:tab w:val="left" w:pos="480"/>
      </w:tabs>
      <w:overflowPunct/>
      <w:adjustRightInd w:val="0"/>
      <w:snapToGrid/>
      <w:spacing w:before="340" w:after="120" w:line="480" w:lineRule="exact"/>
      <w:ind w:left="120" w:firstLine="0"/>
      <w:textAlignment w:val="baseline"/>
    </w:pPr>
    <w:rPr>
      <w:rFonts w:ascii="宋体" w:hAnsi="宋体" w:eastAsia="宋体"/>
      <w:b w:val="0"/>
      <w:bCs w:val="0"/>
      <w:color w:val="auto"/>
      <w:sz w:val="36"/>
      <w:szCs w:val="20"/>
    </w:rPr>
  </w:style>
  <w:style w:type="paragraph" w:customStyle="1" w:styleId="2187">
    <w:name w:val="小标题3"/>
    <w:basedOn w:val="1"/>
    <w:qFormat/>
    <w:uiPriority w:val="99"/>
    <w:pPr>
      <w:tabs>
        <w:tab w:val="left" w:pos="720"/>
      </w:tabs>
      <w:adjustRightInd w:val="0"/>
      <w:snapToGrid w:val="0"/>
      <w:spacing w:beforeLines="50" w:line="500" w:lineRule="atLeast"/>
      <w:ind w:left="-454" w:firstLine="454"/>
      <w:jc w:val="left"/>
    </w:pPr>
    <w:rPr>
      <w:rFonts w:ascii="宋体" w:hAnsi="宋体" w:cs="Calibri"/>
      <w:color w:val="000000"/>
      <w:sz w:val="24"/>
    </w:rPr>
  </w:style>
  <w:style w:type="paragraph" w:customStyle="1" w:styleId="2188">
    <w:name w:val="环评正文字体"/>
    <w:basedOn w:val="1"/>
    <w:qFormat/>
    <w:uiPriority w:val="99"/>
    <w:pPr>
      <w:spacing w:line="360" w:lineRule="auto"/>
      <w:ind w:firstLine="480" w:firstLineChars="200"/>
    </w:pPr>
    <w:rPr>
      <w:rFonts w:ascii="Calibri" w:hAnsi="Calibri" w:cs="Calibri"/>
      <w:sz w:val="24"/>
      <w:szCs w:val="20"/>
    </w:rPr>
  </w:style>
  <w:style w:type="paragraph" w:customStyle="1" w:styleId="2189">
    <w:name w:val="单学凯表格新"/>
    <w:basedOn w:val="1"/>
    <w:qFormat/>
    <w:uiPriority w:val="99"/>
    <w:pPr>
      <w:tabs>
        <w:tab w:val="left" w:pos="360"/>
      </w:tabs>
      <w:adjustRightInd w:val="0"/>
      <w:snapToGrid w:val="0"/>
      <w:jc w:val="center"/>
      <w:outlineLvl w:val="2"/>
    </w:pPr>
    <w:rPr>
      <w:rFonts w:ascii="宋体" w:hAnsi="宋体" w:cs="Calibri"/>
      <w:kern w:val="0"/>
      <w:szCs w:val="21"/>
    </w:rPr>
  </w:style>
  <w:style w:type="paragraph" w:customStyle="1" w:styleId="2190">
    <w:name w:val="Char2 Char Char Char1"/>
    <w:basedOn w:val="1"/>
    <w:qFormat/>
    <w:uiPriority w:val="99"/>
    <w:rPr>
      <w:rFonts w:ascii="Calibri" w:hAnsi="Calibri" w:cs="Calibri"/>
      <w:sz w:val="24"/>
    </w:rPr>
  </w:style>
  <w:style w:type="paragraph" w:customStyle="1" w:styleId="2191">
    <w:name w:val="表格名"/>
    <w:basedOn w:val="1"/>
    <w:semiHidden/>
    <w:qFormat/>
    <w:uiPriority w:val="0"/>
    <w:pPr>
      <w:adjustRightInd w:val="0"/>
      <w:snapToGrid w:val="0"/>
      <w:ind w:firstLine="200" w:firstLineChars="200"/>
    </w:pPr>
    <w:rPr>
      <w:rFonts w:ascii="Calibri" w:hAnsi="Calibri" w:eastAsia="黑体" w:cs="Calibri"/>
      <w:sz w:val="24"/>
    </w:rPr>
  </w:style>
  <w:style w:type="paragraph" w:customStyle="1" w:styleId="2192">
    <w:name w:val="Char1 Char Char Char10"/>
    <w:basedOn w:val="1"/>
    <w:semiHidden/>
    <w:qFormat/>
    <w:uiPriority w:val="0"/>
    <w:rPr>
      <w:rFonts w:ascii="Calibri" w:hAnsi="Calibri" w:cs="Calibri"/>
    </w:rPr>
  </w:style>
  <w:style w:type="paragraph" w:customStyle="1" w:styleId="2193">
    <w:name w:val="环评样式"/>
    <w:basedOn w:val="1"/>
    <w:qFormat/>
    <w:uiPriority w:val="0"/>
    <w:pPr>
      <w:adjustRightInd w:val="0"/>
      <w:snapToGrid w:val="0"/>
      <w:spacing w:line="360" w:lineRule="auto"/>
      <w:textAlignment w:val="baseline"/>
      <w:outlineLvl w:val="0"/>
    </w:pPr>
    <w:rPr>
      <w:rFonts w:ascii="仿宋_GB2312" w:hAnsi="Alaska" w:eastAsia="仿宋_GB2312" w:cs="Calibri"/>
      <w:kern w:val="0"/>
      <w:sz w:val="30"/>
      <w:szCs w:val="20"/>
    </w:rPr>
  </w:style>
  <w:style w:type="paragraph" w:customStyle="1" w:styleId="2194">
    <w:name w:val="Char Char Char Char Char Char Char Char Char Char Char Char Char Char3"/>
    <w:basedOn w:val="1"/>
    <w:semiHidden/>
    <w:qFormat/>
    <w:uiPriority w:val="0"/>
    <w:rPr>
      <w:rFonts w:ascii="Calibri" w:hAnsi="Calibri" w:cs="Calibri"/>
      <w:sz w:val="24"/>
    </w:rPr>
  </w:style>
  <w:style w:type="paragraph" w:customStyle="1" w:styleId="2195">
    <w:name w:val="xl194"/>
    <w:basedOn w:val="1"/>
    <w:qFormat/>
    <w:uiPriority w:val="99"/>
    <w:pPr>
      <w:widowControl/>
      <w:spacing w:before="100" w:beforeAutospacing="1" w:after="100" w:afterAutospacing="1"/>
      <w:jc w:val="center"/>
    </w:pPr>
    <w:rPr>
      <w:rFonts w:ascii="Calibri" w:hAnsi="Calibri" w:cs="Calibri"/>
      <w:kern w:val="0"/>
      <w:sz w:val="16"/>
      <w:szCs w:val="16"/>
    </w:rPr>
  </w:style>
  <w:style w:type="paragraph" w:customStyle="1" w:styleId="2196">
    <w:name w:val="xl47"/>
    <w:basedOn w:val="1"/>
    <w:qFormat/>
    <w:uiPriority w:val="0"/>
    <w:pPr>
      <w:widowControl/>
      <w:pBdr>
        <w:top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197">
    <w:name w:val="Normal3"/>
    <w:semiHidden/>
    <w:qFormat/>
    <w:uiPriority w:val="0"/>
    <w:pPr>
      <w:widowControl w:val="0"/>
      <w:tabs>
        <w:tab w:val="left" w:pos="567"/>
      </w:tabs>
      <w:adjustRightInd w:val="0"/>
      <w:spacing w:line="360" w:lineRule="atLeast"/>
      <w:jc w:val="both"/>
      <w:textAlignment w:val="baseline"/>
    </w:pPr>
    <w:rPr>
      <w:rFonts w:ascii="Calibri" w:hAnsi="Courier" w:eastAsia="PMingLiU" w:cs="Calibri"/>
      <w:sz w:val="24"/>
      <w:lang w:val="en-US" w:eastAsia="zh-TW" w:bidi="ar-SA"/>
    </w:rPr>
  </w:style>
  <w:style w:type="paragraph" w:customStyle="1" w:styleId="2198">
    <w:name w:val="默认段落字体 Para Char Char Char Char Char Char Char Char Char Char Char Char Char1"/>
    <w:basedOn w:val="1"/>
    <w:qFormat/>
    <w:uiPriority w:val="99"/>
    <w:rPr>
      <w:rFonts w:ascii="Calibri" w:hAnsi="Calibri" w:cs="Calibri"/>
      <w:sz w:val="24"/>
    </w:rPr>
  </w:style>
  <w:style w:type="paragraph" w:customStyle="1" w:styleId="2199">
    <w:name w:val="Plain Text1"/>
    <w:basedOn w:val="1"/>
    <w:qFormat/>
    <w:uiPriority w:val="0"/>
    <w:pPr>
      <w:autoSpaceDE w:val="0"/>
      <w:autoSpaceDN w:val="0"/>
      <w:adjustRightInd w:val="0"/>
      <w:textAlignment w:val="baseline"/>
    </w:pPr>
    <w:rPr>
      <w:rFonts w:ascii="宋体" w:hAnsi="Tms Rmn" w:cs="Calibri"/>
      <w:kern w:val="0"/>
      <w:szCs w:val="20"/>
    </w:rPr>
  </w:style>
  <w:style w:type="paragraph" w:customStyle="1" w:styleId="2200">
    <w:name w:val="Char Char Char Char1 Char Char Char Char Char Char Char Char Char"/>
    <w:basedOn w:val="1"/>
    <w:semiHidden/>
    <w:qFormat/>
    <w:uiPriority w:val="0"/>
    <w:pPr>
      <w:ind w:firstLine="200" w:firstLineChars="200"/>
    </w:pPr>
    <w:rPr>
      <w:rFonts w:ascii="@黑体" w:hAnsi="@黑体" w:eastAsia="黑体" w:cs="Calibri"/>
      <w:sz w:val="28"/>
      <w:szCs w:val="28"/>
    </w:rPr>
  </w:style>
  <w:style w:type="paragraph" w:customStyle="1" w:styleId="2201">
    <w:name w:val="Char Char Char Char Char Char Char Char Char Char Char Char Char Char Char2"/>
    <w:basedOn w:val="1"/>
    <w:semiHidden/>
    <w:qFormat/>
    <w:uiPriority w:val="0"/>
    <w:rPr>
      <w:rFonts w:ascii="Calibri" w:hAnsi="Calibri" w:cs="Calibri"/>
      <w:sz w:val="24"/>
    </w:rPr>
  </w:style>
  <w:style w:type="paragraph" w:customStyle="1" w:styleId="2202">
    <w:name w:val="正文居中"/>
    <w:basedOn w:val="60"/>
    <w:qFormat/>
    <w:uiPriority w:val="0"/>
    <w:pPr>
      <w:widowControl w:val="0"/>
      <w:tabs>
        <w:tab w:val="clear" w:pos="8778"/>
      </w:tabs>
      <w:adjustRightInd w:val="0"/>
      <w:spacing w:before="120"/>
    </w:pPr>
    <w:rPr>
      <w:rFonts w:hAnsi="Arial" w:cs="Calibri"/>
      <w:kern w:val="2"/>
      <w:sz w:val="20"/>
      <w:szCs w:val="28"/>
    </w:rPr>
  </w:style>
  <w:style w:type="paragraph" w:customStyle="1" w:styleId="2203">
    <w:name w:val="正文 + 四号"/>
    <w:basedOn w:val="4"/>
    <w:semiHidden/>
    <w:qFormat/>
    <w:uiPriority w:val="0"/>
    <w:pPr>
      <w:keepNext w:val="0"/>
      <w:keepLines w:val="0"/>
      <w:widowControl/>
      <w:numPr>
        <w:ilvl w:val="0"/>
        <w:numId w:val="0"/>
      </w:numPr>
      <w:adjustRightInd w:val="0"/>
      <w:spacing w:line="500" w:lineRule="exact"/>
      <w:ind w:firstLine="549" w:firstLineChars="196"/>
    </w:pPr>
    <w:rPr>
      <w:rFonts w:ascii="Times New Roman" w:hAnsi="Times New Roman" w:eastAsia="宋体"/>
      <w:kern w:val="0"/>
      <w:szCs w:val="28"/>
      <w:lang w:val="en-US"/>
    </w:rPr>
  </w:style>
  <w:style w:type="paragraph" w:customStyle="1" w:styleId="2204">
    <w:name w:val="xl297"/>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205">
    <w:name w:val="样式 样式 样式 标题 3条标题1.1.1Section标题 3 Char Char + 首行缩进:  2 字符 + 段前: 0..."/>
    <w:basedOn w:val="1"/>
    <w:qFormat/>
    <w:uiPriority w:val="0"/>
    <w:pPr>
      <w:keepNext/>
      <w:keepLines/>
      <w:snapToGrid w:val="0"/>
      <w:spacing w:before="72" w:beforeLines="30" w:after="48" w:afterLines="20"/>
      <w:jc w:val="left"/>
      <w:outlineLvl w:val="2"/>
    </w:pPr>
    <w:rPr>
      <w:rFonts w:ascii="Calibri" w:hAnsi="Calibri" w:cs="Calibri"/>
      <w:b/>
      <w:bCs/>
      <w:sz w:val="28"/>
      <w:szCs w:val="28"/>
    </w:rPr>
  </w:style>
  <w:style w:type="paragraph" w:customStyle="1" w:styleId="2206">
    <w:name w:val="正文-标准"/>
    <w:basedOn w:val="1"/>
    <w:qFormat/>
    <w:uiPriority w:val="0"/>
    <w:pPr>
      <w:spacing w:line="500" w:lineRule="exact"/>
      <w:ind w:firstLine="200" w:firstLineChars="200"/>
    </w:pPr>
    <w:rPr>
      <w:rFonts w:ascii="Calibri" w:hAnsi="Calibri" w:cs="Calibri"/>
      <w:sz w:val="24"/>
    </w:rPr>
  </w:style>
  <w:style w:type="paragraph" w:customStyle="1" w:styleId="2207">
    <w:name w:val="Char Char Char Char Char Char Char Char Char Char Char Char Char1"/>
    <w:basedOn w:val="1"/>
    <w:qFormat/>
    <w:uiPriority w:val="99"/>
    <w:pPr>
      <w:widowControl/>
      <w:spacing w:after="160" w:line="240" w:lineRule="exact"/>
      <w:jc w:val="left"/>
    </w:pPr>
    <w:rPr>
      <w:rFonts w:ascii="Arial" w:hAnsi="Arial" w:eastAsia="Times New Roman" w:cs="Verdana"/>
      <w:b/>
      <w:kern w:val="0"/>
      <w:sz w:val="24"/>
      <w:lang w:eastAsia="en-US"/>
    </w:rPr>
  </w:style>
  <w:style w:type="paragraph" w:customStyle="1" w:styleId="2208">
    <w:name w:val="表中字"/>
    <w:qFormat/>
    <w:uiPriority w:val="99"/>
    <w:pPr>
      <w:widowControl w:val="0"/>
      <w:adjustRightInd w:val="0"/>
      <w:snapToGrid w:val="0"/>
      <w:jc w:val="center"/>
    </w:pPr>
    <w:rPr>
      <w:rFonts w:ascii="Calibri" w:hAnsi="Calibri" w:eastAsia="宋体" w:cs="Calibri"/>
      <w:w w:val="90"/>
      <w:sz w:val="21"/>
      <w:lang w:val="en-US" w:eastAsia="zh-CN" w:bidi="ar-SA"/>
    </w:rPr>
  </w:style>
  <w:style w:type="paragraph" w:customStyle="1" w:styleId="2209">
    <w:name w:val="xl253"/>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210">
    <w:name w:val="样式2 Char"/>
    <w:basedOn w:val="23"/>
    <w:qFormat/>
    <w:uiPriority w:val="99"/>
    <w:pPr>
      <w:widowControl/>
      <w:spacing w:line="360" w:lineRule="auto"/>
      <w:ind w:firstLine="567" w:firstLineChars="0"/>
      <w:textAlignment w:val="baseline"/>
    </w:pPr>
    <w:rPr>
      <w:rFonts w:ascii="Calibri" w:hAnsi="Calibri" w:eastAsia="宋体" w:cs="Calibri"/>
      <w:snapToGrid w:val="0"/>
      <w:kern w:val="0"/>
      <w:sz w:val="24"/>
      <w:szCs w:val="24"/>
      <w:lang w:val="en-US"/>
    </w:rPr>
  </w:style>
  <w:style w:type="paragraph" w:customStyle="1" w:styleId="2211">
    <w:name w:val="正文(黑体)"/>
    <w:basedOn w:val="1"/>
    <w:qFormat/>
    <w:uiPriority w:val="99"/>
    <w:pPr>
      <w:autoSpaceDE w:val="0"/>
      <w:autoSpaceDN w:val="0"/>
      <w:adjustRightInd w:val="0"/>
      <w:spacing w:line="288" w:lineRule="auto"/>
      <w:ind w:firstLine="482"/>
      <w:textAlignment w:val="baseline"/>
    </w:pPr>
    <w:rPr>
      <w:rFonts w:ascii="黑体" w:hAnsi="Calibri" w:cs="Calibri"/>
      <w:kern w:val="0"/>
      <w:sz w:val="24"/>
      <w:szCs w:val="20"/>
    </w:rPr>
  </w:style>
  <w:style w:type="paragraph" w:customStyle="1" w:styleId="2212">
    <w:name w:val="Char Char Char1 Char Char Char1 Char Char Char1 Char Char Char 字元 字元 Char Char 字元 字元 字元 字元 字元"/>
    <w:basedOn w:val="1"/>
    <w:qFormat/>
    <w:uiPriority w:val="99"/>
    <w:pPr>
      <w:spacing w:line="400" w:lineRule="exact"/>
      <w:ind w:firstLine="200" w:firstLineChars="200"/>
    </w:pPr>
    <w:rPr>
      <w:rFonts w:ascii="Calibri" w:hAnsi="Calibri" w:cs="Calibri"/>
      <w:sz w:val="28"/>
      <w:szCs w:val="28"/>
    </w:rPr>
  </w:style>
  <w:style w:type="paragraph" w:customStyle="1" w:styleId="2213">
    <w:name w:val="Body Text Indent 22"/>
    <w:basedOn w:val="1"/>
    <w:semiHidden/>
    <w:qFormat/>
    <w:uiPriority w:val="0"/>
    <w:pPr>
      <w:adjustRightInd w:val="0"/>
      <w:spacing w:line="480" w:lineRule="atLeast"/>
      <w:ind w:firstLine="630"/>
      <w:textAlignment w:val="baseline"/>
    </w:pPr>
    <w:rPr>
      <w:rFonts w:ascii="宋体" w:hAnsi="Calibri" w:cs="Calibri"/>
      <w:sz w:val="28"/>
      <w:szCs w:val="20"/>
    </w:rPr>
  </w:style>
  <w:style w:type="paragraph" w:customStyle="1" w:styleId="2214">
    <w:name w:val="font28"/>
    <w:basedOn w:val="1"/>
    <w:semiHidden/>
    <w:qFormat/>
    <w:uiPriority w:val="0"/>
    <w:pPr>
      <w:widowControl/>
      <w:spacing w:before="100" w:beforeAutospacing="1" w:after="100" w:afterAutospacing="1"/>
      <w:jc w:val="left"/>
    </w:pPr>
    <w:rPr>
      <w:rFonts w:ascii="Calibri" w:hAnsi="Calibri" w:cs="Calibri"/>
      <w:color w:val="00FFFF"/>
      <w:kern w:val="0"/>
      <w:sz w:val="18"/>
      <w:szCs w:val="18"/>
    </w:rPr>
  </w:style>
  <w:style w:type="paragraph" w:customStyle="1" w:styleId="2215">
    <w:name w:val="00000000000000"/>
    <w:basedOn w:val="4"/>
    <w:qFormat/>
    <w:uiPriority w:val="99"/>
    <w:pPr>
      <w:keepNext w:val="0"/>
      <w:keepLines w:val="0"/>
      <w:numPr>
        <w:ilvl w:val="0"/>
        <w:numId w:val="0"/>
      </w:numPr>
      <w:adjustRightInd w:val="0"/>
      <w:snapToGrid w:val="0"/>
      <w:ind w:firstLine="480" w:firstLineChars="200"/>
      <w:outlineLvl w:val="9"/>
    </w:pPr>
    <w:rPr>
      <w:rFonts w:ascii="宋体" w:hAnsi="宋体" w:eastAsia="宋体"/>
      <w:kern w:val="18"/>
      <w:sz w:val="24"/>
      <w:szCs w:val="21"/>
      <w:lang w:val="en-US"/>
    </w:rPr>
  </w:style>
  <w:style w:type="paragraph" w:customStyle="1" w:styleId="2216">
    <w:name w:val="Char Char Char Char Char Char Char Char Char1 Char Char Char Char Char Char Char2"/>
    <w:basedOn w:val="1"/>
    <w:semiHidden/>
    <w:qFormat/>
    <w:uiPriority w:val="0"/>
    <w:rPr>
      <w:rFonts w:ascii="Calibri" w:hAnsi="Calibri" w:cs="Calibri"/>
      <w:szCs w:val="21"/>
    </w:rPr>
  </w:style>
  <w:style w:type="paragraph" w:customStyle="1" w:styleId="2217">
    <w:name w:val="表图1"/>
    <w:basedOn w:val="1"/>
    <w:qFormat/>
    <w:uiPriority w:val="99"/>
    <w:pPr>
      <w:spacing w:line="360" w:lineRule="exact"/>
      <w:ind w:firstLine="200" w:firstLineChars="200"/>
      <w:jc w:val="center"/>
    </w:pPr>
    <w:rPr>
      <w:rFonts w:ascii="仿宋_GB2312" w:hAnsi="Calibri" w:eastAsia="仿宋_GB2312" w:cs="Calibri"/>
      <w:sz w:val="28"/>
    </w:rPr>
  </w:style>
  <w:style w:type="paragraph" w:customStyle="1" w:styleId="2218">
    <w:name w:val="默认段落字体 Para Char Char Char Char Char Char Char"/>
    <w:basedOn w:val="1"/>
    <w:qFormat/>
    <w:uiPriority w:val="0"/>
    <w:rPr>
      <w:rFonts w:ascii="Calibri" w:hAnsi="Calibri" w:cs="Calibri"/>
      <w:sz w:val="24"/>
    </w:rPr>
  </w:style>
  <w:style w:type="paragraph" w:customStyle="1" w:styleId="2219">
    <w:name w:val="xl169"/>
    <w:basedOn w:val="1"/>
    <w:qFormat/>
    <w:uiPriority w:val="99"/>
    <w:pPr>
      <w:widowControl/>
      <w:pBdr>
        <w:right w:val="single" w:color="auto" w:sz="4" w:space="0"/>
      </w:pBdr>
      <w:spacing w:before="100" w:beforeAutospacing="1" w:after="100" w:afterAutospacing="1"/>
      <w:jc w:val="center"/>
      <w:textAlignment w:val="center"/>
    </w:pPr>
    <w:rPr>
      <w:rFonts w:ascii="Arial Unicode MS" w:hAnsi="Arial Unicode MS" w:cs="Calibri"/>
      <w:kern w:val="0"/>
    </w:rPr>
  </w:style>
  <w:style w:type="paragraph" w:customStyle="1" w:styleId="2220">
    <w:name w:val="样式 表格 + 居中"/>
    <w:basedOn w:val="1"/>
    <w:qFormat/>
    <w:uiPriority w:val="99"/>
    <w:pPr>
      <w:kinsoku w:val="0"/>
      <w:overflowPunct w:val="0"/>
      <w:adjustRightInd w:val="0"/>
      <w:snapToGrid w:val="0"/>
      <w:jc w:val="center"/>
    </w:pPr>
    <w:rPr>
      <w:rFonts w:ascii="Calibri" w:hAnsi="Calibri" w:cs="Calibri"/>
      <w:snapToGrid w:val="0"/>
      <w:color w:val="000000"/>
      <w:kern w:val="0"/>
      <w:sz w:val="24"/>
    </w:rPr>
  </w:style>
  <w:style w:type="paragraph" w:customStyle="1" w:styleId="2221">
    <w:name w:val="Char4 Char Char Char Char Char Char2"/>
    <w:basedOn w:val="1"/>
    <w:qFormat/>
    <w:uiPriority w:val="99"/>
    <w:rPr>
      <w:rFonts w:ascii="Calibri" w:hAnsi="Calibri" w:cs="Calibri"/>
      <w:sz w:val="24"/>
    </w:rPr>
  </w:style>
  <w:style w:type="paragraph" w:customStyle="1" w:styleId="2222">
    <w:name w:val="Char Char Char1 Char Char Char Char Char Char Char Char Char Char Char Char Char"/>
    <w:basedOn w:val="1"/>
    <w:qFormat/>
    <w:uiPriority w:val="0"/>
    <w:pPr>
      <w:widowControl/>
      <w:jc w:val="left"/>
    </w:pPr>
    <w:rPr>
      <w:rFonts w:ascii="Calibri" w:hAnsi="Calibri" w:cs="Calibri"/>
      <w:kern w:val="0"/>
      <w:sz w:val="22"/>
      <w:szCs w:val="21"/>
    </w:rPr>
  </w:style>
  <w:style w:type="paragraph" w:customStyle="1" w:styleId="2223">
    <w:name w:val="Char Char Char Char Char Char Char Char Char Char Char 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2224">
    <w:name w:val="样式 小三 加粗 首行缩进:  2 字符"/>
    <w:basedOn w:val="1"/>
    <w:semiHidden/>
    <w:qFormat/>
    <w:uiPriority w:val="0"/>
    <w:pPr>
      <w:spacing w:line="360" w:lineRule="auto"/>
      <w:ind w:firstLine="480" w:firstLineChars="200"/>
    </w:pPr>
    <w:rPr>
      <w:rFonts w:ascii="Calibri" w:hAnsi="Calibri" w:cs="Calibri"/>
      <w:bCs/>
      <w:sz w:val="24"/>
      <w:szCs w:val="20"/>
    </w:rPr>
  </w:style>
  <w:style w:type="paragraph" w:customStyle="1" w:styleId="2225">
    <w:name w:val="xl162"/>
    <w:basedOn w:val="1"/>
    <w:qFormat/>
    <w:uiPriority w:val="99"/>
    <w:pPr>
      <w:widowControl/>
      <w:pBdr>
        <w:bottom w:val="single" w:color="auto" w:sz="12" w:space="0"/>
        <w:right w:val="single" w:color="auto" w:sz="12" w:space="0"/>
      </w:pBdr>
      <w:spacing w:before="100" w:beforeAutospacing="1" w:after="100" w:afterAutospacing="1"/>
      <w:jc w:val="center"/>
      <w:textAlignment w:val="center"/>
    </w:pPr>
    <w:rPr>
      <w:rFonts w:ascii="Arial Unicode MS" w:hAnsi="Arial Unicode MS" w:cs="Calibri"/>
      <w:kern w:val="0"/>
    </w:rPr>
  </w:style>
  <w:style w:type="paragraph" w:customStyle="1" w:styleId="2226">
    <w:name w:val="Char Char1 Char Char Char Char4"/>
    <w:basedOn w:val="1"/>
    <w:qFormat/>
    <w:uiPriority w:val="99"/>
    <w:rPr>
      <w:rFonts w:ascii="Calibri" w:hAnsi="Calibri" w:cs="Calibri"/>
      <w:sz w:val="24"/>
    </w:rPr>
  </w:style>
  <w:style w:type="paragraph" w:customStyle="1" w:styleId="2227">
    <w:name w:val="字元 字元"/>
    <w:basedOn w:val="1"/>
    <w:qFormat/>
    <w:uiPriority w:val="0"/>
    <w:rPr>
      <w:rFonts w:ascii="Calibri" w:hAnsi="Calibri" w:cs="Calibri"/>
      <w:sz w:val="24"/>
    </w:rPr>
  </w:style>
  <w:style w:type="paragraph" w:customStyle="1" w:styleId="2228">
    <w:name w:val="标题正1"/>
    <w:basedOn w:val="1"/>
    <w:qFormat/>
    <w:uiPriority w:val="0"/>
    <w:pPr>
      <w:spacing w:before="60" w:after="60" w:line="500" w:lineRule="exact"/>
    </w:pPr>
    <w:rPr>
      <w:rFonts w:ascii="黑体" w:hAnsi="Calibri" w:eastAsia="黑体" w:cs="Calibri"/>
      <w:sz w:val="32"/>
      <w:szCs w:val="28"/>
    </w:rPr>
  </w:style>
  <w:style w:type="paragraph" w:customStyle="1" w:styleId="2229">
    <w:name w:val="样式 首行缩进:  0.85 厘米 行距: 固定值 23 磅"/>
    <w:basedOn w:val="1"/>
    <w:qFormat/>
    <w:uiPriority w:val="99"/>
    <w:pPr>
      <w:spacing w:line="480" w:lineRule="exact"/>
      <w:ind w:firstLine="560" w:firstLineChars="200"/>
    </w:pPr>
    <w:rPr>
      <w:rFonts w:ascii="Calibri" w:hAnsi="Calibri" w:eastAsia="仿宋_GB2312" w:cs="Calibri"/>
      <w:color w:val="000000"/>
      <w:sz w:val="28"/>
      <w:szCs w:val="20"/>
    </w:rPr>
  </w:style>
  <w:style w:type="paragraph" w:customStyle="1" w:styleId="2230">
    <w:name w:val="图1"/>
    <w:basedOn w:val="1"/>
    <w:next w:val="1"/>
    <w:semiHidden/>
    <w:qFormat/>
    <w:uiPriority w:val="0"/>
    <w:pPr>
      <w:tabs>
        <w:tab w:val="left" w:pos="360"/>
      </w:tabs>
      <w:spacing w:beforeLines="50" w:line="360" w:lineRule="auto"/>
      <w:ind w:left="4420" w:hanging="748"/>
      <w:jc w:val="center"/>
    </w:pPr>
    <w:rPr>
      <w:rFonts w:ascii="Calibri" w:hAnsi="Calibri" w:cs="Calibri"/>
      <w:kern w:val="0"/>
      <w:sz w:val="24"/>
    </w:rPr>
  </w:style>
  <w:style w:type="paragraph" w:customStyle="1" w:styleId="2231">
    <w:name w:val="样式（大表格）"/>
    <w:basedOn w:val="1"/>
    <w:qFormat/>
    <w:uiPriority w:val="99"/>
    <w:pPr>
      <w:adjustRightInd w:val="0"/>
      <w:snapToGrid w:val="0"/>
      <w:spacing w:line="400" w:lineRule="exact"/>
    </w:pPr>
    <w:rPr>
      <w:rFonts w:ascii="Calibri" w:hAnsi="Calibri" w:cs="Calibri"/>
      <w:color w:val="FF0000"/>
      <w:sz w:val="24"/>
    </w:rPr>
  </w:style>
  <w:style w:type="paragraph" w:customStyle="1" w:styleId="2232">
    <w:name w:val="Char1 Char Char"/>
    <w:basedOn w:val="1"/>
    <w:qFormat/>
    <w:uiPriority w:val="0"/>
    <w:rPr>
      <w:rFonts w:ascii="Calibri" w:hAnsi="Calibri" w:cs="Calibri"/>
      <w:szCs w:val="20"/>
    </w:rPr>
  </w:style>
  <w:style w:type="paragraph" w:customStyle="1" w:styleId="2233">
    <w:name w:val="项目符号"/>
    <w:basedOn w:val="1"/>
    <w:qFormat/>
    <w:uiPriority w:val="99"/>
    <w:pPr>
      <w:tabs>
        <w:tab w:val="left" w:pos="170"/>
      </w:tabs>
      <w:overflowPunct w:val="0"/>
      <w:snapToGrid w:val="0"/>
      <w:spacing w:before="120" w:line="480" w:lineRule="exact"/>
      <w:ind w:firstLine="454" w:firstLineChars="200"/>
    </w:pPr>
    <w:rPr>
      <w:rFonts w:ascii="Arial" w:hAnsi="Arial" w:eastAsia="仿宋_GB2312" w:cs="Calibri"/>
      <w:sz w:val="28"/>
      <w:szCs w:val="20"/>
    </w:rPr>
  </w:style>
  <w:style w:type="paragraph" w:customStyle="1" w:styleId="2234">
    <w:name w:val="样式  + 首行缩进:  0.75 厘米"/>
    <w:basedOn w:val="1"/>
    <w:semiHidden/>
    <w:qFormat/>
    <w:uiPriority w:val="0"/>
    <w:pPr>
      <w:ind w:firstLine="425"/>
      <w:jc w:val="left"/>
    </w:pPr>
    <w:rPr>
      <w:rFonts w:ascii="Calibri" w:hAnsi="Calibri" w:cs="Calibri"/>
      <w:bCs/>
      <w:sz w:val="24"/>
    </w:rPr>
  </w:style>
  <w:style w:type="paragraph" w:customStyle="1" w:styleId="2235">
    <w:name w:val="附录标识"/>
    <w:semiHidden/>
    <w:qFormat/>
    <w:uiPriority w:val="0"/>
    <w:pPr>
      <w:tabs>
        <w:tab w:val="left" w:pos="903"/>
        <w:tab w:val="left" w:pos="6405"/>
      </w:tabs>
      <w:spacing w:after="200"/>
    </w:pPr>
    <w:rPr>
      <w:rFonts w:ascii="Times New Roman" w:hAnsi="Times New Roman" w:eastAsia="宋体" w:cs="Calibri"/>
      <w:sz w:val="21"/>
      <w:lang w:val="en-US" w:eastAsia="zh-CN" w:bidi="ar-SA"/>
    </w:rPr>
  </w:style>
  <w:style w:type="paragraph" w:customStyle="1" w:styleId="2236">
    <w:name w:val="Char Char Char1 Char Char"/>
    <w:basedOn w:val="1"/>
    <w:qFormat/>
    <w:uiPriority w:val="0"/>
    <w:rPr>
      <w:rFonts w:ascii="黑体" w:hAnsi="黑体" w:eastAsia="黑体" w:cs="Calibri"/>
      <w:b/>
      <w:spacing w:val="10"/>
      <w:sz w:val="28"/>
      <w:szCs w:val="20"/>
    </w:rPr>
  </w:style>
  <w:style w:type="paragraph" w:customStyle="1" w:styleId="2237">
    <w:name w:val="xl273"/>
    <w:basedOn w:val="1"/>
    <w:semiHidden/>
    <w:qFormat/>
    <w:uiPriority w:val="0"/>
    <w:pPr>
      <w:widowControl/>
      <w:pBdr>
        <w:bottom w:val="single" w:color="auto" w:sz="8" w:space="0"/>
        <w:right w:val="single" w:color="auto" w:sz="12" w:space="0"/>
      </w:pBdr>
      <w:spacing w:before="100" w:beforeAutospacing="1" w:after="100" w:afterAutospacing="1"/>
      <w:jc w:val="center"/>
    </w:pPr>
    <w:rPr>
      <w:rFonts w:ascii="Calibri" w:hAnsi="Calibri" w:cs="Calibri"/>
      <w:color w:val="00CCFF"/>
      <w:kern w:val="0"/>
      <w:sz w:val="18"/>
      <w:szCs w:val="18"/>
    </w:rPr>
  </w:style>
  <w:style w:type="paragraph" w:customStyle="1" w:styleId="2238">
    <w:name w:val="二级"/>
    <w:basedOn w:val="4"/>
    <w:next w:val="1"/>
    <w:qFormat/>
    <w:uiPriority w:val="99"/>
    <w:pPr>
      <w:numPr>
        <w:ilvl w:val="0"/>
        <w:numId w:val="0"/>
      </w:numPr>
      <w:tabs>
        <w:tab w:val="left" w:pos="567"/>
      </w:tabs>
      <w:adjustRightInd w:val="0"/>
      <w:spacing w:before="240" w:after="240" w:line="500" w:lineRule="exact"/>
    </w:pPr>
    <w:rPr>
      <w:rFonts w:ascii="Times New Roman" w:hAnsi="Times New Roman" w:eastAsia="宋体"/>
      <w:b w:val="0"/>
      <w:spacing w:val="12"/>
      <w:sz w:val="24"/>
      <w:szCs w:val="30"/>
      <w:lang w:val="en-US"/>
    </w:rPr>
  </w:style>
  <w:style w:type="paragraph" w:customStyle="1" w:styleId="2239">
    <w:name w:val="xl33"/>
    <w:basedOn w:val="1"/>
    <w:qFormat/>
    <w:uiPriority w:val="0"/>
    <w:pPr>
      <w:widowControl/>
      <w:pBdr>
        <w:top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2240">
    <w:name w:val="xl279"/>
    <w:basedOn w:val="1"/>
    <w:semiHidden/>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2241">
    <w:name w:val="xl238"/>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FFFF00"/>
      <w:kern w:val="0"/>
      <w:sz w:val="18"/>
      <w:szCs w:val="18"/>
    </w:rPr>
  </w:style>
  <w:style w:type="paragraph" w:customStyle="1" w:styleId="2242">
    <w:name w:val="样式37"/>
    <w:basedOn w:val="10"/>
    <w:semiHidden/>
    <w:qFormat/>
    <w:uiPriority w:val="0"/>
    <w:pPr>
      <w:widowControl w:val="0"/>
      <w:pBdr>
        <w:bottom w:val="none" w:color="auto" w:sz="0" w:space="0"/>
      </w:pBdr>
      <w:autoSpaceDE w:val="0"/>
      <w:autoSpaceDN w:val="0"/>
      <w:adjustRightInd/>
      <w:snapToGrid/>
      <w:spacing w:beforeLines="50" w:afterLines="50"/>
      <w:ind w:firstLine="0" w:firstLineChars="0"/>
      <w:outlineLvl w:val="0"/>
    </w:pPr>
    <w:rPr>
      <w:rFonts w:ascii="Calibri" w:hAnsi="Calibri" w:eastAsia="黑体"/>
      <w:kern w:val="2"/>
      <w:sz w:val="32"/>
      <w:szCs w:val="32"/>
      <w:lang w:val="en-US" w:eastAsia="zh-CN" w:bidi="ar-SA"/>
    </w:rPr>
  </w:style>
  <w:style w:type="paragraph" w:customStyle="1" w:styleId="2243">
    <w:name w:val="表第一列"/>
    <w:basedOn w:val="88"/>
    <w:qFormat/>
    <w:uiPriority w:val="99"/>
    <w:pPr>
      <w:keepLines/>
      <w:widowControl w:val="0"/>
      <w:tabs>
        <w:tab w:val="left" w:pos="1727"/>
        <w:tab w:val="left" w:pos="1884"/>
        <w:tab w:val="left" w:pos="2940"/>
      </w:tabs>
      <w:adjustRightInd w:val="0"/>
      <w:snapToGrid w:val="0"/>
      <w:spacing w:after="0" w:line="0" w:lineRule="atLeast"/>
      <w:ind w:firstLine="0" w:firstLineChars="0"/>
      <w:jc w:val="center"/>
    </w:pPr>
    <w:rPr>
      <w:rFonts w:cs="Calibri"/>
      <w:color w:val="000000"/>
      <w:spacing w:val="-4"/>
      <w:sz w:val="21"/>
    </w:rPr>
  </w:style>
  <w:style w:type="paragraph" w:customStyle="1" w:styleId="2244">
    <w:name w:val="zhengwen"/>
    <w:basedOn w:val="1"/>
    <w:qFormat/>
    <w:uiPriority w:val="99"/>
    <w:pPr>
      <w:spacing w:before="60" w:line="460" w:lineRule="exact"/>
      <w:ind w:firstLine="480" w:firstLineChars="200"/>
    </w:pPr>
    <w:rPr>
      <w:rFonts w:ascii="Calibri" w:hAnsi="Calibri" w:cs="Calibri"/>
      <w:color w:val="0000FF"/>
      <w:sz w:val="24"/>
    </w:rPr>
  </w:style>
  <w:style w:type="paragraph" w:customStyle="1" w:styleId="2245">
    <w:name w:val="样式 表格文字 + (西文) 宋体 (中文) 华文仿宋 小四 黑色"/>
    <w:basedOn w:val="208"/>
    <w:qFormat/>
    <w:uiPriority w:val="0"/>
    <w:pPr>
      <w:tabs>
        <w:tab w:val="left" w:pos="560"/>
      </w:tabs>
      <w:overflowPunct w:val="0"/>
      <w:spacing w:line="400" w:lineRule="exact"/>
      <w:ind w:firstLine="0" w:firstLineChars="0"/>
      <w:jc w:val="left"/>
    </w:pPr>
    <w:rPr>
      <w:rFonts w:ascii="Times New Roman" w:hAnsi="宋体" w:eastAsia="宋体" w:cs="宋体"/>
      <w:b/>
      <w:snapToGrid w:val="0"/>
      <w:color w:val="000000"/>
      <w:kern w:val="0"/>
      <w:sz w:val="21"/>
      <w:szCs w:val="20"/>
      <w:lang w:val="en-US" w:eastAsia="zh-CN" w:bidi="ar-SA"/>
    </w:rPr>
  </w:style>
  <w:style w:type="paragraph" w:customStyle="1" w:styleId="2246">
    <w:name w:val="xl213"/>
    <w:basedOn w:val="1"/>
    <w:semiHidden/>
    <w:qFormat/>
    <w:uiPriority w:val="0"/>
    <w:pPr>
      <w:widowControl/>
      <w:pBdr>
        <w:left w:val="single" w:color="auto" w:sz="8" w:space="0"/>
        <w:bottom w:val="single" w:color="auto" w:sz="12" w:space="0"/>
      </w:pBdr>
      <w:spacing w:before="100" w:beforeAutospacing="1" w:after="100" w:afterAutospacing="1"/>
      <w:jc w:val="center"/>
    </w:pPr>
    <w:rPr>
      <w:rFonts w:ascii="Calibri" w:hAnsi="Calibri" w:cs="Calibri"/>
      <w:kern w:val="0"/>
      <w:sz w:val="18"/>
      <w:szCs w:val="18"/>
    </w:rPr>
  </w:style>
  <w:style w:type="paragraph" w:customStyle="1" w:styleId="2247">
    <w:name w:val="样式 样式2.4.1.1 + 段前: 0.5 行"/>
    <w:semiHidden/>
    <w:qFormat/>
    <w:uiPriority w:val="0"/>
    <w:pPr>
      <w:numPr>
        <w:ilvl w:val="3"/>
        <w:numId w:val="6"/>
      </w:numPr>
      <w:tabs>
        <w:tab w:val="left" w:pos="0"/>
      </w:tabs>
    </w:pPr>
    <w:rPr>
      <w:rFonts w:ascii="Times New Roman" w:hAnsi="Times New Roman" w:eastAsia="宋体" w:cs="宋体"/>
      <w:lang w:val="en-US" w:eastAsia="zh-CN" w:bidi="ar-SA"/>
    </w:rPr>
  </w:style>
  <w:style w:type="paragraph" w:customStyle="1" w:styleId="2248">
    <w:name w:val="样式2.5.1.1"/>
    <w:basedOn w:val="1"/>
    <w:semiHidden/>
    <w:qFormat/>
    <w:uiPriority w:val="0"/>
    <w:pPr>
      <w:spacing w:before="50" w:beforeLines="50" w:line="360" w:lineRule="auto"/>
      <w:outlineLvl w:val="3"/>
    </w:pPr>
    <w:rPr>
      <w:rFonts w:ascii="Calibri" w:hAnsi="Calibri" w:cs="Calibri"/>
      <w:b/>
      <w:bCs/>
      <w:color w:val="000000"/>
      <w:sz w:val="24"/>
    </w:rPr>
  </w:style>
  <w:style w:type="paragraph" w:customStyle="1" w:styleId="2249">
    <w:name w:val="xl48"/>
    <w:basedOn w:val="1"/>
    <w:qFormat/>
    <w:uiPriority w:val="0"/>
    <w:pPr>
      <w:widowControl/>
      <w:pBdr>
        <w:left w:val="single" w:color="auto" w:sz="12" w:space="0"/>
        <w:bottom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2250">
    <w:name w:val="Indent1"/>
    <w:basedOn w:val="1"/>
    <w:semiHidden/>
    <w:qFormat/>
    <w:uiPriority w:val="0"/>
    <w:pPr>
      <w:overflowPunct w:val="0"/>
      <w:autoSpaceDE w:val="0"/>
      <w:autoSpaceDN w:val="0"/>
      <w:adjustRightInd w:val="0"/>
      <w:ind w:left="1440" w:hanging="720"/>
      <w:jc w:val="left"/>
      <w:textAlignment w:val="baseline"/>
    </w:pPr>
    <w:rPr>
      <w:rFonts w:ascii="Arial" w:hAnsi="Arial" w:cs="Calibri"/>
      <w:kern w:val="0"/>
      <w:sz w:val="22"/>
      <w:szCs w:val="20"/>
    </w:rPr>
  </w:style>
  <w:style w:type="paragraph" w:customStyle="1" w:styleId="2251">
    <w:name w:val="正文23"/>
    <w:qFormat/>
    <w:uiPriority w:val="0"/>
    <w:pPr>
      <w:tabs>
        <w:tab w:val="right" w:pos="1474"/>
      </w:tabs>
      <w:spacing w:line="360" w:lineRule="auto"/>
    </w:pPr>
    <w:rPr>
      <w:rFonts w:ascii="Calibri" w:hAnsi="Calibri" w:eastAsia="宋体" w:cs="Calibri"/>
      <w:sz w:val="24"/>
      <w:szCs w:val="22"/>
      <w:lang w:val="en-US" w:eastAsia="zh-CN" w:bidi="ar-SA"/>
    </w:rPr>
  </w:style>
  <w:style w:type="paragraph" w:customStyle="1" w:styleId="2252">
    <w:name w:val="Heading Base"/>
    <w:basedOn w:val="36"/>
    <w:next w:val="36"/>
    <w:semiHidden/>
    <w:qFormat/>
    <w:uiPriority w:val="0"/>
    <w:pPr>
      <w:keepNext/>
      <w:keepLines/>
      <w:snapToGrid/>
      <w:spacing w:before="0" w:after="0" w:line="220" w:lineRule="atLeast"/>
      <w:ind w:right="-360"/>
      <w:jc w:val="left"/>
    </w:pPr>
    <w:rPr>
      <w:rFonts w:ascii="Tahoma" w:hAnsi="Tahoma" w:eastAsia="黑体" w:cs="Calibri"/>
      <w:spacing w:val="-4"/>
      <w:lang w:val="en-US"/>
    </w:rPr>
  </w:style>
  <w:style w:type="paragraph" w:customStyle="1" w:styleId="2253">
    <w:name w:val="表格小4居中"/>
    <w:basedOn w:val="1"/>
    <w:semiHidden/>
    <w:qFormat/>
    <w:uiPriority w:val="0"/>
    <w:pPr>
      <w:adjustRightInd w:val="0"/>
      <w:snapToGrid w:val="0"/>
      <w:spacing w:before="60" w:after="60" w:line="320" w:lineRule="atLeast"/>
      <w:jc w:val="center"/>
    </w:pPr>
    <w:rPr>
      <w:rFonts w:ascii="Calibri" w:hAnsi="Calibri" w:cs="宋体"/>
      <w:sz w:val="24"/>
      <w:szCs w:val="20"/>
    </w:rPr>
  </w:style>
  <w:style w:type="paragraph" w:customStyle="1" w:styleId="2254">
    <w:name w:val="Char Char101"/>
    <w:basedOn w:val="1"/>
    <w:semiHidden/>
    <w:qFormat/>
    <w:uiPriority w:val="0"/>
    <w:rPr>
      <w:rFonts w:ascii="Calibri" w:hAnsi="Calibri" w:cs="Calibri"/>
      <w:sz w:val="24"/>
    </w:rPr>
  </w:style>
  <w:style w:type="paragraph" w:customStyle="1" w:styleId="2255">
    <w:name w:val="标题6"/>
    <w:basedOn w:val="1"/>
    <w:qFormat/>
    <w:uiPriority w:val="0"/>
    <w:pPr>
      <w:autoSpaceDE w:val="0"/>
      <w:autoSpaceDN w:val="0"/>
      <w:adjustRightInd w:val="0"/>
      <w:snapToGrid w:val="0"/>
      <w:spacing w:line="300" w:lineRule="auto"/>
      <w:ind w:firstLine="567"/>
      <w:outlineLvl w:val="5"/>
    </w:pPr>
    <w:rPr>
      <w:rFonts w:ascii="仿宋_GB2312" w:hAnsi="宋体" w:eastAsia="仿宋_GB2312" w:cs="Calibri"/>
      <w:sz w:val="24"/>
      <w:szCs w:val="21"/>
    </w:rPr>
  </w:style>
  <w:style w:type="paragraph" w:customStyle="1" w:styleId="2256">
    <w:name w:val="Char Char Char12"/>
    <w:basedOn w:val="1"/>
    <w:semiHidden/>
    <w:qFormat/>
    <w:uiPriority w:val="0"/>
    <w:rPr>
      <w:rFonts w:ascii="Calibri" w:hAnsi="Calibri" w:cs="Calibri"/>
      <w:sz w:val="24"/>
    </w:rPr>
  </w:style>
  <w:style w:type="paragraph" w:customStyle="1" w:styleId="2257">
    <w:name w:val="xl145"/>
    <w:basedOn w:val="1"/>
    <w:qFormat/>
    <w:uiPriority w:val="99"/>
    <w:pPr>
      <w:widowControl/>
      <w:spacing w:before="100" w:beforeAutospacing="1" w:after="100" w:afterAutospacing="1"/>
      <w:jc w:val="left"/>
    </w:pPr>
    <w:rPr>
      <w:rFonts w:ascii="Arial Unicode MS" w:hAnsi="Arial Unicode MS" w:cs="Calibri"/>
      <w:kern w:val="0"/>
      <w:sz w:val="16"/>
      <w:szCs w:val="16"/>
    </w:rPr>
  </w:style>
  <w:style w:type="paragraph" w:customStyle="1" w:styleId="2258">
    <w:name w:val="td2"/>
    <w:basedOn w:val="1"/>
    <w:qFormat/>
    <w:uiPriority w:val="99"/>
    <w:pPr>
      <w:widowControl/>
      <w:spacing w:before="100" w:beforeAutospacing="1" w:after="100" w:afterAutospacing="1" w:line="360" w:lineRule="atLeast"/>
      <w:jc w:val="left"/>
    </w:pPr>
    <w:rPr>
      <w:rFonts w:ascii="宋体" w:hAnsi="宋体" w:cs="宋体"/>
      <w:kern w:val="0"/>
      <w:sz w:val="20"/>
      <w:szCs w:val="20"/>
    </w:rPr>
  </w:style>
  <w:style w:type="paragraph" w:customStyle="1" w:styleId="2259">
    <w:name w:val="样式 表格标题"/>
    <w:basedOn w:val="47"/>
    <w:semiHidden/>
    <w:qFormat/>
    <w:uiPriority w:val="0"/>
    <w:pPr>
      <w:spacing w:line="240" w:lineRule="auto"/>
      <w:ind w:firstLine="0" w:firstLineChars="0"/>
      <w:jc w:val="center"/>
    </w:pPr>
    <w:rPr>
      <w:rFonts w:ascii="@黑体" w:hAnsi="@黑体" w:eastAsia="黑体" w:cs="Calibri"/>
      <w:bCs/>
      <w:lang w:val="en-US"/>
    </w:rPr>
  </w:style>
  <w:style w:type="paragraph" w:customStyle="1" w:styleId="2260">
    <w:name w:val="Char Char Char Char Char Char Char Char Char Char Char Char1 Char Char Char Char Char Char Char Char Char Char Char Char"/>
    <w:basedOn w:val="1"/>
    <w:semiHidden/>
    <w:qFormat/>
    <w:uiPriority w:val="0"/>
    <w:pPr>
      <w:spacing w:line="240" w:lineRule="exact"/>
      <w:ind w:firstLine="200" w:firstLineChars="200"/>
    </w:pPr>
    <w:rPr>
      <w:rFonts w:ascii="Calibri" w:hAnsi="Calibri" w:cs="Calibri"/>
      <w:sz w:val="28"/>
      <w:szCs w:val="28"/>
    </w:rPr>
  </w:style>
  <w:style w:type="paragraph" w:customStyle="1" w:styleId="2261">
    <w:name w:val="样式 样式 列表 + 左侧:  0 厘米 悬挂缩进: 2 字符 + 红色"/>
    <w:semiHidden/>
    <w:qFormat/>
    <w:uiPriority w:val="0"/>
    <w:pPr>
      <w:tabs>
        <w:tab w:val="center" w:pos="4153"/>
        <w:tab w:val="right" w:pos="8306"/>
      </w:tabs>
    </w:pPr>
    <w:rPr>
      <w:rFonts w:ascii="Times New Roman" w:hAnsi="Times New Roman" w:eastAsia="宋体" w:cs="Calibri"/>
      <w:sz w:val="21"/>
      <w:szCs w:val="21"/>
      <w:lang w:val="en-US" w:eastAsia="zh-CN" w:bidi="ar-SA"/>
    </w:rPr>
  </w:style>
  <w:style w:type="paragraph" w:customStyle="1" w:styleId="2262">
    <w:name w:val="样式 标题 3 + 11 磅 蓝色"/>
    <w:basedOn w:val="5"/>
    <w:qFormat/>
    <w:uiPriority w:val="99"/>
    <w:pPr>
      <w:numPr>
        <w:ilvl w:val="0"/>
        <w:numId w:val="0"/>
      </w:numPr>
      <w:autoSpaceDE w:val="0"/>
      <w:autoSpaceDN w:val="0"/>
      <w:adjustRightInd w:val="0"/>
      <w:snapToGrid w:val="0"/>
      <w:spacing w:before="120" w:beforeLines="50" w:after="120" w:afterLines="50" w:line="360" w:lineRule="auto"/>
      <w:textAlignment w:val="baseline"/>
    </w:pPr>
    <w:rPr>
      <w:rFonts w:cs="Calibri"/>
      <w:bCs w:val="0"/>
      <w:snapToGrid w:val="0"/>
      <w:color w:val="0000FF"/>
      <w:kern w:val="0"/>
      <w:sz w:val="24"/>
      <w:szCs w:val="20"/>
      <w:lang w:val="en-US"/>
    </w:rPr>
  </w:style>
  <w:style w:type="paragraph" w:customStyle="1" w:styleId="2263">
    <w:name w:val="表内序号"/>
    <w:basedOn w:val="1"/>
    <w:qFormat/>
    <w:uiPriority w:val="99"/>
    <w:pPr>
      <w:ind w:left="-109" w:leftChars="-52" w:right="-115" w:rightChars="-55"/>
      <w:jc w:val="center"/>
    </w:pPr>
    <w:rPr>
      <w:rFonts w:ascii="Calibri" w:hAnsi="宋体" w:cs="Calibri"/>
      <w:szCs w:val="21"/>
    </w:rPr>
  </w:style>
  <w:style w:type="paragraph" w:customStyle="1" w:styleId="2264">
    <w:name w:val="——"/>
    <w:qFormat/>
    <w:uiPriority w:val="99"/>
    <w:pPr>
      <w:ind w:firstLine="660" w:firstLineChars="300"/>
    </w:pPr>
    <w:rPr>
      <w:rFonts w:ascii="Times New Roman" w:hAnsi="Times New Roman" w:eastAsia="宋体" w:cs="Calibri"/>
      <w:lang w:val="en-US" w:eastAsia="zh-CN" w:bidi="ar-SA"/>
    </w:rPr>
  </w:style>
  <w:style w:type="paragraph" w:customStyle="1" w:styleId="2265">
    <w:name w:val="Texte"/>
    <w:basedOn w:val="1"/>
    <w:qFormat/>
    <w:uiPriority w:val="99"/>
    <w:pPr>
      <w:widowControl/>
      <w:spacing w:before="120" w:after="120"/>
      <w:ind w:left="851" w:firstLine="200" w:firstLineChars="200"/>
    </w:pPr>
    <w:rPr>
      <w:rFonts w:ascii="Arial" w:hAnsi="Arial" w:cs="Calibri"/>
      <w:kern w:val="0"/>
      <w:sz w:val="22"/>
      <w:szCs w:val="20"/>
      <w:lang w:val="en-GB"/>
    </w:rPr>
  </w:style>
  <w:style w:type="paragraph" w:customStyle="1" w:styleId="2266">
    <w:name w:val="Char Char Char Char Char Char1 Char1 Char Char Char Char Char Char"/>
    <w:basedOn w:val="1"/>
    <w:semiHidden/>
    <w:qFormat/>
    <w:uiPriority w:val="0"/>
    <w:rPr>
      <w:rFonts w:ascii="Calibri" w:hAnsi="Calibri" w:cs="Calibri"/>
    </w:rPr>
  </w:style>
  <w:style w:type="paragraph" w:customStyle="1" w:styleId="2267">
    <w:name w:val="Char3 Char Char Char3"/>
    <w:basedOn w:val="1"/>
    <w:semiHidden/>
    <w:qFormat/>
    <w:uiPriority w:val="0"/>
    <w:rPr>
      <w:rFonts w:ascii="Calibri" w:hAnsi="Calibri" w:cs="Calibri"/>
      <w:sz w:val="28"/>
    </w:rPr>
  </w:style>
  <w:style w:type="paragraph" w:customStyle="1" w:styleId="2268">
    <w:name w:val="xl50"/>
    <w:basedOn w:val="1"/>
    <w:qFormat/>
    <w:uiPriority w:val="0"/>
    <w:pPr>
      <w:widowControl/>
      <w:pBdr>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269">
    <w:name w:val="Char16"/>
    <w:basedOn w:val="1"/>
    <w:qFormat/>
    <w:uiPriority w:val="0"/>
    <w:rPr>
      <w:rFonts w:ascii="Calibri" w:hAnsi="Calibri" w:cs="Calibri"/>
      <w:sz w:val="24"/>
    </w:rPr>
  </w:style>
  <w:style w:type="paragraph" w:customStyle="1" w:styleId="2270">
    <w:name w:val="目录 2 Char Char"/>
    <w:basedOn w:val="1"/>
    <w:next w:val="1"/>
    <w:qFormat/>
    <w:uiPriority w:val="0"/>
    <w:pPr>
      <w:spacing w:line="351" w:lineRule="atLeast"/>
      <w:ind w:left="209" w:firstLine="419"/>
      <w:jc w:val="left"/>
    </w:pPr>
    <w:rPr>
      <w:rFonts w:hint="eastAsia" w:ascii="Calibri" w:hAnsi="Calibri" w:cs="Calibri"/>
      <w:szCs w:val="20"/>
    </w:rPr>
  </w:style>
  <w:style w:type="paragraph" w:customStyle="1" w:styleId="2271">
    <w:name w:val="Char Char Char Char Char Char Char Char Char Char Char Char Char Char Char Char 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2272">
    <w:name w:val="样式 表文字 + 首行缩进:  0.74 厘米"/>
    <w:basedOn w:val="287"/>
    <w:qFormat/>
    <w:uiPriority w:val="99"/>
    <w:pPr>
      <w:widowControl w:val="0"/>
      <w:spacing w:line="240" w:lineRule="auto"/>
      <w:ind w:firstLine="0" w:firstLineChars="0"/>
    </w:pPr>
    <w:rPr>
      <w:rFonts w:cs="Calibri"/>
      <w:sz w:val="21"/>
      <w:szCs w:val="20"/>
    </w:rPr>
  </w:style>
  <w:style w:type="paragraph" w:customStyle="1" w:styleId="2273">
    <w:name w:val="xl317"/>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274">
    <w:name w:val="xl183"/>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275">
    <w:name w:val="xl333"/>
    <w:basedOn w:val="1"/>
    <w:semiHidden/>
    <w:qFormat/>
    <w:uiPriority w:val="0"/>
    <w:pPr>
      <w:widowControl/>
      <w:pBdr>
        <w:left w:val="single" w:color="auto" w:sz="12"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2276">
    <w:name w:val="Char Char Char Char Char Char Char Char Char Char Char Char Char Char Char Char Char"/>
    <w:basedOn w:val="1"/>
    <w:semiHidden/>
    <w:qFormat/>
    <w:uiPriority w:val="0"/>
    <w:rPr>
      <w:rFonts w:ascii="Calibri" w:hAnsi="Calibri" w:cs="Calibri"/>
      <w:sz w:val="24"/>
    </w:rPr>
  </w:style>
  <w:style w:type="paragraph" w:customStyle="1" w:styleId="2277">
    <w:name w:val="样式 标题 1 + 四号"/>
    <w:basedOn w:val="3"/>
    <w:semiHidden/>
    <w:qFormat/>
    <w:uiPriority w:val="0"/>
    <w:pPr>
      <w:keepNext w:val="0"/>
      <w:overflowPunct/>
      <w:adjustRightInd w:val="0"/>
      <w:spacing w:before="0" w:after="0" w:line="360" w:lineRule="auto"/>
      <w:ind w:left="0" w:firstLine="0"/>
      <w:jc w:val="center"/>
    </w:pPr>
    <w:rPr>
      <w:rFonts w:ascii="宋体" w:hAnsi="宋体" w:eastAsia="宋体"/>
      <w:b w:val="0"/>
      <w:color w:val="auto"/>
      <w:kern w:val="0"/>
      <w:sz w:val="28"/>
      <w:szCs w:val="32"/>
    </w:rPr>
  </w:style>
  <w:style w:type="paragraph" w:customStyle="1" w:styleId="2278">
    <w:name w:val="xl272"/>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2279">
    <w:name w:val="图框文字"/>
    <w:basedOn w:val="1"/>
    <w:qFormat/>
    <w:uiPriority w:val="99"/>
    <w:pPr>
      <w:jc w:val="center"/>
      <w:textAlignment w:val="center"/>
    </w:pPr>
    <w:rPr>
      <w:rFonts w:ascii="Calibri" w:hAnsi="Calibri" w:cs="Calibri"/>
    </w:rPr>
  </w:style>
  <w:style w:type="paragraph" w:customStyle="1" w:styleId="2280">
    <w:name w:val="版本类型"/>
    <w:basedOn w:val="1"/>
    <w:semiHidden/>
    <w:qFormat/>
    <w:uiPriority w:val="0"/>
    <w:pPr>
      <w:jc w:val="center"/>
    </w:pPr>
    <w:rPr>
      <w:rFonts w:ascii="Calibri" w:hAnsi="Calibri" w:cs="宋体"/>
      <w:sz w:val="36"/>
      <w:szCs w:val="20"/>
    </w:rPr>
  </w:style>
  <w:style w:type="paragraph" w:customStyle="1" w:styleId="2281">
    <w:name w:val="dandan6-13正文 Char Char Char"/>
    <w:basedOn w:val="1"/>
    <w:next w:val="1"/>
    <w:semiHidden/>
    <w:qFormat/>
    <w:uiPriority w:val="0"/>
    <w:pPr>
      <w:keepNext/>
      <w:keepLines/>
      <w:widowControl/>
      <w:adjustRightInd w:val="0"/>
      <w:spacing w:before="40" w:after="40" w:line="360" w:lineRule="auto"/>
      <w:ind w:firstLine="200" w:firstLineChars="200"/>
      <w:textAlignment w:val="baseline"/>
    </w:pPr>
    <w:rPr>
      <w:rFonts w:ascii="Calibri" w:hAnsi="Calibri" w:cs="宋体"/>
      <w:kern w:val="0"/>
      <w:sz w:val="24"/>
      <w:szCs w:val="28"/>
    </w:rPr>
  </w:style>
  <w:style w:type="paragraph" w:customStyle="1" w:styleId="2282">
    <w:name w:val="样式 标题 3 + (西文)粗体"/>
    <w:basedOn w:val="5"/>
    <w:qFormat/>
    <w:uiPriority w:val="0"/>
    <w:pPr>
      <w:numPr>
        <w:ilvl w:val="0"/>
        <w:numId w:val="0"/>
      </w:numPr>
      <w:adjustRightInd w:val="0"/>
      <w:spacing w:beforeLines="50" w:afterLines="50"/>
    </w:pPr>
    <w:rPr>
      <w:rFonts w:ascii="Arial" w:hAnsi="Arial" w:eastAsia="仿宋_GB2312" w:cs="Angsana New"/>
      <w:b w:val="0"/>
      <w:sz w:val="24"/>
      <w:lang w:val="en-US" w:bidi="th-TH"/>
    </w:rPr>
  </w:style>
  <w:style w:type="paragraph" w:customStyle="1" w:styleId="2283">
    <w:name w:val="Char1 Char Char Char Char Char Char Char Char Char1 Char Char Char Char Char Char1"/>
    <w:basedOn w:val="1"/>
    <w:qFormat/>
    <w:uiPriority w:val="99"/>
    <w:pPr>
      <w:widowControl/>
      <w:spacing w:before="100" w:beforeAutospacing="1" w:after="100" w:afterAutospacing="1"/>
      <w:ind w:firstLine="200" w:firstLineChars="200"/>
      <w:jc w:val="left"/>
    </w:pPr>
    <w:rPr>
      <w:rFonts w:ascii="Verdana" w:hAnsi="Verdana" w:eastAsia="仿宋_GB2312" w:cs="Calibri"/>
      <w:kern w:val="0"/>
      <w:sz w:val="20"/>
      <w:szCs w:val="21"/>
      <w:lang w:eastAsia="en-US"/>
    </w:rPr>
  </w:style>
  <w:style w:type="paragraph" w:customStyle="1" w:styleId="2284">
    <w:name w:val="标准文本 首行缩进:2 字符 行距1.5倍"/>
    <w:basedOn w:val="1"/>
    <w:semiHidden/>
    <w:qFormat/>
    <w:uiPriority w:val="0"/>
    <w:pPr>
      <w:adjustRightInd w:val="0"/>
      <w:snapToGrid w:val="0"/>
      <w:spacing w:line="360" w:lineRule="auto"/>
      <w:ind w:firstLine="200" w:firstLineChars="200"/>
      <w:textAlignment w:val="center"/>
    </w:pPr>
    <w:rPr>
      <w:rFonts w:ascii="Calibri" w:hAnsi="Calibri" w:cs="宋体"/>
      <w:sz w:val="24"/>
    </w:rPr>
  </w:style>
  <w:style w:type="paragraph" w:customStyle="1" w:styleId="2285">
    <w:name w:val="样式 标题 2 + 段前: 0.5 行 段后: 0.5 行"/>
    <w:basedOn w:val="4"/>
    <w:qFormat/>
    <w:uiPriority w:val="0"/>
    <w:pPr>
      <w:numPr>
        <w:ilvl w:val="0"/>
        <w:numId w:val="0"/>
      </w:numPr>
      <w:tabs>
        <w:tab w:val="left" w:pos="576"/>
      </w:tabs>
      <w:adjustRightInd w:val="0"/>
      <w:snapToGrid w:val="0"/>
      <w:spacing w:before="156" w:beforeLines="50" w:after="156" w:afterLines="50" w:line="300" w:lineRule="auto"/>
      <w:ind w:left="576" w:hanging="576"/>
    </w:pPr>
    <w:rPr>
      <w:rFonts w:ascii="Times New Roman" w:hAnsi="Times New Roman" w:eastAsia="宋体" w:cs="宋体"/>
      <w:b w:val="0"/>
      <w:sz w:val="24"/>
      <w:szCs w:val="28"/>
      <w:lang w:val="en-US"/>
    </w:rPr>
  </w:style>
  <w:style w:type="paragraph" w:customStyle="1" w:styleId="2286">
    <w:name w:val="样式 标题 1 + 三号 行距: 最小值 24 磅"/>
    <w:basedOn w:val="3"/>
    <w:semiHidden/>
    <w:qFormat/>
    <w:uiPriority w:val="0"/>
    <w:pPr>
      <w:keepLines/>
      <w:tabs>
        <w:tab w:val="left" w:pos="432"/>
      </w:tabs>
      <w:overflowPunct/>
      <w:adjustRightInd w:val="0"/>
      <w:snapToGrid/>
      <w:spacing w:before="340" w:after="600" w:line="480" w:lineRule="atLeast"/>
      <w:jc w:val="center"/>
    </w:pPr>
    <w:rPr>
      <w:rFonts w:eastAsia="宋体"/>
      <w:b w:val="0"/>
      <w:color w:val="auto"/>
      <w:sz w:val="44"/>
      <w:szCs w:val="28"/>
    </w:rPr>
  </w:style>
  <w:style w:type="paragraph" w:customStyle="1" w:styleId="2287">
    <w:name w:val="Char Char1 Char Char Char Char Char Char Char Char Char Char Char Char Char Char Char Char Char Char Char Char1 Char2"/>
    <w:basedOn w:val="1"/>
    <w:qFormat/>
    <w:uiPriority w:val="99"/>
    <w:pPr>
      <w:spacing w:line="360" w:lineRule="auto"/>
      <w:ind w:firstLine="200" w:firstLineChars="200"/>
    </w:pPr>
    <w:rPr>
      <w:rFonts w:ascii="Calibri" w:hAnsi="Calibri" w:cs="Calibri"/>
      <w:sz w:val="24"/>
    </w:rPr>
  </w:style>
  <w:style w:type="paragraph" w:customStyle="1" w:styleId="2288">
    <w:name w:val="样式 题注"/>
    <w:basedOn w:val="36"/>
    <w:semiHidden/>
    <w:qFormat/>
    <w:uiPriority w:val="0"/>
    <w:pPr>
      <w:widowControl w:val="0"/>
      <w:snapToGrid/>
      <w:spacing w:before="0" w:beforeLines="50" w:after="120" w:afterLines="50" w:line="240" w:lineRule="auto"/>
      <w:ind w:right="0"/>
      <w:jc w:val="center"/>
    </w:pPr>
    <w:rPr>
      <w:rFonts w:ascii="Calibri" w:hAnsi="Calibri" w:cs="Calibri"/>
      <w:b/>
      <w:kern w:val="2"/>
      <w:sz w:val="21"/>
      <w:szCs w:val="21"/>
      <w:lang w:val="en-US"/>
    </w:rPr>
  </w:style>
  <w:style w:type="paragraph" w:customStyle="1" w:styleId="2289">
    <w:name w:val="高段文"/>
    <w:basedOn w:val="1"/>
    <w:qFormat/>
    <w:uiPriority w:val="99"/>
    <w:pPr>
      <w:spacing w:line="300" w:lineRule="auto"/>
      <w:ind w:firstLine="200" w:firstLineChars="200"/>
    </w:pPr>
    <w:rPr>
      <w:rFonts w:ascii="Arial" w:hAnsi="Arial" w:eastAsia="楷体_GB2312" w:cs="Calibri"/>
      <w:sz w:val="28"/>
      <w:szCs w:val="28"/>
    </w:rPr>
  </w:style>
  <w:style w:type="paragraph" w:customStyle="1" w:styleId="2290">
    <w:name w:val="正文样式"/>
    <w:basedOn w:val="1"/>
    <w:qFormat/>
    <w:uiPriority w:val="99"/>
    <w:pPr>
      <w:adjustRightInd w:val="0"/>
      <w:snapToGrid w:val="0"/>
      <w:spacing w:before="156" w:beforeLines="50" w:after="156" w:afterLines="50" w:line="312" w:lineRule="auto"/>
      <w:ind w:firstLine="480" w:firstLineChars="200"/>
    </w:pPr>
    <w:rPr>
      <w:rFonts w:ascii="Calibri" w:hAnsi="Calibri" w:cs="宋体"/>
      <w:sz w:val="24"/>
    </w:rPr>
  </w:style>
  <w:style w:type="paragraph" w:customStyle="1" w:styleId="2291">
    <w:name w:val="Char3 Char Char Char Char Char Char"/>
    <w:basedOn w:val="1"/>
    <w:qFormat/>
    <w:uiPriority w:val="99"/>
    <w:rPr>
      <w:rFonts w:ascii="Calibri" w:hAnsi="Calibri" w:cs="Calibri"/>
      <w:szCs w:val="21"/>
    </w:rPr>
  </w:style>
  <w:style w:type="paragraph" w:customStyle="1" w:styleId="2292">
    <w:name w:val="样式2.1"/>
    <w:basedOn w:val="1"/>
    <w:semiHidden/>
    <w:qFormat/>
    <w:uiPriority w:val="0"/>
    <w:pPr>
      <w:spacing w:before="50" w:beforeLines="50" w:line="360" w:lineRule="auto"/>
      <w:outlineLvl w:val="2"/>
    </w:pPr>
    <w:rPr>
      <w:rFonts w:ascii="Calibri" w:hAnsi="Calibri" w:cs="Calibri"/>
      <w:b/>
      <w:sz w:val="28"/>
      <w:szCs w:val="28"/>
    </w:rPr>
  </w:style>
  <w:style w:type="paragraph" w:customStyle="1" w:styleId="2293">
    <w:name w:val="样式 样式 标题 2节标题 1.1节第一章 标题 2Heading 2 HiddenHeading 2 CCBSheadi......"/>
    <w:basedOn w:val="1393"/>
    <w:semiHidden/>
    <w:qFormat/>
    <w:uiPriority w:val="0"/>
    <w:pPr>
      <w:spacing w:before="50" w:line="360" w:lineRule="auto"/>
    </w:pPr>
    <w:rPr>
      <w:rFonts w:cs="宋体"/>
      <w:b w:val="0"/>
      <w:szCs w:val="20"/>
    </w:rPr>
  </w:style>
  <w:style w:type="paragraph" w:customStyle="1" w:styleId="2294">
    <w:name w:val="文本框五号1.5倍行距"/>
    <w:qFormat/>
    <w:uiPriority w:val="99"/>
    <w:pPr>
      <w:spacing w:line="360" w:lineRule="auto"/>
    </w:pPr>
    <w:rPr>
      <w:rFonts w:ascii="Times New Roman" w:hAnsi="Times New Roman" w:eastAsia="宋体" w:cs="Calibri"/>
      <w:lang w:val="en-US" w:eastAsia="zh-CN" w:bidi="ar-SA"/>
    </w:rPr>
  </w:style>
  <w:style w:type="paragraph" w:customStyle="1" w:styleId="2295">
    <w:name w:val="文本框五号 Char"/>
    <w:qFormat/>
    <w:uiPriority w:val="99"/>
    <w:pPr>
      <w:jc w:val="center"/>
    </w:pPr>
    <w:rPr>
      <w:rFonts w:ascii="Calibri" w:hAnsi="Calibri" w:eastAsia="仿宋_GB2312" w:cs="Calibri"/>
      <w:kern w:val="2"/>
      <w:sz w:val="21"/>
      <w:szCs w:val="21"/>
      <w:lang w:val="en-US" w:eastAsia="zh-CN" w:bidi="ar-SA"/>
    </w:rPr>
  </w:style>
  <w:style w:type="paragraph" w:customStyle="1" w:styleId="2296">
    <w:name w:val="Char Char Char Char Char Char Char Char Char Char Char Char Char Char Char Char Char Char Char Char Char Char Char Char Char Char Char Char Char Char Char Char Char Char Char Char Char Char Char Char Char Char"/>
    <w:basedOn w:val="1"/>
    <w:qFormat/>
    <w:uiPriority w:val="99"/>
    <w:rPr>
      <w:rFonts w:ascii="Calibri" w:hAnsi="Calibri" w:cs="Calibri"/>
    </w:rPr>
  </w:style>
  <w:style w:type="paragraph" w:customStyle="1" w:styleId="2297">
    <w:name w:val="目次、标准名称标题"/>
    <w:basedOn w:val="467"/>
    <w:qFormat/>
    <w:uiPriority w:val="99"/>
    <w:pPr>
      <w:tabs>
        <w:tab w:val="clear" w:pos="903"/>
      </w:tabs>
      <w:spacing w:line="460" w:lineRule="exact"/>
      <w:ind w:left="0" w:firstLine="0"/>
    </w:pPr>
    <w:rPr>
      <w:rFonts w:hAnsi="Calibri"/>
    </w:rPr>
  </w:style>
  <w:style w:type="paragraph" w:customStyle="1" w:styleId="2298">
    <w:name w:val="条目"/>
    <w:basedOn w:val="47"/>
    <w:next w:val="36"/>
    <w:qFormat/>
    <w:uiPriority w:val="0"/>
    <w:pPr>
      <w:spacing w:line="240" w:lineRule="auto"/>
      <w:ind w:firstLine="567" w:firstLineChars="0"/>
      <w:outlineLvl w:val="4"/>
    </w:pPr>
    <w:rPr>
      <w:rFonts w:cs="Calibri"/>
      <w:sz w:val="24"/>
      <w:szCs w:val="20"/>
      <w:lang w:val="en-US"/>
    </w:rPr>
  </w:style>
  <w:style w:type="paragraph" w:customStyle="1" w:styleId="2299">
    <w:name w:val="项目段落"/>
    <w:basedOn w:val="1"/>
    <w:qFormat/>
    <w:uiPriority w:val="99"/>
    <w:pPr>
      <w:spacing w:before="60" w:line="360" w:lineRule="auto"/>
      <w:ind w:left="476" w:firstLine="482"/>
    </w:pPr>
    <w:rPr>
      <w:rFonts w:ascii="Arial" w:hAnsi="Arial" w:eastAsia="仿宋_GB2312" w:cs="Calibri"/>
      <w:kern w:val="0"/>
      <w:sz w:val="24"/>
      <w:szCs w:val="20"/>
    </w:rPr>
  </w:style>
  <w:style w:type="paragraph" w:customStyle="1" w:styleId="2300">
    <w:name w:val="样式 样式 列表 + 左侧:  0 厘米 悬挂缩进: 2 字符 + 红色 行距: 单倍行距"/>
    <w:basedOn w:val="838"/>
    <w:semiHidden/>
    <w:qFormat/>
    <w:uiPriority w:val="0"/>
    <w:pPr>
      <w:tabs>
        <w:tab w:val="center" w:pos="4153"/>
        <w:tab w:val="right" w:pos="8306"/>
      </w:tabs>
      <w:adjustRightInd/>
    </w:pPr>
    <w:rPr>
      <w:rFonts w:ascii="Times New Roman"/>
      <w:color w:val="auto"/>
    </w:rPr>
  </w:style>
  <w:style w:type="paragraph" w:customStyle="1" w:styleId="2301">
    <w:name w:val="Char Char Char Char Char Char Char Char Char Char Char Char2 Char"/>
    <w:basedOn w:val="1"/>
    <w:semiHidden/>
    <w:qFormat/>
    <w:uiPriority w:val="0"/>
    <w:rPr>
      <w:rFonts w:ascii="Calibri" w:hAnsi="Calibri" w:cs="Calibri"/>
    </w:rPr>
  </w:style>
  <w:style w:type="paragraph" w:customStyle="1" w:styleId="2302">
    <w:name w:val="Document Label"/>
    <w:basedOn w:val="1"/>
    <w:next w:val="1"/>
    <w:semiHidden/>
    <w:qFormat/>
    <w:uiPriority w:val="0"/>
    <w:pPr>
      <w:widowControl/>
      <w:spacing w:after="220"/>
      <w:ind w:right="-360"/>
      <w:jc w:val="left"/>
    </w:pPr>
    <w:rPr>
      <w:rFonts w:ascii="@黑体" w:hAnsi="@黑体" w:eastAsia="黑体" w:cs="Calibri"/>
      <w:spacing w:val="-20"/>
      <w:kern w:val="0"/>
      <w:sz w:val="48"/>
      <w:szCs w:val="20"/>
    </w:rPr>
  </w:style>
  <w:style w:type="paragraph" w:customStyle="1" w:styleId="2303">
    <w:name w:val="样式 标题 3条标题1.1.1H3BOD 0Heading 3 - oldLevel 3 Headh33rd le...1"/>
    <w:basedOn w:val="5"/>
    <w:semiHidden/>
    <w:qFormat/>
    <w:uiPriority w:val="0"/>
    <w:pPr>
      <w:numPr>
        <w:ilvl w:val="0"/>
        <w:numId w:val="0"/>
      </w:numPr>
      <w:adjustRightInd w:val="0"/>
      <w:spacing w:before="50" w:beforeLines="50" w:after="0" w:line="360" w:lineRule="auto"/>
    </w:pPr>
    <w:rPr>
      <w:rFonts w:cs="宋体"/>
      <w:b w:val="0"/>
      <w:bCs w:val="0"/>
      <w:sz w:val="24"/>
      <w:szCs w:val="20"/>
      <w:lang w:val="en-US"/>
    </w:rPr>
  </w:style>
  <w:style w:type="paragraph" w:customStyle="1" w:styleId="2304">
    <w:name w:val="正文样式一"/>
    <w:basedOn w:val="1"/>
    <w:qFormat/>
    <w:uiPriority w:val="99"/>
    <w:pPr>
      <w:adjustRightInd w:val="0"/>
      <w:spacing w:line="400" w:lineRule="atLeast"/>
      <w:ind w:firstLine="510"/>
      <w:textAlignment w:val="baseline"/>
    </w:pPr>
    <w:rPr>
      <w:rFonts w:ascii="Calibri" w:hAnsi="Calibri" w:cs="Calibri"/>
      <w:kern w:val="0"/>
      <w:sz w:val="24"/>
      <w:szCs w:val="20"/>
    </w:rPr>
  </w:style>
  <w:style w:type="paragraph" w:customStyle="1" w:styleId="2305">
    <w:name w:val="样式 列表 + 左侧:  0 厘米 悬挂缩进: 5.85 字符"/>
    <w:basedOn w:val="67"/>
    <w:qFormat/>
    <w:uiPriority w:val="99"/>
    <w:pPr>
      <w:spacing w:line="240" w:lineRule="auto"/>
      <w:ind w:firstLine="0" w:firstLineChars="0"/>
    </w:pPr>
    <w:rPr>
      <w:rFonts w:ascii="Times New Roman" w:hAnsi="Times New Roman" w:cs="Calibri"/>
      <w:color w:val="FF0000"/>
      <w:sz w:val="21"/>
      <w:szCs w:val="21"/>
      <w:lang w:val="zh-CN"/>
    </w:rPr>
  </w:style>
  <w:style w:type="paragraph" w:customStyle="1" w:styleId="2306">
    <w:name w:val="宏福4"/>
    <w:basedOn w:val="1"/>
    <w:qFormat/>
    <w:uiPriority w:val="0"/>
    <w:pPr>
      <w:adjustRightInd w:val="0"/>
      <w:spacing w:line="400" w:lineRule="atLeast"/>
      <w:ind w:firstLine="567"/>
      <w:jc w:val="left"/>
      <w:textAlignment w:val="baseline"/>
    </w:pPr>
    <w:rPr>
      <w:rFonts w:ascii="Calibri" w:hAnsi="Calibri" w:cs="Calibri"/>
      <w:sz w:val="28"/>
      <w:szCs w:val="28"/>
    </w:rPr>
  </w:style>
  <w:style w:type="paragraph" w:customStyle="1" w:styleId="2307">
    <w:name w:val="11111"/>
    <w:basedOn w:val="1"/>
    <w:semiHidden/>
    <w:qFormat/>
    <w:uiPriority w:val="0"/>
    <w:pPr>
      <w:snapToGrid w:val="0"/>
      <w:jc w:val="center"/>
    </w:pPr>
    <w:rPr>
      <w:rFonts w:ascii="宋体" w:hAnsi="宋体" w:cs="Calibri"/>
      <w:sz w:val="18"/>
      <w:szCs w:val="18"/>
    </w:rPr>
  </w:style>
  <w:style w:type="paragraph" w:customStyle="1" w:styleId="2308">
    <w:name w:val="表样式1"/>
    <w:basedOn w:val="1"/>
    <w:qFormat/>
    <w:uiPriority w:val="0"/>
    <w:pPr>
      <w:spacing w:line="360" w:lineRule="auto"/>
      <w:jc w:val="center"/>
    </w:pPr>
    <w:rPr>
      <w:rFonts w:ascii="宋体" w:hAnsi="宋体" w:cs="Calibri"/>
      <w:color w:val="000000"/>
      <w:szCs w:val="20"/>
    </w:rPr>
  </w:style>
  <w:style w:type="paragraph" w:customStyle="1" w:styleId="2309">
    <w:name w:val="xl130"/>
    <w:basedOn w:val="1"/>
    <w:qFormat/>
    <w:uiPriority w:val="99"/>
    <w:pPr>
      <w:widowControl/>
      <w:pBdr>
        <w:left w:val="single" w:color="auto" w:sz="4" w:space="0"/>
        <w:right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310">
    <w:name w:val="样式 谏壁统稿表格内文字 + 左  0 字符"/>
    <w:basedOn w:val="1"/>
    <w:qFormat/>
    <w:uiPriority w:val="0"/>
    <w:pPr>
      <w:snapToGrid w:val="0"/>
      <w:spacing w:line="0" w:lineRule="atLeast"/>
      <w:jc w:val="center"/>
    </w:pPr>
    <w:rPr>
      <w:rFonts w:ascii="Calibri" w:hAnsi="Calibri" w:cs="宋体"/>
      <w:szCs w:val="21"/>
    </w:rPr>
  </w:style>
  <w:style w:type="paragraph" w:customStyle="1" w:styleId="2311">
    <w:name w:val="Char Char Char Char5"/>
    <w:basedOn w:val="1"/>
    <w:qFormat/>
    <w:uiPriority w:val="99"/>
    <w:rPr>
      <w:rFonts w:ascii="Calibri" w:hAnsi="Calibri" w:cs="Calibri"/>
    </w:rPr>
  </w:style>
  <w:style w:type="paragraph" w:customStyle="1" w:styleId="2312">
    <w:name w:val="样式 宋体 首行缩进:  2 字符 行距: 1.5 倍行距"/>
    <w:basedOn w:val="1"/>
    <w:qFormat/>
    <w:uiPriority w:val="0"/>
    <w:pPr>
      <w:spacing w:line="360" w:lineRule="auto"/>
      <w:ind w:firstLine="480" w:firstLineChars="200"/>
    </w:pPr>
    <w:rPr>
      <w:rFonts w:ascii="Calibri" w:hAnsi="Calibri" w:cs="Calibri"/>
      <w:sz w:val="24"/>
    </w:rPr>
  </w:style>
  <w:style w:type="paragraph" w:customStyle="1" w:styleId="2313">
    <w:name w:val="Char Char Char Char Char Char Char Char1 Char Char Char Char Char Char Char Char Char Char Char Char"/>
    <w:basedOn w:val="1"/>
    <w:qFormat/>
    <w:uiPriority w:val="99"/>
    <w:rPr>
      <w:rFonts w:ascii="Calibri" w:hAnsi="Calibri" w:cs="Calibri"/>
      <w:sz w:val="24"/>
    </w:rPr>
  </w:style>
  <w:style w:type="paragraph" w:customStyle="1" w:styleId="2314">
    <w:name w:val="xl244"/>
    <w:basedOn w:val="1"/>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2315">
    <w:name w:val="Char Char Char Char13"/>
    <w:basedOn w:val="1"/>
    <w:semiHidden/>
    <w:qFormat/>
    <w:uiPriority w:val="0"/>
    <w:rPr>
      <w:rFonts w:ascii="Calibri" w:hAnsi="Calibri" w:cs="Calibri"/>
      <w:sz w:val="28"/>
    </w:rPr>
  </w:style>
  <w:style w:type="paragraph" w:customStyle="1" w:styleId="2316">
    <w:name w:val="xl310"/>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317">
    <w:name w:val="样式 两端对齐"/>
    <w:basedOn w:val="1"/>
    <w:semiHidden/>
    <w:qFormat/>
    <w:uiPriority w:val="0"/>
    <w:pPr>
      <w:adjustRightInd w:val="0"/>
      <w:spacing w:line="360" w:lineRule="auto"/>
      <w:ind w:firstLine="576" w:firstLineChars="200"/>
    </w:pPr>
    <w:rPr>
      <w:rFonts w:ascii="Calibri" w:hAnsi="Calibri" w:eastAsia="仿宋_GB2312" w:cs="宋体"/>
      <w:spacing w:val="4"/>
      <w:kern w:val="18"/>
      <w:sz w:val="28"/>
      <w:szCs w:val="20"/>
    </w:rPr>
  </w:style>
  <w:style w:type="paragraph" w:customStyle="1" w:styleId="2318">
    <w:name w:val="222222222222"/>
    <w:basedOn w:val="4"/>
    <w:semiHidden/>
    <w:qFormat/>
    <w:uiPriority w:val="0"/>
    <w:pPr>
      <w:numPr>
        <w:ilvl w:val="0"/>
        <w:numId w:val="0"/>
      </w:numPr>
      <w:adjustRightInd w:val="0"/>
      <w:snapToGrid w:val="0"/>
      <w:spacing w:before="312" w:beforeLines="100" w:after="156" w:afterLines="50" w:line="500" w:lineRule="exact"/>
    </w:pPr>
    <w:rPr>
      <w:rFonts w:ascii="Times New Roman" w:hAnsi="Times New Roman" w:eastAsia="宋体"/>
      <w:b w:val="0"/>
      <w:szCs w:val="28"/>
      <w:lang w:val="en-US"/>
    </w:rPr>
  </w:style>
  <w:style w:type="paragraph" w:customStyle="1" w:styleId="2319">
    <w:name w:val="样式 样式 标题4 + (中文) 宋体 + (中文) 宋体 首行缩进:  1.06 厘米"/>
    <w:basedOn w:val="1"/>
    <w:semiHidden/>
    <w:qFormat/>
    <w:uiPriority w:val="0"/>
    <w:pPr>
      <w:keepNext/>
      <w:keepLines/>
      <w:spacing w:line="480" w:lineRule="exact"/>
      <w:outlineLvl w:val="3"/>
    </w:pPr>
    <w:rPr>
      <w:rFonts w:ascii="Calibri" w:hAnsi="Calibri" w:cs="宋体"/>
      <w:b/>
      <w:bCs/>
      <w:sz w:val="30"/>
      <w:szCs w:val="20"/>
    </w:rPr>
  </w:style>
  <w:style w:type="paragraph" w:customStyle="1" w:styleId="2320">
    <w:name w:val="heading"/>
    <w:basedOn w:val="1"/>
    <w:next w:val="1"/>
    <w:qFormat/>
    <w:uiPriority w:val="99"/>
    <w:pPr>
      <w:keepNext/>
      <w:keepLines/>
      <w:tabs>
        <w:tab w:val="left" w:pos="576"/>
      </w:tabs>
      <w:spacing w:line="360" w:lineRule="auto"/>
      <w:ind w:left="576"/>
      <w:outlineLvl w:val="1"/>
    </w:pPr>
    <w:rPr>
      <w:rFonts w:ascii="宋体" w:hAnsi="Arial Black" w:cs="宋体"/>
      <w:sz w:val="24"/>
    </w:rPr>
  </w:style>
  <w:style w:type="paragraph" w:customStyle="1" w:styleId="2321">
    <w:name w:val="charcharcharrgb00160charchar1"/>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322">
    <w:name w:val="表号 Char"/>
    <w:basedOn w:val="1"/>
    <w:semiHidden/>
    <w:qFormat/>
    <w:uiPriority w:val="0"/>
    <w:pPr>
      <w:snapToGrid w:val="0"/>
      <w:ind w:firstLine="480"/>
    </w:pPr>
    <w:rPr>
      <w:rFonts w:ascii="Calibri" w:hAnsi="Calibri" w:cs="Calibri"/>
      <w:kern w:val="32"/>
      <w:sz w:val="24"/>
      <w:szCs w:val="20"/>
    </w:rPr>
  </w:style>
  <w:style w:type="paragraph" w:customStyle="1" w:styleId="2323">
    <w:name w:val="样式 目录 2 + 首行缩进:  2 字符3"/>
    <w:basedOn w:val="75"/>
    <w:semiHidden/>
    <w:qFormat/>
    <w:uiPriority w:val="0"/>
    <w:pPr>
      <w:widowControl w:val="0"/>
      <w:tabs>
        <w:tab w:val="left" w:pos="1200"/>
        <w:tab w:val="right" w:leader="dot" w:pos="8511"/>
        <w:tab w:val="clear" w:pos="8800"/>
      </w:tabs>
      <w:adjustRightInd w:val="0"/>
      <w:snapToGrid w:val="0"/>
      <w:ind w:left="210" w:leftChars="0" w:right="0"/>
    </w:pPr>
    <w:rPr>
      <w:rFonts w:ascii="Calibri" w:hAnsi="Calibri"/>
      <w:b w:val="0"/>
      <w:bCs w:val="0"/>
      <w:kern w:val="2"/>
      <w:szCs w:val="20"/>
    </w:rPr>
  </w:style>
  <w:style w:type="paragraph" w:customStyle="1" w:styleId="2324">
    <w:name w:val="Char Char Char1 Char Char Char Char Char Char Char Char Char Char Char Char Char Char Char1 Char Char Char Char Char Char Char Char Char Char Char Char Char Char Char Char Char Char Char Char Char Char Char Char Char Char Char Char Char Char1"/>
    <w:basedOn w:val="1"/>
    <w:qFormat/>
    <w:uiPriority w:val="99"/>
    <w:pPr>
      <w:spacing w:line="240" w:lineRule="exact"/>
      <w:ind w:firstLine="200" w:firstLineChars="200"/>
    </w:pPr>
    <w:rPr>
      <w:rFonts w:ascii="Calibri" w:hAnsi="Calibri" w:cs="Calibri"/>
      <w:sz w:val="28"/>
      <w:szCs w:val="28"/>
    </w:rPr>
  </w:style>
  <w:style w:type="paragraph" w:customStyle="1" w:styleId="2325">
    <w:name w:val="Char Char Char Char Char Char Char Char Char Char Char1 Char Char Char Char Char Char1 Char Char Char Char Char Char Char Char Char Char Char Char1"/>
    <w:basedOn w:val="1"/>
    <w:qFormat/>
    <w:uiPriority w:val="99"/>
    <w:rPr>
      <w:rFonts w:ascii="Calibri" w:hAnsi="Calibri" w:cs="Calibri"/>
      <w:sz w:val="24"/>
    </w:rPr>
  </w:style>
  <w:style w:type="paragraph" w:customStyle="1" w:styleId="2326">
    <w:name w:val="xl286"/>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b/>
      <w:bCs/>
      <w:color w:val="CC99FF"/>
      <w:kern w:val="0"/>
      <w:sz w:val="18"/>
      <w:szCs w:val="18"/>
    </w:rPr>
  </w:style>
  <w:style w:type="paragraph" w:customStyle="1" w:styleId="2327">
    <w:name w:val="xl163"/>
    <w:basedOn w:val="1"/>
    <w:qFormat/>
    <w:uiPriority w:val="99"/>
    <w:pPr>
      <w:widowControl/>
      <w:pBdr>
        <w:left w:val="single" w:color="auto" w:sz="12" w:space="0"/>
      </w:pBdr>
      <w:spacing w:before="100" w:beforeAutospacing="1" w:after="100" w:afterAutospacing="1"/>
      <w:jc w:val="center"/>
      <w:textAlignment w:val="center"/>
    </w:pPr>
    <w:rPr>
      <w:rFonts w:ascii="Arial Unicode MS" w:hAnsi="Arial Unicode MS" w:cs="Calibri"/>
      <w:kern w:val="0"/>
    </w:rPr>
  </w:style>
  <w:style w:type="paragraph" w:customStyle="1" w:styleId="2328">
    <w:name w:val="xl250"/>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329">
    <w:name w:val="Char Char Char1 Char"/>
    <w:basedOn w:val="1"/>
    <w:qFormat/>
    <w:uiPriority w:val="0"/>
    <w:rPr>
      <w:rFonts w:ascii="Calibri" w:hAnsi="Calibri" w:cs="Calibri"/>
    </w:rPr>
  </w:style>
  <w:style w:type="paragraph" w:customStyle="1" w:styleId="2330">
    <w:name w:val="Char Char Char1"/>
    <w:basedOn w:val="1"/>
    <w:qFormat/>
    <w:uiPriority w:val="0"/>
    <w:rPr>
      <w:rFonts w:ascii="Calibri" w:hAnsi="Calibri" w:cs="Calibri"/>
      <w:sz w:val="24"/>
    </w:rPr>
  </w:style>
  <w:style w:type="paragraph" w:customStyle="1" w:styleId="2331">
    <w:name w:val="ISO标题3内文"/>
    <w:semiHidden/>
    <w:qFormat/>
    <w:uiPriority w:val="0"/>
    <w:pPr>
      <w:ind w:left="1620"/>
    </w:pPr>
    <w:rPr>
      <w:rFonts w:ascii="宋体" w:hAnsi="宋体" w:eastAsia="宋体" w:cs="Calibri"/>
      <w:color w:val="000000"/>
      <w:sz w:val="24"/>
      <w:lang w:val="en-US" w:eastAsia="zh-CN" w:bidi="ar-SA"/>
    </w:rPr>
  </w:style>
  <w:style w:type="paragraph" w:customStyle="1" w:styleId="2332">
    <w:name w:val="公式2"/>
    <w:basedOn w:val="899"/>
    <w:semiHidden/>
    <w:qFormat/>
    <w:uiPriority w:val="0"/>
    <w:pPr>
      <w:widowControl w:val="0"/>
      <w:adjustRightInd w:val="0"/>
      <w:snapToGrid w:val="0"/>
      <w:spacing w:before="0" w:line="480" w:lineRule="exact"/>
      <w:ind w:firstLine="750" w:firstLineChars="750"/>
      <w:jc w:val="left"/>
    </w:pPr>
    <w:rPr>
      <w:rFonts w:hAnsi="Calibri" w:cs="宋体"/>
      <w:i/>
      <w:iCs/>
      <w:sz w:val="28"/>
    </w:rPr>
  </w:style>
  <w:style w:type="paragraph" w:customStyle="1" w:styleId="2333">
    <w:name w:val="Char 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2334">
    <w:name w:val="菲薄1"/>
    <w:basedOn w:val="1"/>
    <w:semiHidden/>
    <w:qFormat/>
    <w:uiPriority w:val="0"/>
    <w:pPr>
      <w:spacing w:line="720" w:lineRule="exact"/>
      <w:ind w:firstLine="570"/>
    </w:pPr>
    <w:rPr>
      <w:rFonts w:ascii="Calibri" w:hAnsi="Calibri" w:cs="Calibri"/>
      <w:sz w:val="28"/>
      <w:szCs w:val="28"/>
    </w:rPr>
  </w:style>
  <w:style w:type="paragraph" w:customStyle="1" w:styleId="2335">
    <w:name w:val="标题 3  标题1.1.1"/>
    <w:basedOn w:val="1"/>
    <w:qFormat/>
    <w:uiPriority w:val="0"/>
    <w:pPr>
      <w:keepNext/>
      <w:keepLines/>
      <w:adjustRightInd w:val="0"/>
      <w:snapToGrid w:val="0"/>
      <w:spacing w:before="156" w:beforeLines="50" w:after="156" w:afterLines="50"/>
      <w:ind w:right="-176" w:rightChars="-84"/>
      <w:textAlignment w:val="baseline"/>
      <w:outlineLvl w:val="2"/>
    </w:pPr>
    <w:rPr>
      <w:rFonts w:ascii="黑体" w:hAnsi="宋体" w:eastAsia="黑体" w:cs="宋体"/>
      <w:color w:val="000000"/>
      <w:kern w:val="0"/>
      <w:sz w:val="24"/>
    </w:rPr>
  </w:style>
  <w:style w:type="paragraph" w:customStyle="1" w:styleId="2336">
    <w:name w:val="Char Char Char Char Char Char Char Char Char Char Char1 Char Char Char Char Char Char Char Char Char Char Char Char Char Char Char Char"/>
    <w:basedOn w:val="1"/>
    <w:qFormat/>
    <w:uiPriority w:val="99"/>
    <w:rPr>
      <w:rFonts w:ascii="Calibri" w:hAnsi="Calibri" w:cs="Calibri"/>
      <w:sz w:val="24"/>
    </w:rPr>
  </w:style>
  <w:style w:type="paragraph" w:customStyle="1" w:styleId="2337">
    <w:name w:val="Char Char 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2338">
    <w:name w:val="Char2 Char Char"/>
    <w:basedOn w:val="1"/>
    <w:qFormat/>
    <w:uiPriority w:val="99"/>
    <w:rPr>
      <w:rFonts w:ascii="Calibri" w:hAnsi="Calibri" w:cs="Calibri"/>
      <w:szCs w:val="21"/>
    </w:rPr>
  </w:style>
  <w:style w:type="paragraph" w:customStyle="1" w:styleId="2339">
    <w:name w:val="zw"/>
    <w:basedOn w:val="1"/>
    <w:qFormat/>
    <w:uiPriority w:val="0"/>
    <w:pPr>
      <w:widowControl/>
      <w:spacing w:before="100" w:beforeAutospacing="1" w:after="100" w:afterAutospacing="1" w:line="330" w:lineRule="atLeast"/>
      <w:jc w:val="left"/>
    </w:pPr>
    <w:rPr>
      <w:rFonts w:ascii="Arial" w:hAnsi="Arial" w:eastAsia="Arial Unicode MS" w:cs="Arial"/>
      <w:color w:val="333333"/>
      <w:kern w:val="0"/>
      <w:sz w:val="18"/>
      <w:szCs w:val="18"/>
    </w:rPr>
  </w:style>
  <w:style w:type="paragraph" w:customStyle="1" w:styleId="2340">
    <w:name w:val="Char4 Char Char Char Char Char Char Char Char Char Char Char Char Char Char Char Char Char1 Char Char Char Char Char Char1 Char Char Char Char Char Char Char Char Char Char Char Char Char"/>
    <w:basedOn w:val="1"/>
    <w:semiHidden/>
    <w:qFormat/>
    <w:uiPriority w:val="0"/>
    <w:pPr>
      <w:spacing w:line="240" w:lineRule="exact"/>
      <w:ind w:firstLine="200" w:firstLineChars="200"/>
    </w:pPr>
    <w:rPr>
      <w:rFonts w:ascii="Calibri" w:hAnsi="Calibri" w:cs="Calibri"/>
      <w:sz w:val="28"/>
      <w:szCs w:val="28"/>
    </w:rPr>
  </w:style>
  <w:style w:type="paragraph" w:customStyle="1" w:styleId="2341">
    <w:name w:val="条3"/>
    <w:basedOn w:val="1"/>
    <w:next w:val="1"/>
    <w:qFormat/>
    <w:uiPriority w:val="99"/>
    <w:pPr>
      <w:tabs>
        <w:tab w:val="left" w:pos="1440"/>
      </w:tabs>
      <w:outlineLvl w:val="1"/>
    </w:pPr>
    <w:rPr>
      <w:rFonts w:hint="eastAsia" w:ascii="黑体" w:hAnsi="Calibri" w:eastAsia="黑体" w:cs="Calibri"/>
      <w:kern w:val="21"/>
      <w:szCs w:val="20"/>
    </w:rPr>
  </w:style>
  <w:style w:type="paragraph" w:customStyle="1" w:styleId="2342">
    <w:name w:val="报告1"/>
    <w:semiHidden/>
    <w:qFormat/>
    <w:uiPriority w:val="0"/>
    <w:pPr>
      <w:spacing w:line="360" w:lineRule="auto"/>
      <w:ind w:firstLine="505"/>
      <w:textAlignment w:val="baseline"/>
    </w:pPr>
    <w:rPr>
      <w:rFonts w:ascii="Times New Roman" w:hAnsi="Times New Roman" w:eastAsia="宋体" w:cs="Calibri"/>
      <w:kern w:val="24"/>
      <w:lang w:val="en-US" w:eastAsia="zh-CN" w:bidi="ar-SA"/>
    </w:rPr>
  </w:style>
  <w:style w:type="paragraph" w:customStyle="1" w:styleId="2343">
    <w:name w:val="Char Char Char Char Char Char Char Char2"/>
    <w:basedOn w:val="1"/>
    <w:semiHidden/>
    <w:qFormat/>
    <w:uiPriority w:val="0"/>
    <w:rPr>
      <w:rFonts w:ascii="Calibri" w:hAnsi="Calibri" w:cs="Calibri"/>
      <w:sz w:val="24"/>
    </w:rPr>
  </w:style>
  <w:style w:type="paragraph" w:customStyle="1" w:styleId="2344">
    <w:name w:val="Char Char Char Char Char Char Char Char1 Char Char Char Char Char Char Char Char Char Char"/>
    <w:basedOn w:val="1"/>
    <w:qFormat/>
    <w:uiPriority w:val="99"/>
    <w:rPr>
      <w:rFonts w:ascii="Calibri" w:hAnsi="Calibri" w:cs="Calibri"/>
      <w:sz w:val="24"/>
    </w:rPr>
  </w:style>
  <w:style w:type="paragraph" w:customStyle="1" w:styleId="2345">
    <w:name w:val="Char Char Char Char Char Char Char Char 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2346">
    <w:name w:val="xl154"/>
    <w:basedOn w:val="1"/>
    <w:qFormat/>
    <w:uiPriority w:val="99"/>
    <w:pPr>
      <w:widowControl/>
      <w:pBdr>
        <w:left w:val="single" w:color="auto" w:sz="12" w:space="0"/>
        <w:bottom w:val="single" w:color="auto" w:sz="8" w:space="0"/>
      </w:pBdr>
      <w:spacing w:before="100" w:beforeAutospacing="1" w:after="100" w:afterAutospacing="1"/>
      <w:jc w:val="center"/>
    </w:pPr>
    <w:rPr>
      <w:rFonts w:ascii="Arial Unicode MS" w:hAnsi="Arial Unicode MS" w:cs="Calibri"/>
      <w:kern w:val="0"/>
      <w:sz w:val="12"/>
      <w:szCs w:val="12"/>
    </w:rPr>
  </w:style>
  <w:style w:type="paragraph" w:customStyle="1" w:styleId="2347">
    <w:name w:val="Char1 Char Char Char4"/>
    <w:basedOn w:val="1"/>
    <w:qFormat/>
    <w:uiPriority w:val="99"/>
    <w:rPr>
      <w:rFonts w:ascii="Tahoma" w:hAnsi="Tahoma" w:cs="Calibri"/>
      <w:sz w:val="24"/>
      <w:szCs w:val="20"/>
    </w:rPr>
  </w:style>
  <w:style w:type="paragraph" w:customStyle="1" w:styleId="2348">
    <w:name w:val="Char Char Char5"/>
    <w:basedOn w:val="1"/>
    <w:qFormat/>
    <w:uiPriority w:val="99"/>
    <w:rPr>
      <w:rFonts w:ascii="Calibri" w:hAnsi="Calibri" w:cs="Calibri"/>
      <w:sz w:val="24"/>
    </w:rPr>
  </w:style>
  <w:style w:type="paragraph" w:customStyle="1" w:styleId="2349">
    <w:name w:val="test1"/>
    <w:basedOn w:val="1"/>
    <w:qFormat/>
    <w:uiPriority w:val="99"/>
    <w:pPr>
      <w:widowControl/>
      <w:spacing w:before="240" w:after="100" w:afterAutospacing="1" w:line="480" w:lineRule="atLeast"/>
      <w:ind w:left="480" w:right="480"/>
      <w:jc w:val="left"/>
    </w:pPr>
    <w:rPr>
      <w:rFonts w:ascii="ˎ̥" w:hAnsi="ˎ̥" w:cs="宋体"/>
      <w:color w:val="000000"/>
      <w:kern w:val="0"/>
      <w:sz w:val="20"/>
      <w:szCs w:val="20"/>
    </w:rPr>
  </w:style>
  <w:style w:type="paragraph" w:customStyle="1" w:styleId="2350">
    <w:name w:val="xl103"/>
    <w:basedOn w:val="1"/>
    <w:qFormat/>
    <w:uiPriority w:val="0"/>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cs="Calibri"/>
      <w:kern w:val="0"/>
      <w:sz w:val="12"/>
      <w:szCs w:val="12"/>
    </w:rPr>
  </w:style>
  <w:style w:type="paragraph" w:customStyle="1" w:styleId="2351">
    <w:name w:val="Char Char Char Char Char Char Char Char Char Char Char Char 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2352">
    <w:name w:val="Char Char Char Char Char Char Char Char Char Char Char Char Char Char Char Char Char Char Char Char Char Char2"/>
    <w:basedOn w:val="1"/>
    <w:qFormat/>
    <w:uiPriority w:val="99"/>
    <w:rPr>
      <w:rFonts w:ascii="Calibri" w:hAnsi="Calibri" w:cs="Calibri"/>
      <w:sz w:val="24"/>
    </w:rPr>
  </w:style>
  <w:style w:type="paragraph" w:customStyle="1" w:styleId="2353">
    <w:name w:val="Plain Text3"/>
    <w:basedOn w:val="1"/>
    <w:qFormat/>
    <w:uiPriority w:val="0"/>
    <w:pPr>
      <w:adjustRightInd w:val="0"/>
      <w:textAlignment w:val="baseline"/>
    </w:pPr>
    <w:rPr>
      <w:rFonts w:ascii="宋体" w:hAnsi="Courier New" w:cs="Calibri"/>
      <w:szCs w:val="20"/>
    </w:rPr>
  </w:style>
  <w:style w:type="paragraph" w:customStyle="1" w:styleId="2354">
    <w:name w:val="小表格"/>
    <w:basedOn w:val="1"/>
    <w:qFormat/>
    <w:uiPriority w:val="99"/>
    <w:pPr>
      <w:autoSpaceDE w:val="0"/>
      <w:autoSpaceDN w:val="0"/>
      <w:adjustRightInd w:val="0"/>
      <w:snapToGrid w:val="0"/>
      <w:jc w:val="center"/>
    </w:pPr>
    <w:rPr>
      <w:rFonts w:ascii="仿宋_GB2312" w:hAnsi="Calibri" w:cs="Calibri"/>
      <w:kern w:val="0"/>
      <w:szCs w:val="20"/>
    </w:rPr>
  </w:style>
  <w:style w:type="paragraph" w:customStyle="1" w:styleId="2355">
    <w:name w:val="样式 首行缩进:  2 字符2"/>
    <w:basedOn w:val="1"/>
    <w:semiHidden/>
    <w:qFormat/>
    <w:uiPriority w:val="0"/>
    <w:pPr>
      <w:ind w:firstLine="200" w:firstLineChars="200"/>
    </w:pPr>
    <w:rPr>
      <w:rFonts w:ascii="Calibri" w:hAnsi="Calibri" w:cs="宋体"/>
      <w:sz w:val="24"/>
      <w:szCs w:val="20"/>
    </w:rPr>
  </w:style>
  <w:style w:type="paragraph" w:customStyle="1" w:styleId="2356">
    <w:name w:val="样式 目录 2 + 首行缩进:  2 字符"/>
    <w:basedOn w:val="75"/>
    <w:semiHidden/>
    <w:qFormat/>
    <w:uiPriority w:val="0"/>
    <w:pPr>
      <w:widowControl w:val="0"/>
      <w:tabs>
        <w:tab w:val="left" w:pos="1200"/>
        <w:tab w:val="right" w:leader="dot" w:pos="8511"/>
        <w:tab w:val="clear" w:pos="8800"/>
      </w:tabs>
      <w:spacing w:line="360" w:lineRule="exact"/>
      <w:ind w:left="210" w:leftChars="0" w:right="0"/>
    </w:pPr>
    <w:rPr>
      <w:rFonts w:ascii="Calibri" w:hAnsi="Calibri"/>
      <w:b w:val="0"/>
      <w:bCs w:val="0"/>
      <w:smallCaps/>
      <w:kern w:val="2"/>
      <w:sz w:val="20"/>
      <w:szCs w:val="20"/>
    </w:rPr>
  </w:style>
  <w:style w:type="paragraph" w:customStyle="1" w:styleId="2357">
    <w:name w:val="Char Char Char14"/>
    <w:basedOn w:val="1"/>
    <w:semiHidden/>
    <w:qFormat/>
    <w:uiPriority w:val="0"/>
    <w:rPr>
      <w:rFonts w:ascii="Calibri" w:hAnsi="Calibri" w:cs="Calibri"/>
      <w:sz w:val="24"/>
    </w:rPr>
  </w:style>
  <w:style w:type="paragraph" w:customStyle="1" w:styleId="2358">
    <w:name w:val="Char4 Char Char Char1"/>
    <w:basedOn w:val="1"/>
    <w:qFormat/>
    <w:uiPriority w:val="99"/>
    <w:rPr>
      <w:rFonts w:ascii="Calibri" w:hAnsi="Calibri" w:eastAsia="仿宋_GB2312" w:cs="Calibri"/>
      <w:sz w:val="28"/>
    </w:rPr>
  </w:style>
  <w:style w:type="paragraph" w:customStyle="1" w:styleId="2359">
    <w:name w:val="Char Char Char Char Char Char Char Char Char Char Char Char Char Char Char Char Char Char Char 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2360">
    <w:name w:val="新标题3"/>
    <w:basedOn w:val="1"/>
    <w:semiHidden/>
    <w:qFormat/>
    <w:uiPriority w:val="0"/>
    <w:pPr>
      <w:keepNext/>
      <w:autoSpaceDE w:val="0"/>
      <w:autoSpaceDN w:val="0"/>
      <w:adjustRightInd w:val="0"/>
      <w:spacing w:before="120" w:after="120" w:line="460" w:lineRule="exact"/>
      <w:outlineLvl w:val="2"/>
    </w:pPr>
    <w:rPr>
      <w:rFonts w:ascii="黑体" w:hAnsi="Calibri" w:eastAsia="黑体" w:cs="宋体"/>
      <w:b/>
      <w:bCs/>
      <w:color w:val="000000"/>
      <w:sz w:val="24"/>
      <w:lang w:val="zh-CN"/>
    </w:rPr>
  </w:style>
  <w:style w:type="paragraph" w:customStyle="1" w:styleId="2361">
    <w:name w:val="样式 标题 2节节标题 1.1H2（一）Underrubrik1prop2Heading 2 HiddenHea...1"/>
    <w:basedOn w:val="4"/>
    <w:semiHidden/>
    <w:qFormat/>
    <w:uiPriority w:val="0"/>
    <w:pPr>
      <w:numPr>
        <w:ilvl w:val="0"/>
        <w:numId w:val="0"/>
      </w:numPr>
      <w:tabs>
        <w:tab w:val="left" w:pos="576"/>
      </w:tabs>
      <w:adjustRightInd w:val="0"/>
      <w:spacing w:before="260" w:beforeLines="50" w:after="260" w:afterLines="50"/>
      <w:ind w:left="576" w:hanging="576"/>
    </w:pPr>
    <w:rPr>
      <w:rFonts w:ascii="Times New Roman" w:hAnsi="Times New Roman" w:eastAsia="宋体"/>
      <w:b w:val="0"/>
      <w:color w:val="000000"/>
      <w:sz w:val="24"/>
      <w:szCs w:val="28"/>
      <w:lang w:val="en-US"/>
    </w:rPr>
  </w:style>
  <w:style w:type="paragraph" w:customStyle="1" w:styleId="2362">
    <w:name w:val="Char Char Char Char Char Char Char Char Char Char Char Char"/>
    <w:basedOn w:val="1"/>
    <w:qFormat/>
    <w:uiPriority w:val="99"/>
    <w:rPr>
      <w:rFonts w:ascii="Calibri" w:hAnsi="Calibri" w:cs="Calibri"/>
      <w:sz w:val="24"/>
    </w:rPr>
  </w:style>
  <w:style w:type="paragraph" w:customStyle="1" w:styleId="2363">
    <w:name w:val="Char Char Char Char Char Char Char Char1 Char Char Char Char Char Char Char Char Char Char Char Char1 Char2"/>
    <w:basedOn w:val="1"/>
    <w:qFormat/>
    <w:uiPriority w:val="99"/>
    <w:pPr>
      <w:widowControl/>
      <w:jc w:val="left"/>
    </w:pPr>
    <w:rPr>
      <w:rFonts w:ascii="Calibri" w:hAnsi="Calibri" w:cs="Calibri"/>
      <w:kern w:val="0"/>
      <w:sz w:val="24"/>
      <w:szCs w:val="22"/>
    </w:rPr>
  </w:style>
  <w:style w:type="paragraph" w:customStyle="1" w:styleId="2364">
    <w:name w:val="Char6 Char Char Char1 Char Char"/>
    <w:basedOn w:val="1"/>
    <w:semiHidden/>
    <w:qFormat/>
    <w:uiPriority w:val="0"/>
    <w:rPr>
      <w:rFonts w:ascii="Calibri" w:hAnsi="Calibri" w:cs="Calibri"/>
      <w:szCs w:val="21"/>
    </w:rPr>
  </w:style>
  <w:style w:type="paragraph" w:customStyle="1" w:styleId="2365">
    <w:name w:val="样式 样式 Times New Roman 四号 加粗 行距: 1.5 倍行距 + 加粗"/>
    <w:semiHidden/>
    <w:qFormat/>
    <w:uiPriority w:val="0"/>
    <w:pPr>
      <w:outlineLvl w:val="3"/>
    </w:pPr>
    <w:rPr>
      <w:rFonts w:ascii="Times New Roman" w:hAnsi="Times New Roman" w:eastAsia="宋体" w:cs="Calibri"/>
      <w:lang w:val="en-US" w:eastAsia="zh-CN" w:bidi="ar-SA"/>
    </w:rPr>
  </w:style>
  <w:style w:type="paragraph" w:customStyle="1" w:styleId="2366">
    <w:name w:val="样式 Times New Roman 四号 加粗 行距: 1.5 倍行距"/>
    <w:basedOn w:val="2303"/>
    <w:semiHidden/>
    <w:qFormat/>
    <w:uiPriority w:val="0"/>
    <w:rPr>
      <w:bCs/>
    </w:rPr>
  </w:style>
  <w:style w:type="paragraph" w:customStyle="1" w:styleId="2367">
    <w:name w:val="表样式1.1"/>
    <w:basedOn w:val="1"/>
    <w:qFormat/>
    <w:uiPriority w:val="0"/>
    <w:pPr>
      <w:autoSpaceDE w:val="0"/>
      <w:autoSpaceDN w:val="0"/>
      <w:adjustRightInd w:val="0"/>
      <w:snapToGrid w:val="0"/>
      <w:spacing w:line="374" w:lineRule="exact"/>
      <w:jc w:val="center"/>
    </w:pPr>
    <w:rPr>
      <w:rFonts w:ascii="宋体" w:hAnsi="宋体" w:cs="Calibri"/>
      <w:color w:val="000000"/>
      <w:kern w:val="0"/>
      <w:szCs w:val="20"/>
    </w:rPr>
  </w:style>
  <w:style w:type="paragraph" w:customStyle="1" w:styleId="2368">
    <w:name w:val="页号"/>
    <w:basedOn w:val="57"/>
    <w:qFormat/>
    <w:uiPriority w:val="99"/>
    <w:pPr>
      <w:tabs>
        <w:tab w:val="center" w:pos="4320"/>
        <w:tab w:val="right" w:pos="8640"/>
        <w:tab w:val="clear" w:pos="4153"/>
        <w:tab w:val="clear" w:pos="8306"/>
      </w:tabs>
      <w:adjustRightInd w:val="0"/>
      <w:snapToGrid/>
      <w:jc w:val="center"/>
      <w:textAlignment w:val="baseline"/>
    </w:pPr>
    <w:rPr>
      <w:rFonts w:ascii="@黑体" w:hAnsi="Tahoma" w:eastAsia="黑体" w:cs="Calibri"/>
      <w:spacing w:val="3"/>
      <w:kern w:val="24"/>
      <w:sz w:val="24"/>
      <w:lang w:val="en-US"/>
    </w:rPr>
  </w:style>
  <w:style w:type="paragraph" w:customStyle="1" w:styleId="2369">
    <w:name w:val="my1"/>
    <w:basedOn w:val="60"/>
    <w:qFormat/>
    <w:uiPriority w:val="0"/>
    <w:pPr>
      <w:widowControl w:val="0"/>
      <w:tabs>
        <w:tab w:val="left" w:pos="360"/>
        <w:tab w:val="right" w:leader="dot" w:pos="9061"/>
        <w:tab w:val="clear" w:pos="8778"/>
      </w:tabs>
      <w:spacing w:before="120" w:line="300" w:lineRule="auto"/>
    </w:pPr>
    <w:rPr>
      <w:rFonts w:ascii="仿宋_GB2312" w:hAnsi="华文细黑" w:eastAsia="仿宋_GB2312" w:cs="Calibri"/>
      <w:bCs/>
      <w:kern w:val="2"/>
      <w:sz w:val="20"/>
      <w:szCs w:val="28"/>
    </w:rPr>
  </w:style>
  <w:style w:type="paragraph" w:customStyle="1" w:styleId="2370">
    <w:name w:val="样式 标题 4 + 行距: 多倍行距 1.3 字行"/>
    <w:basedOn w:val="6"/>
    <w:qFormat/>
    <w:uiPriority w:val="0"/>
    <w:pPr>
      <w:numPr>
        <w:ilvl w:val="0"/>
        <w:numId w:val="0"/>
      </w:numPr>
      <w:tabs>
        <w:tab w:val="left" w:pos="2160"/>
      </w:tabs>
      <w:adjustRightInd w:val="0"/>
      <w:snapToGrid w:val="0"/>
      <w:spacing w:before="20" w:beforeLines="20" w:after="20" w:afterLines="20" w:line="300" w:lineRule="auto"/>
      <w:ind w:left="2160" w:hanging="420"/>
    </w:pPr>
    <w:rPr>
      <w:rFonts w:ascii="仿宋_GB2312" w:eastAsia="仿宋_GB2312" w:cs="宋体"/>
      <w:bCs/>
      <w:szCs w:val="28"/>
      <w:lang w:val="en-US"/>
    </w:rPr>
  </w:style>
  <w:style w:type="paragraph" w:customStyle="1" w:styleId="2371">
    <w:name w:val="album-div1"/>
    <w:basedOn w:val="1"/>
    <w:qFormat/>
    <w:uiPriority w:val="99"/>
    <w:pPr>
      <w:widowControl/>
      <w:shd w:val="clear" w:color="auto" w:fill="FFFFFF"/>
      <w:spacing w:before="100" w:beforeAutospacing="1" w:after="100" w:afterAutospacing="1"/>
      <w:jc w:val="left"/>
    </w:pPr>
    <w:rPr>
      <w:rFonts w:ascii="宋体" w:hAnsi="宋体" w:cs="宋体"/>
      <w:kern w:val="0"/>
      <w:sz w:val="24"/>
    </w:rPr>
  </w:style>
  <w:style w:type="paragraph" w:customStyle="1" w:styleId="2372">
    <w:name w:val="BG1"/>
    <w:basedOn w:val="1"/>
    <w:qFormat/>
    <w:uiPriority w:val="99"/>
    <w:pPr>
      <w:autoSpaceDE w:val="0"/>
      <w:autoSpaceDN w:val="0"/>
      <w:jc w:val="center"/>
    </w:pPr>
    <w:rPr>
      <w:rFonts w:ascii="Calibri" w:hAnsi="Calibri" w:cs="Calibri"/>
      <w:color w:val="000000"/>
      <w:kern w:val="0"/>
    </w:rPr>
  </w:style>
  <w:style w:type="paragraph" w:customStyle="1" w:styleId="2373">
    <w:name w:val="缺省文本"/>
    <w:semiHidden/>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2374">
    <w:name w:val="样式 标题 2 + 首行缩进:  2 字符"/>
    <w:basedOn w:val="3"/>
    <w:qFormat/>
    <w:uiPriority w:val="0"/>
    <w:pPr>
      <w:keepNext w:val="0"/>
      <w:overflowPunct/>
      <w:adjustRightInd w:val="0"/>
      <w:snapToGrid/>
      <w:spacing w:before="0" w:after="0" w:line="400" w:lineRule="exact"/>
      <w:ind w:left="0" w:firstLine="0"/>
      <w:jc w:val="center"/>
      <w:outlineLvl w:val="9"/>
    </w:pPr>
    <w:rPr>
      <w:rFonts w:eastAsia="华文中宋"/>
      <w:b w:val="0"/>
      <w:color w:val="auto"/>
      <w:spacing w:val="-2"/>
      <w:kern w:val="2"/>
      <w:sz w:val="44"/>
      <w:szCs w:val="24"/>
    </w:rPr>
  </w:style>
  <w:style w:type="paragraph" w:customStyle="1" w:styleId="2375">
    <w:name w:val="10"/>
    <w:basedOn w:val="1"/>
    <w:next w:val="23"/>
    <w:qFormat/>
    <w:uiPriority w:val="0"/>
    <w:pPr>
      <w:spacing w:line="500" w:lineRule="exact"/>
      <w:ind w:firstLine="420"/>
    </w:pPr>
    <w:rPr>
      <w:rFonts w:ascii="仿宋_GB2312" w:hAnsi="Calibri" w:eastAsia="仿宋_GB2312" w:cs="Calibri"/>
      <w:sz w:val="28"/>
      <w:szCs w:val="20"/>
    </w:rPr>
  </w:style>
  <w:style w:type="paragraph" w:customStyle="1" w:styleId="2376">
    <w:name w:val="xl304"/>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377">
    <w:name w:val="xl171"/>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cs="Calibri"/>
      <w:kern w:val="0"/>
    </w:rPr>
  </w:style>
  <w:style w:type="paragraph" w:customStyle="1" w:styleId="2378">
    <w:name w:val="Char Char Char Char Char Char Char Char Char1 Char Char Char Char Char Char"/>
    <w:basedOn w:val="1"/>
    <w:qFormat/>
    <w:uiPriority w:val="0"/>
    <w:rPr>
      <w:rFonts w:ascii="Calibri" w:hAnsi="Calibri" w:cs="Calibri"/>
      <w:szCs w:val="21"/>
    </w:rPr>
  </w:style>
  <w:style w:type="paragraph" w:customStyle="1" w:styleId="2379">
    <w:name w:val="三级"/>
    <w:basedOn w:val="5"/>
    <w:next w:val="1"/>
    <w:qFormat/>
    <w:uiPriority w:val="99"/>
    <w:pPr>
      <w:numPr>
        <w:ilvl w:val="0"/>
        <w:numId w:val="0"/>
      </w:numPr>
      <w:tabs>
        <w:tab w:val="left" w:pos="360"/>
      </w:tabs>
      <w:adjustRightInd w:val="0"/>
      <w:spacing w:before="0" w:after="0" w:line="560" w:lineRule="exact"/>
      <w:ind w:left="360" w:hanging="360" w:hangingChars="200"/>
    </w:pPr>
    <w:rPr>
      <w:rFonts w:eastAsia="仿宋_GB2312" w:cs="Calibri"/>
      <w:spacing w:val="12"/>
      <w:sz w:val="24"/>
      <w:lang w:val="en-US"/>
    </w:rPr>
  </w:style>
  <w:style w:type="paragraph" w:customStyle="1" w:styleId="2380">
    <w:name w:val="Char Char Char Char Char Char Char Char Char1 Char Char Char1"/>
    <w:basedOn w:val="1"/>
    <w:qFormat/>
    <w:uiPriority w:val="99"/>
    <w:rPr>
      <w:rFonts w:ascii="Calibri" w:hAnsi="Calibri" w:cs="Calibri"/>
      <w:sz w:val="24"/>
    </w:rPr>
  </w:style>
  <w:style w:type="paragraph" w:customStyle="1" w:styleId="2381">
    <w:name w:val="Char Char Char1 Char Char Char Char"/>
    <w:basedOn w:val="1"/>
    <w:qFormat/>
    <w:uiPriority w:val="0"/>
    <w:rPr>
      <w:rFonts w:ascii="Calibri" w:hAnsi="Calibri" w:cs="Calibri"/>
      <w:szCs w:val="20"/>
    </w:rPr>
  </w:style>
  <w:style w:type="paragraph" w:customStyle="1" w:styleId="2382">
    <w:name w:val="xl113"/>
    <w:basedOn w:val="1"/>
    <w:qFormat/>
    <w:uiPriority w:val="0"/>
    <w:pPr>
      <w:widowControl/>
      <w:pBdr>
        <w:top w:val="single" w:color="auto" w:sz="8" w:space="0"/>
        <w:bottom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2383">
    <w:name w:val="st_divcss"/>
    <w:basedOn w:val="1"/>
    <w:qFormat/>
    <w:uiPriority w:val="99"/>
    <w:pPr>
      <w:widowControl/>
      <w:jc w:val="left"/>
    </w:pPr>
    <w:rPr>
      <w:rFonts w:ascii="宋体" w:hAnsi="宋体" w:cs="宋体"/>
      <w:kern w:val="0"/>
      <w:sz w:val="24"/>
    </w:rPr>
  </w:style>
  <w:style w:type="paragraph" w:customStyle="1" w:styleId="2384">
    <w:name w:val="批注框文本1"/>
    <w:basedOn w:val="1"/>
    <w:semiHidden/>
    <w:qFormat/>
    <w:uiPriority w:val="0"/>
    <w:pPr>
      <w:adjustRightInd w:val="0"/>
      <w:spacing w:line="315" w:lineRule="atLeast"/>
      <w:jc w:val="left"/>
      <w:textAlignment w:val="baseline"/>
    </w:pPr>
    <w:rPr>
      <w:rFonts w:ascii="宋体" w:hAnsi="Calibri" w:cs="Calibri"/>
      <w:kern w:val="0"/>
      <w:sz w:val="18"/>
      <w:szCs w:val="18"/>
    </w:rPr>
  </w:style>
  <w:style w:type="paragraph" w:customStyle="1" w:styleId="2385">
    <w:name w:val="样式444"/>
    <w:basedOn w:val="1"/>
    <w:semiHidden/>
    <w:qFormat/>
    <w:uiPriority w:val="0"/>
    <w:pPr>
      <w:spacing w:before="50" w:beforeLines="50" w:line="360" w:lineRule="auto"/>
    </w:pPr>
    <w:rPr>
      <w:rFonts w:ascii="Calibri" w:hAnsi="Calibri" w:cs="Calibri"/>
      <w:b/>
      <w:sz w:val="28"/>
    </w:rPr>
  </w:style>
  <w:style w:type="paragraph" w:customStyle="1" w:styleId="2386">
    <w:name w:val="编写日期"/>
    <w:basedOn w:val="1"/>
    <w:semiHidden/>
    <w:qFormat/>
    <w:uiPriority w:val="0"/>
    <w:pPr>
      <w:spacing w:line="360" w:lineRule="exact"/>
      <w:jc w:val="center"/>
    </w:pPr>
    <w:rPr>
      <w:rFonts w:ascii="Calibri" w:hAnsi="Calibri" w:cs="宋体"/>
      <w:sz w:val="32"/>
      <w:szCs w:val="20"/>
    </w:rPr>
  </w:style>
  <w:style w:type="paragraph" w:customStyle="1" w:styleId="2387">
    <w:name w:val="标记"/>
    <w:basedOn w:val="1"/>
    <w:next w:val="1"/>
    <w:semiHidden/>
    <w:qFormat/>
    <w:uiPriority w:val="0"/>
    <w:pPr>
      <w:tabs>
        <w:tab w:val="left" w:pos="420"/>
      </w:tabs>
      <w:spacing w:line="360" w:lineRule="auto"/>
      <w:ind w:left="420" w:hanging="420"/>
    </w:pPr>
    <w:rPr>
      <w:rFonts w:ascii="宋体" w:hAnsi="Calibri" w:cs="Calibri"/>
      <w:sz w:val="28"/>
    </w:rPr>
  </w:style>
  <w:style w:type="paragraph" w:customStyle="1" w:styleId="2388">
    <w:name w:val="xl337"/>
    <w:basedOn w:val="1"/>
    <w:semiHidden/>
    <w:qFormat/>
    <w:uiPriority w:val="0"/>
    <w:pPr>
      <w:widowControl/>
      <w:pBdr>
        <w:left w:val="single" w:color="auto" w:sz="12" w:space="0"/>
        <w:bottom w:val="single" w:color="auto" w:sz="8"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2389">
    <w:name w:val="样式 标题 3条标题1.1.1条标题1.1.11条标题1.1.12条标题1.1.13条标题1.1.111条标题1.1...2"/>
    <w:basedOn w:val="5"/>
    <w:qFormat/>
    <w:uiPriority w:val="0"/>
    <w:pPr>
      <w:numPr>
        <w:ilvl w:val="0"/>
        <w:numId w:val="0"/>
      </w:numPr>
      <w:adjustRightInd w:val="0"/>
      <w:spacing w:before="120" w:beforeLines="50" w:after="120" w:afterLines="50" w:line="360" w:lineRule="auto"/>
    </w:pPr>
    <w:rPr>
      <w:rFonts w:cs="宋体"/>
      <w:b w:val="0"/>
      <w:sz w:val="24"/>
      <w:szCs w:val="20"/>
      <w:lang w:val="en-US"/>
    </w:rPr>
  </w:style>
  <w:style w:type="paragraph" w:customStyle="1" w:styleId="2390">
    <w:name w:val="样式 标题 3 + 宋体 小四 非加粗 行距: 1.5 倍行距"/>
    <w:basedOn w:val="5"/>
    <w:qFormat/>
    <w:uiPriority w:val="99"/>
    <w:pPr>
      <w:numPr>
        <w:ilvl w:val="0"/>
        <w:numId w:val="0"/>
      </w:numPr>
      <w:adjustRightInd w:val="0"/>
      <w:spacing w:line="360" w:lineRule="auto"/>
    </w:pPr>
    <w:rPr>
      <w:rFonts w:ascii="宋体" w:hAnsi="宋体" w:cs="宋体"/>
      <w:b w:val="0"/>
      <w:bCs w:val="0"/>
      <w:sz w:val="24"/>
      <w:szCs w:val="20"/>
      <w:lang w:val="en-US"/>
    </w:rPr>
  </w:style>
  <w:style w:type="paragraph" w:customStyle="1" w:styleId="2391">
    <w:name w:val="样式 标题 3标题 3 正式 + (西文) Times New Roman"/>
    <w:basedOn w:val="5"/>
    <w:semiHidden/>
    <w:qFormat/>
    <w:uiPriority w:val="0"/>
    <w:pPr>
      <w:numPr>
        <w:ilvl w:val="0"/>
        <w:numId w:val="0"/>
      </w:numPr>
      <w:tabs>
        <w:tab w:val="left" w:pos="0"/>
      </w:tabs>
      <w:adjustRightInd w:val="0"/>
      <w:snapToGrid w:val="0"/>
      <w:spacing w:before="120" w:after="120" w:line="360" w:lineRule="auto"/>
      <w:ind w:left="595" w:hanging="595"/>
    </w:pPr>
    <w:rPr>
      <w:rFonts w:cs="Calibri"/>
      <w:b w:val="0"/>
      <w:snapToGrid w:val="0"/>
      <w:spacing w:val="4"/>
      <w:kern w:val="0"/>
      <w:sz w:val="24"/>
      <w:szCs w:val="28"/>
      <w:lang w:val="en-US"/>
    </w:rPr>
  </w:style>
  <w:style w:type="paragraph" w:customStyle="1" w:styleId="2392">
    <w:name w:val="正文（缩进）"/>
    <w:basedOn w:val="1"/>
    <w:qFormat/>
    <w:uiPriority w:val="99"/>
    <w:pPr>
      <w:adjustRightInd w:val="0"/>
      <w:snapToGrid w:val="0"/>
      <w:spacing w:line="360" w:lineRule="auto"/>
      <w:ind w:firstLine="200" w:firstLineChars="200"/>
    </w:pPr>
    <w:rPr>
      <w:rFonts w:ascii="Calibri" w:hAnsi="Calibri" w:cs="Calibri"/>
      <w:snapToGrid w:val="0"/>
      <w:kern w:val="0"/>
      <w:sz w:val="24"/>
    </w:rPr>
  </w:style>
  <w:style w:type="paragraph" w:customStyle="1" w:styleId="2393">
    <w:name w:val="样式 样式 标题 3 + (西文) Times New Roman (中文) 宋体 小四 加粗 + 黑色 左侧:  0 厘米..."/>
    <w:basedOn w:val="1"/>
    <w:qFormat/>
    <w:uiPriority w:val="99"/>
    <w:pPr>
      <w:keepNext/>
      <w:keepLines/>
      <w:adjustRightInd w:val="0"/>
      <w:snapToGrid w:val="0"/>
      <w:spacing w:beforeLines="50" w:line="360" w:lineRule="auto"/>
      <w:jc w:val="left"/>
      <w:outlineLvl w:val="2"/>
    </w:pPr>
    <w:rPr>
      <w:rFonts w:ascii="宋体" w:hAnsi="宋体" w:cs="宋体"/>
      <w:b/>
      <w:bCs/>
      <w:snapToGrid w:val="0"/>
      <w:color w:val="000000"/>
      <w:sz w:val="28"/>
      <w:szCs w:val="20"/>
    </w:rPr>
  </w:style>
  <w:style w:type="paragraph" w:customStyle="1" w:styleId="2394">
    <w:name w:val="Char Char Char Char Char Char Char Char Char Char Char Char 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2395">
    <w:name w:val="Char1 Char Char Char Char Char Char Char Char Char Char Char Char Char Char Char Char Char"/>
    <w:basedOn w:val="1"/>
    <w:semiHidden/>
    <w:qFormat/>
    <w:uiPriority w:val="0"/>
    <w:rPr>
      <w:rFonts w:ascii="Calibri" w:hAnsi="Calibri" w:cs="Calibri"/>
      <w:sz w:val="24"/>
    </w:rPr>
  </w:style>
  <w:style w:type="paragraph" w:customStyle="1" w:styleId="2396">
    <w:name w:val="样式 标题 4 + (西文) Times New Roman (中文) 宋体 小四"/>
    <w:basedOn w:val="6"/>
    <w:qFormat/>
    <w:uiPriority w:val="0"/>
    <w:pPr>
      <w:numPr>
        <w:ilvl w:val="0"/>
        <w:numId w:val="0"/>
      </w:numPr>
      <w:tabs>
        <w:tab w:val="left" w:pos="0"/>
        <w:tab w:val="left" w:pos="1247"/>
      </w:tabs>
      <w:adjustRightInd w:val="0"/>
      <w:snapToGrid w:val="0"/>
      <w:spacing w:before="78" w:beforeLines="25" w:after="78" w:afterLines="25" w:line="300" w:lineRule="auto"/>
      <w:ind w:left="964" w:hanging="964"/>
    </w:pPr>
    <w:rPr>
      <w:rFonts w:ascii="楷体_GB2312" w:hAnsi="Times New Roman" w:eastAsia="楷体_GB2312" w:cs="Calibri"/>
      <w:color w:val="0000FF"/>
      <w:szCs w:val="28"/>
    </w:rPr>
  </w:style>
  <w:style w:type="paragraph" w:customStyle="1" w:styleId="2397">
    <w:name w:val="1.2.5"/>
    <w:basedOn w:val="6"/>
    <w:semiHidden/>
    <w:qFormat/>
    <w:uiPriority w:val="0"/>
    <w:pPr>
      <w:numPr>
        <w:ilvl w:val="0"/>
        <w:numId w:val="7"/>
      </w:numPr>
      <w:tabs>
        <w:tab w:val="left" w:pos="-1276"/>
        <w:tab w:val="left" w:pos="0"/>
      </w:tabs>
      <w:adjustRightInd w:val="0"/>
      <w:spacing w:before="0" w:after="0" w:line="480" w:lineRule="exact"/>
      <w:ind w:firstLine="0" w:firstLineChars="0"/>
    </w:pPr>
    <w:rPr>
      <w:rFonts w:ascii="宋体" w:eastAsia="宋体" w:cs="Calibri"/>
      <w:bCs/>
      <w:color w:val="000000"/>
      <w:sz w:val="24"/>
      <w:szCs w:val="28"/>
      <w:lang w:val="en-US"/>
    </w:rPr>
  </w:style>
  <w:style w:type="paragraph" w:customStyle="1" w:styleId="2398">
    <w:name w:val="Char Char Char1 Char Char Char Char Char Char Char Char Char Char Char Char Char Char Char1 Char Char Char Char Char Char Char Char Char Char Char Char Char Char Char Char Char Char Char Char Char Char Char Char Char Char Char2"/>
    <w:basedOn w:val="1"/>
    <w:semiHidden/>
    <w:qFormat/>
    <w:uiPriority w:val="0"/>
    <w:pPr>
      <w:spacing w:line="240" w:lineRule="exact"/>
      <w:ind w:firstLine="200" w:firstLineChars="200"/>
    </w:pPr>
    <w:rPr>
      <w:rFonts w:ascii="Calibri" w:hAnsi="Calibri" w:cs="Calibri"/>
      <w:sz w:val="28"/>
      <w:szCs w:val="28"/>
    </w:rPr>
  </w:style>
  <w:style w:type="paragraph" w:customStyle="1" w:styleId="2399">
    <w:name w:val="小圈序列"/>
    <w:basedOn w:val="1"/>
    <w:semiHidden/>
    <w:qFormat/>
    <w:uiPriority w:val="0"/>
    <w:pPr>
      <w:ind w:left="560"/>
    </w:pPr>
    <w:rPr>
      <w:rFonts w:ascii="Calibri" w:hAnsi="Calibri" w:cs="宋体"/>
      <w:sz w:val="28"/>
      <w:szCs w:val="28"/>
    </w:rPr>
  </w:style>
  <w:style w:type="paragraph" w:customStyle="1" w:styleId="2400">
    <w:name w:val="Char Char Char1 Char Char Char Char Char Char Char Char Char Char Char Char Char Char Char1 Char Char Char Char Char Char Char Char Char Char Char Char Char Char Char"/>
    <w:basedOn w:val="1"/>
    <w:semiHidden/>
    <w:qFormat/>
    <w:uiPriority w:val="0"/>
    <w:rPr>
      <w:rFonts w:ascii="Calibri" w:hAnsi="Calibri" w:cs="Calibri"/>
      <w:szCs w:val="21"/>
    </w:rPr>
  </w:style>
  <w:style w:type="paragraph" w:customStyle="1" w:styleId="2401">
    <w:name w:val="Char Char2 Char Char Char Char Char Char1"/>
    <w:basedOn w:val="1"/>
    <w:qFormat/>
    <w:uiPriority w:val="99"/>
    <w:pPr>
      <w:spacing w:line="480" w:lineRule="exact"/>
    </w:pPr>
    <w:rPr>
      <w:rFonts w:ascii="Calibri" w:hAnsi="Calibri" w:cs="Calibri"/>
      <w:sz w:val="22"/>
    </w:rPr>
  </w:style>
  <w:style w:type="paragraph" w:customStyle="1" w:styleId="2402">
    <w:name w:val="表格中"/>
    <w:basedOn w:val="1"/>
    <w:qFormat/>
    <w:uiPriority w:val="99"/>
    <w:pPr>
      <w:adjustRightInd w:val="0"/>
      <w:snapToGrid w:val="0"/>
      <w:jc w:val="center"/>
    </w:pPr>
    <w:rPr>
      <w:rFonts w:ascii="仿宋_GB2312" w:hAnsi="Calibri" w:eastAsia="仿宋_GB2312" w:cs="Calibri"/>
      <w:bCs/>
      <w:szCs w:val="21"/>
    </w:rPr>
  </w:style>
  <w:style w:type="paragraph" w:customStyle="1" w:styleId="2403">
    <w:name w:val="默认段落字体 Para"/>
    <w:basedOn w:val="1"/>
    <w:qFormat/>
    <w:uiPriority w:val="99"/>
    <w:rPr>
      <w:rFonts w:ascii="Calibri" w:hAnsi="Calibri" w:cs="Calibri"/>
      <w:sz w:val="24"/>
    </w:rPr>
  </w:style>
  <w:style w:type="paragraph" w:customStyle="1" w:styleId="2404">
    <w:name w:val="样式 样式 目录 2 + 首行缩进:  2 字符 + 首行缩进:  2 字符"/>
    <w:basedOn w:val="2356"/>
    <w:semiHidden/>
    <w:qFormat/>
    <w:uiPriority w:val="0"/>
    <w:pPr>
      <w:tabs>
        <w:tab w:val="left" w:pos="960"/>
        <w:tab w:val="clear" w:pos="1200"/>
      </w:tabs>
      <w:ind w:firstLine="400"/>
    </w:pPr>
  </w:style>
  <w:style w:type="paragraph" w:customStyle="1" w:styleId="2405">
    <w:name w:val="正文01 Char Char Char Char"/>
    <w:basedOn w:val="1"/>
    <w:semiHidden/>
    <w:qFormat/>
    <w:uiPriority w:val="0"/>
    <w:pPr>
      <w:spacing w:before="60" w:line="460" w:lineRule="exact"/>
      <w:ind w:firstLine="200" w:firstLineChars="200"/>
    </w:pPr>
    <w:rPr>
      <w:rFonts w:ascii="@黑体" w:hAnsi="@黑体" w:eastAsia="黑体" w:cs="Calibri"/>
      <w:sz w:val="24"/>
    </w:rPr>
  </w:style>
  <w:style w:type="paragraph" w:customStyle="1" w:styleId="2406">
    <w:name w:val="样式 (中文) 仿宋_GB2312 四号 行距: 固定值 22 磅 首行缩进:  1 字符"/>
    <w:basedOn w:val="1"/>
    <w:semiHidden/>
    <w:qFormat/>
    <w:uiPriority w:val="0"/>
    <w:pPr>
      <w:spacing w:line="440" w:lineRule="exact"/>
      <w:ind w:firstLine="280" w:firstLineChars="100"/>
    </w:pPr>
    <w:rPr>
      <w:rFonts w:ascii="@黑体" w:hAnsi="@黑体" w:eastAsia="Tahoma" w:cs="Calibri"/>
      <w:sz w:val="24"/>
      <w:szCs w:val="20"/>
    </w:rPr>
  </w:style>
  <w:style w:type="paragraph" w:customStyle="1" w:styleId="2407">
    <w:name w:val="Char2 Char Char Char Char Char Char"/>
    <w:basedOn w:val="1"/>
    <w:qFormat/>
    <w:uiPriority w:val="99"/>
    <w:rPr>
      <w:rFonts w:ascii="Calibri" w:hAnsi="Calibri" w:cs="Calibri"/>
      <w:sz w:val="24"/>
    </w:rPr>
  </w:style>
  <w:style w:type="paragraph" w:customStyle="1" w:styleId="2408">
    <w:name w:val="xl326"/>
    <w:basedOn w:val="1"/>
    <w:semiHidden/>
    <w:qFormat/>
    <w:uiPriority w:val="0"/>
    <w:pPr>
      <w:widowControl/>
      <w:pBdr>
        <w:top w:val="single" w:color="auto" w:sz="12" w:space="0"/>
        <w:bottom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2409">
    <w:name w:val="高表内"/>
    <w:basedOn w:val="47"/>
    <w:qFormat/>
    <w:uiPriority w:val="99"/>
    <w:pPr>
      <w:autoSpaceDE w:val="0"/>
      <w:adjustRightInd w:val="0"/>
      <w:snapToGrid w:val="0"/>
      <w:spacing w:line="240" w:lineRule="auto"/>
      <w:ind w:firstLine="0" w:firstLineChars="0"/>
      <w:jc w:val="center"/>
      <w:textAlignment w:val="baseline"/>
    </w:pPr>
    <w:rPr>
      <w:rFonts w:ascii="Arial" w:hAnsi="Arial" w:eastAsia="楷体_GB2312" w:cs="Calibri"/>
      <w:sz w:val="24"/>
      <w:lang w:val="en-US"/>
    </w:rPr>
  </w:style>
  <w:style w:type="paragraph" w:customStyle="1" w:styleId="2410">
    <w:name w:val="标题0"/>
    <w:basedOn w:val="1"/>
    <w:next w:val="1"/>
    <w:qFormat/>
    <w:uiPriority w:val="99"/>
    <w:pPr>
      <w:spacing w:before="200" w:after="200" w:line="240" w:lineRule="atLeast"/>
      <w:jc w:val="center"/>
    </w:pPr>
    <w:rPr>
      <w:rFonts w:ascii="Calibri" w:hAnsi="Calibri" w:eastAsia="黑体" w:cs="Calibri"/>
      <w:color w:val="000000"/>
      <w:sz w:val="44"/>
      <w:szCs w:val="20"/>
    </w:rPr>
  </w:style>
  <w:style w:type="paragraph" w:customStyle="1" w:styleId="2411">
    <w:name w:val="xl212"/>
    <w:basedOn w:val="1"/>
    <w:semiHidden/>
    <w:qFormat/>
    <w:uiPriority w:val="0"/>
    <w:pPr>
      <w:widowControl/>
      <w:pBdr>
        <w:bottom w:val="single" w:color="auto" w:sz="12"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2412">
    <w:name w:val="Char1 Char Char Char Char Char Char"/>
    <w:basedOn w:val="1"/>
    <w:qFormat/>
    <w:uiPriority w:val="99"/>
    <w:rPr>
      <w:rFonts w:ascii="Calibri" w:hAnsi="Calibri" w:cs="Calibri"/>
      <w:sz w:val="24"/>
    </w:rPr>
  </w:style>
  <w:style w:type="paragraph" w:customStyle="1" w:styleId="2413">
    <w:name w:val="xl246"/>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414">
    <w:name w:val="样式 标题 3条标题1.1.1h3H3level_3PIM 3Level 3 HeadHeading 3 - ol...1"/>
    <w:basedOn w:val="5"/>
    <w:semiHidden/>
    <w:qFormat/>
    <w:uiPriority w:val="0"/>
    <w:pPr>
      <w:numPr>
        <w:ilvl w:val="0"/>
        <w:numId w:val="0"/>
      </w:numPr>
      <w:tabs>
        <w:tab w:val="left" w:pos="1800"/>
        <w:tab w:val="left" w:pos="3960"/>
      </w:tabs>
      <w:adjustRightInd w:val="0"/>
      <w:spacing w:before="0" w:after="0" w:line="500" w:lineRule="exact"/>
      <w:ind w:left="1800" w:hanging="720"/>
    </w:pPr>
    <w:rPr>
      <w:rFonts w:eastAsia="华文中宋" w:cs="宋体"/>
      <w:sz w:val="24"/>
      <w:szCs w:val="20"/>
      <w:lang w:val="en-US"/>
    </w:rPr>
  </w:style>
  <w:style w:type="paragraph" w:customStyle="1" w:styleId="2415">
    <w:name w:val="表格wenben 小五 居中"/>
    <w:basedOn w:val="1"/>
    <w:semiHidden/>
    <w:qFormat/>
    <w:uiPriority w:val="0"/>
    <w:pPr>
      <w:adjustRightInd w:val="0"/>
      <w:snapToGrid w:val="0"/>
      <w:jc w:val="center"/>
    </w:pPr>
    <w:rPr>
      <w:rFonts w:ascii="Calibri" w:hAnsi="Calibri" w:cs="宋体"/>
      <w:sz w:val="18"/>
      <w:szCs w:val="18"/>
    </w:rPr>
  </w:style>
  <w:style w:type="paragraph" w:customStyle="1" w:styleId="2416">
    <w:name w:val="样式 标题 2节 + (符号) Arial Black 小四"/>
    <w:basedOn w:val="5"/>
    <w:qFormat/>
    <w:uiPriority w:val="99"/>
    <w:pPr>
      <w:numPr>
        <w:ilvl w:val="0"/>
        <w:numId w:val="0"/>
      </w:numPr>
      <w:tabs>
        <w:tab w:val="left" w:pos="0"/>
      </w:tabs>
      <w:adjustRightInd w:val="0"/>
      <w:spacing w:before="0" w:after="0" w:line="360" w:lineRule="auto"/>
    </w:pPr>
    <w:rPr>
      <w:rFonts w:ascii="宋体" w:hAnsi="Arial Black" w:eastAsia="仿宋_GB2312" w:cs="Calibri"/>
      <w:bCs w:val="0"/>
      <w:kern w:val="21"/>
      <w:sz w:val="24"/>
      <w:szCs w:val="20"/>
      <w:lang w:val="en-US"/>
    </w:rPr>
  </w:style>
  <w:style w:type="paragraph" w:customStyle="1" w:styleId="2417">
    <w:name w:val="Char Char Char Char Char Char Char Char Char Char Char Char Char Char Char Char Char Char"/>
    <w:basedOn w:val="1"/>
    <w:qFormat/>
    <w:uiPriority w:val="99"/>
    <w:rPr>
      <w:rFonts w:ascii="Calibri" w:hAnsi="Calibri" w:cs="Calibri"/>
      <w:sz w:val="24"/>
    </w:rPr>
  </w:style>
  <w:style w:type="paragraph" w:customStyle="1" w:styleId="2418">
    <w:name w:val="样式1）"/>
    <w:basedOn w:val="7"/>
    <w:qFormat/>
    <w:uiPriority w:val="99"/>
    <w:pPr>
      <w:keepNext/>
      <w:keepLines/>
      <w:numPr>
        <w:ilvl w:val="0"/>
        <w:numId w:val="0"/>
      </w:numPr>
      <w:tabs>
        <w:tab w:val="left" w:pos="1226"/>
      </w:tabs>
      <w:adjustRightInd/>
      <w:snapToGrid/>
      <w:spacing w:before="156" w:beforeLines="50" w:after="156" w:afterLines="50" w:line="400" w:lineRule="exact"/>
      <w:ind w:left="821" w:leftChars="213" w:hanging="374" w:hangingChars="156"/>
    </w:pPr>
    <w:rPr>
      <w:rFonts w:cs="Calibri"/>
      <w:b w:val="0"/>
      <w:i w:val="0"/>
      <w:iCs w:val="0"/>
      <w:sz w:val="24"/>
      <w:szCs w:val="28"/>
      <w:lang w:val="en-US" w:eastAsia="zh-CN" w:bidi="ar-SA"/>
    </w:rPr>
  </w:style>
  <w:style w:type="paragraph" w:customStyle="1" w:styleId="2419">
    <w:name w:val="样式 样式3.1 + 段前: 0.5 行"/>
    <w:semiHidden/>
    <w:qFormat/>
    <w:uiPriority w:val="0"/>
    <w:pPr>
      <w:tabs>
        <w:tab w:val="left" w:pos="0"/>
      </w:tabs>
    </w:pPr>
    <w:rPr>
      <w:rFonts w:ascii="Times New Roman" w:hAnsi="Times New Roman" w:eastAsia="宋体" w:cs="Calibri"/>
      <w:lang w:val="en-US" w:eastAsia="zh-CN" w:bidi="ar-SA"/>
    </w:rPr>
  </w:style>
  <w:style w:type="paragraph" w:customStyle="1" w:styleId="2420">
    <w:name w:val="样式3.1"/>
    <w:semiHidden/>
    <w:qFormat/>
    <w:uiPriority w:val="0"/>
    <w:pPr>
      <w:tabs>
        <w:tab w:val="left" w:pos="0"/>
      </w:tabs>
      <w:spacing w:before="50"/>
    </w:pPr>
    <w:rPr>
      <w:rFonts w:ascii="Times New Roman" w:hAnsi="Times New Roman" w:eastAsia="宋体" w:cs="Calibri"/>
      <w:lang w:val="en-US" w:eastAsia="zh-CN" w:bidi="ar-SA"/>
    </w:rPr>
  </w:style>
  <w:style w:type="paragraph" w:customStyle="1" w:styleId="2421">
    <w:name w:val="样式 样式 标题2 + 段前: 0.5 行"/>
    <w:semiHidden/>
    <w:qFormat/>
    <w:uiPriority w:val="0"/>
    <w:pPr>
      <w:spacing w:before="156"/>
    </w:pPr>
    <w:rPr>
      <w:rFonts w:ascii="Times New Roman" w:hAnsi="Times New Roman" w:eastAsia="宋体" w:cs="Calibri"/>
      <w:bCs/>
      <w:lang w:val="en-US" w:eastAsia="zh-CN" w:bidi="ar-SA"/>
    </w:rPr>
  </w:style>
  <w:style w:type="paragraph" w:customStyle="1" w:styleId="2422">
    <w:name w:val="样式 标题2"/>
    <w:basedOn w:val="1"/>
    <w:semiHidden/>
    <w:qFormat/>
    <w:uiPriority w:val="0"/>
    <w:pPr>
      <w:keepNext/>
      <w:keepLines/>
      <w:spacing w:before="50" w:beforeLines="50" w:line="360" w:lineRule="auto"/>
      <w:outlineLvl w:val="1"/>
    </w:pPr>
    <w:rPr>
      <w:rFonts w:ascii="Calibri" w:hAnsi="Calibri" w:cs="宋体"/>
      <w:b/>
      <w:sz w:val="30"/>
      <w:szCs w:val="20"/>
    </w:rPr>
  </w:style>
  <w:style w:type="paragraph" w:customStyle="1" w:styleId="2423">
    <w:name w:val="日期1"/>
    <w:basedOn w:val="1"/>
    <w:next w:val="1"/>
    <w:qFormat/>
    <w:uiPriority w:val="99"/>
    <w:pPr>
      <w:adjustRightInd w:val="0"/>
      <w:textAlignment w:val="baseline"/>
    </w:pPr>
    <w:rPr>
      <w:rFonts w:ascii="Calibri" w:hAnsi="Calibri" w:cs="Calibri"/>
      <w:szCs w:val="20"/>
    </w:rPr>
  </w:style>
  <w:style w:type="paragraph" w:customStyle="1" w:styleId="2424">
    <w:name w:val="Char Char Char Char Char Char Char Char Char1 Char Char Char Char3"/>
    <w:basedOn w:val="1"/>
    <w:qFormat/>
    <w:uiPriority w:val="99"/>
    <w:rPr>
      <w:rFonts w:ascii="Calibri" w:hAnsi="Calibri" w:cs="Calibri"/>
      <w:szCs w:val="21"/>
    </w:rPr>
  </w:style>
  <w:style w:type="paragraph" w:customStyle="1" w:styleId="2425">
    <w:name w:val="Char Char Char1 Char Char Char Char Char Char Char Char Char Char Char Char Char2"/>
    <w:basedOn w:val="1"/>
    <w:semiHidden/>
    <w:qFormat/>
    <w:uiPriority w:val="0"/>
    <w:rPr>
      <w:rFonts w:ascii="Calibri" w:hAnsi="Calibri" w:cs="Calibri"/>
      <w:szCs w:val="21"/>
    </w:rPr>
  </w:style>
  <w:style w:type="paragraph" w:customStyle="1" w:styleId="2426">
    <w:name w:val="样式3.4.1"/>
    <w:basedOn w:val="1"/>
    <w:semiHidden/>
    <w:qFormat/>
    <w:uiPriority w:val="0"/>
    <w:pPr>
      <w:numPr>
        <w:ilvl w:val="2"/>
        <w:numId w:val="8"/>
      </w:numPr>
      <w:tabs>
        <w:tab w:val="left" w:pos="0"/>
      </w:tabs>
      <w:spacing w:before="50" w:beforeLines="50" w:line="360" w:lineRule="auto"/>
      <w:outlineLvl w:val="2"/>
    </w:pPr>
    <w:rPr>
      <w:rFonts w:ascii="宋体" w:hAnsi="宋体" w:cs="Calibri"/>
      <w:b/>
      <w:sz w:val="28"/>
    </w:rPr>
  </w:style>
  <w:style w:type="paragraph" w:customStyle="1" w:styleId="2427">
    <w:name w:val="正文24"/>
    <w:qFormat/>
    <w:uiPriority w:val="0"/>
    <w:pPr>
      <w:tabs>
        <w:tab w:val="right" w:pos="1474"/>
      </w:tabs>
      <w:spacing w:line="360" w:lineRule="auto"/>
    </w:pPr>
    <w:rPr>
      <w:rFonts w:ascii="Calibri" w:hAnsi="Calibri" w:eastAsia="宋体" w:cs="Calibri"/>
      <w:sz w:val="24"/>
      <w:lang w:val="en-US" w:eastAsia="zh-CN" w:bidi="ar-SA"/>
    </w:rPr>
  </w:style>
  <w:style w:type="paragraph" w:customStyle="1" w:styleId="2428">
    <w:name w:val="xl122"/>
    <w:basedOn w:val="1"/>
    <w:qFormat/>
    <w:uiPriority w:val="99"/>
    <w:pPr>
      <w:widowControl/>
      <w:pBdr>
        <w:left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429">
    <w:name w:val="样式 表格文本 五号 单倍行距 + 两端对齐"/>
    <w:semiHidden/>
    <w:qFormat/>
    <w:uiPriority w:val="0"/>
    <w:pPr>
      <w:jc w:val="both"/>
    </w:pPr>
    <w:rPr>
      <w:rFonts w:ascii="Times New Roman" w:hAnsi="Times New Roman" w:eastAsia="宋体" w:cs="Calibri"/>
      <w:lang w:val="en-US" w:eastAsia="zh-CN" w:bidi="ar-SA"/>
    </w:rPr>
  </w:style>
  <w:style w:type="paragraph" w:customStyle="1" w:styleId="2430">
    <w:name w:val="表格文本 五号 居中 单倍行距"/>
    <w:basedOn w:val="1"/>
    <w:semiHidden/>
    <w:qFormat/>
    <w:uiPriority w:val="0"/>
    <w:pPr>
      <w:keepNext/>
      <w:spacing w:line="360" w:lineRule="exact"/>
      <w:jc w:val="center"/>
      <w:textAlignment w:val="baseline"/>
    </w:pPr>
    <w:rPr>
      <w:rFonts w:ascii="Calibri" w:hAnsi="Calibri" w:cs="Calibri"/>
      <w:kern w:val="0"/>
      <w:szCs w:val="21"/>
    </w:rPr>
  </w:style>
  <w:style w:type="paragraph" w:customStyle="1" w:styleId="2431">
    <w:name w:val="xl314"/>
    <w:basedOn w:val="1"/>
    <w:semiHidden/>
    <w:qFormat/>
    <w:uiPriority w:val="0"/>
    <w:pPr>
      <w:widowControl/>
      <w:pBdr>
        <w:left w:val="single" w:color="auto" w:sz="8" w:space="0"/>
        <w:bottom w:val="single" w:color="auto" w:sz="8" w:space="0"/>
        <w:right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2432">
    <w:name w:val="样式 黑体 三号 居中 行距: 单倍行距"/>
    <w:basedOn w:val="1"/>
    <w:semiHidden/>
    <w:qFormat/>
    <w:uiPriority w:val="0"/>
    <w:pPr>
      <w:jc w:val="center"/>
    </w:pPr>
    <w:rPr>
      <w:rFonts w:ascii="黑体" w:hAnsi="Calibri" w:eastAsia="黑体" w:cs="宋体"/>
      <w:sz w:val="32"/>
      <w:szCs w:val="20"/>
    </w:rPr>
  </w:style>
  <w:style w:type="paragraph" w:customStyle="1" w:styleId="2433">
    <w:name w:val="CM16"/>
    <w:basedOn w:val="314"/>
    <w:next w:val="314"/>
    <w:qFormat/>
    <w:uiPriority w:val="99"/>
    <w:pPr>
      <w:tabs>
        <w:tab w:val="left" w:pos="315"/>
      </w:tabs>
      <w:spacing w:after="0" w:line="440" w:lineRule="atLeast"/>
      <w:ind w:left="1855" w:hanging="720"/>
    </w:pPr>
    <w:rPr>
      <w:rFonts w:ascii="楷体_GB2312" w:hAnsi="Calibri" w:eastAsia="楷体_GB2312" w:cs="Times New Roman"/>
      <w:color w:val="auto"/>
      <w:kern w:val="2"/>
    </w:rPr>
  </w:style>
  <w:style w:type="paragraph" w:customStyle="1" w:styleId="2434">
    <w:name w:val="小五"/>
    <w:basedOn w:val="1"/>
    <w:qFormat/>
    <w:uiPriority w:val="99"/>
    <w:pPr>
      <w:autoSpaceDE w:val="0"/>
      <w:autoSpaceDN w:val="0"/>
      <w:adjustRightInd w:val="0"/>
      <w:snapToGrid w:val="0"/>
      <w:jc w:val="left"/>
    </w:pPr>
    <w:rPr>
      <w:rFonts w:ascii="仿宋_GB2312" w:hAnsi="Calibri" w:eastAsia="仿宋_GB2312" w:cs="Calibri"/>
      <w:bCs/>
      <w:snapToGrid w:val="0"/>
      <w:kern w:val="0"/>
      <w:sz w:val="18"/>
    </w:rPr>
  </w:style>
  <w:style w:type="paragraph" w:customStyle="1" w:styleId="2435">
    <w:name w:val="文本框文字"/>
    <w:basedOn w:val="1"/>
    <w:qFormat/>
    <w:uiPriority w:val="99"/>
    <w:pPr>
      <w:framePr w:hSpace="181" w:vSpace="181" w:wrap="around" w:vAnchor="page" w:hAnchor="page" w:xAlign="center" w:yAlign="center"/>
      <w:adjustRightInd w:val="0"/>
      <w:snapToGrid w:val="0"/>
      <w:spacing w:line="240" w:lineRule="exact"/>
      <w:jc w:val="center"/>
      <w:textAlignment w:val="center"/>
    </w:pPr>
    <w:rPr>
      <w:rFonts w:ascii="宋体" w:hAnsi="Calibri" w:cs="Calibri"/>
      <w:snapToGrid w:val="0"/>
      <w:kern w:val="0"/>
      <w:sz w:val="24"/>
    </w:rPr>
  </w:style>
  <w:style w:type="paragraph" w:customStyle="1" w:styleId="2436">
    <w:name w:val="text-black"/>
    <w:basedOn w:val="1"/>
    <w:qFormat/>
    <w:uiPriority w:val="99"/>
    <w:pPr>
      <w:widowControl/>
      <w:spacing w:before="100" w:beforeAutospacing="1" w:after="100" w:afterAutospacing="1" w:line="384" w:lineRule="atLeast"/>
      <w:jc w:val="left"/>
    </w:pPr>
    <w:rPr>
      <w:rFonts w:ascii="ˎ̥" w:hAnsi="ˎ̥" w:cs="宋体"/>
      <w:color w:val="000000"/>
      <w:kern w:val="0"/>
      <w:sz w:val="20"/>
      <w:szCs w:val="20"/>
    </w:rPr>
  </w:style>
  <w:style w:type="paragraph" w:customStyle="1" w:styleId="2437">
    <w:name w:val="Char Char1 Char Char Char"/>
    <w:basedOn w:val="1"/>
    <w:qFormat/>
    <w:uiPriority w:val="99"/>
    <w:rPr>
      <w:rFonts w:ascii="Calibri" w:hAnsi="Calibri" w:cs="Calibri"/>
      <w:szCs w:val="21"/>
    </w:rPr>
  </w:style>
  <w:style w:type="paragraph" w:customStyle="1" w:styleId="2438">
    <w:name w:val="xl153"/>
    <w:basedOn w:val="1"/>
    <w:qFormat/>
    <w:uiPriority w:val="99"/>
    <w:pPr>
      <w:widowControl/>
      <w:spacing w:before="100" w:beforeAutospacing="1" w:after="100" w:afterAutospacing="1"/>
      <w:jc w:val="center"/>
      <w:textAlignment w:val="center"/>
    </w:pPr>
    <w:rPr>
      <w:rFonts w:ascii="Arial Unicode MS" w:hAnsi="Arial Unicode MS" w:cs="Calibri"/>
      <w:kern w:val="0"/>
      <w:sz w:val="16"/>
      <w:szCs w:val="16"/>
    </w:rPr>
  </w:style>
  <w:style w:type="paragraph" w:customStyle="1" w:styleId="2439">
    <w:name w:val="样式 左侧:  -0.16 厘米"/>
    <w:basedOn w:val="1"/>
    <w:qFormat/>
    <w:uiPriority w:val="0"/>
    <w:pPr>
      <w:ind w:left="-90"/>
    </w:pPr>
    <w:rPr>
      <w:rFonts w:ascii="宋体" w:hAnsi="宋体" w:cs="宋体"/>
      <w:snapToGrid w:val="0"/>
      <w:kern w:val="0"/>
      <w:sz w:val="24"/>
    </w:rPr>
  </w:style>
  <w:style w:type="paragraph" w:customStyle="1" w:styleId="2440">
    <w:name w:val="字元 字元1"/>
    <w:basedOn w:val="1"/>
    <w:qFormat/>
    <w:uiPriority w:val="0"/>
    <w:rPr>
      <w:rFonts w:ascii="Calibri" w:hAnsi="Calibri" w:cs="Calibri"/>
      <w:szCs w:val="20"/>
    </w:rPr>
  </w:style>
  <w:style w:type="paragraph" w:customStyle="1" w:styleId="2441">
    <w:name w:val="Normal Indent2"/>
    <w:basedOn w:val="1"/>
    <w:semiHidden/>
    <w:qFormat/>
    <w:uiPriority w:val="0"/>
    <w:pPr>
      <w:adjustRightInd w:val="0"/>
      <w:ind w:firstLine="420" w:firstLineChars="200"/>
      <w:textAlignment w:val="baseline"/>
    </w:pPr>
    <w:rPr>
      <w:rFonts w:hint="eastAsia" w:ascii="Calibri" w:hAnsi="宋体" w:cs="Calibri"/>
      <w:sz w:val="24"/>
      <w:szCs w:val="20"/>
    </w:rPr>
  </w:style>
  <w:style w:type="paragraph" w:customStyle="1" w:styleId="2442">
    <w:name w:val="段落1"/>
    <w:basedOn w:val="1"/>
    <w:semiHidden/>
    <w:qFormat/>
    <w:uiPriority w:val="0"/>
    <w:pPr>
      <w:adjustRightInd w:val="0"/>
      <w:spacing w:line="500" w:lineRule="exact"/>
      <w:ind w:firstLine="592" w:firstLineChars="200"/>
      <w:textAlignment w:val="baseline"/>
    </w:pPr>
    <w:rPr>
      <w:rFonts w:ascii="Calibri" w:hAnsi="Calibri" w:cs="Calibri"/>
      <w:spacing w:val="8"/>
      <w:sz w:val="28"/>
      <w:szCs w:val="20"/>
    </w:rPr>
  </w:style>
  <w:style w:type="paragraph" w:customStyle="1" w:styleId="2443">
    <w:name w:val="gb1"/>
    <w:basedOn w:val="1"/>
    <w:qFormat/>
    <w:uiPriority w:val="0"/>
    <w:pPr>
      <w:widowControl/>
      <w:tabs>
        <w:tab w:val="left" w:pos="227"/>
      </w:tabs>
      <w:overflowPunct w:val="0"/>
      <w:autoSpaceDE w:val="0"/>
      <w:autoSpaceDN w:val="0"/>
      <w:adjustRightInd w:val="0"/>
      <w:spacing w:before="120" w:after="120"/>
      <w:jc w:val="left"/>
      <w:textAlignment w:val="baseline"/>
    </w:pPr>
    <w:rPr>
      <w:rFonts w:ascii="Arial" w:hAnsi="Arial" w:eastAsia="仿宋体" w:cs="Arial"/>
      <w:kern w:val="0"/>
      <w:sz w:val="20"/>
    </w:rPr>
  </w:style>
  <w:style w:type="paragraph" w:customStyle="1" w:styleId="2444">
    <w:name w:val="reader-word-layer reader-word-s1-6"/>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445">
    <w:name w:val="Char Char Char Char Char Char Char Char Char2"/>
    <w:basedOn w:val="1"/>
    <w:qFormat/>
    <w:uiPriority w:val="99"/>
    <w:rPr>
      <w:rFonts w:ascii="Calibri" w:hAnsi="Calibri" w:cs="Calibri"/>
    </w:rPr>
  </w:style>
  <w:style w:type="paragraph" w:customStyle="1" w:styleId="2446">
    <w:name w:val="Char3 Char Char Char1"/>
    <w:basedOn w:val="1"/>
    <w:qFormat/>
    <w:uiPriority w:val="99"/>
    <w:rPr>
      <w:rFonts w:ascii="Calibri" w:hAnsi="Calibri" w:cs="Calibri"/>
      <w:sz w:val="28"/>
    </w:rPr>
  </w:style>
  <w:style w:type="paragraph" w:customStyle="1" w:styleId="2447">
    <w:name w:val="页眉 Char Char"/>
    <w:basedOn w:val="1"/>
    <w:qFormat/>
    <w:uiPriority w:val="0"/>
    <w:pPr>
      <w:tabs>
        <w:tab w:val="left" w:pos="4149"/>
        <w:tab w:val="left" w:pos="8016"/>
      </w:tabs>
      <w:spacing w:line="351" w:lineRule="atLeast"/>
      <w:ind w:firstLine="419"/>
      <w:jc w:val="center"/>
    </w:pPr>
    <w:rPr>
      <w:rFonts w:hint="eastAsia" w:ascii="Calibri" w:hAnsi="Calibri" w:cs="Calibri"/>
      <w:sz w:val="18"/>
      <w:szCs w:val="20"/>
    </w:rPr>
  </w:style>
  <w:style w:type="paragraph" w:customStyle="1" w:styleId="2448">
    <w:name w:val="Char Char Char13"/>
    <w:basedOn w:val="1"/>
    <w:semiHidden/>
    <w:qFormat/>
    <w:uiPriority w:val="0"/>
    <w:rPr>
      <w:rFonts w:ascii="Calibri" w:hAnsi="Calibri" w:cs="Calibri"/>
      <w:sz w:val="24"/>
    </w:rPr>
  </w:style>
  <w:style w:type="paragraph" w:customStyle="1" w:styleId="2449">
    <w:name w:val="Pa8"/>
    <w:basedOn w:val="1"/>
    <w:next w:val="1"/>
    <w:semiHidden/>
    <w:qFormat/>
    <w:uiPriority w:val="0"/>
    <w:pPr>
      <w:autoSpaceDE w:val="0"/>
      <w:autoSpaceDN w:val="0"/>
      <w:adjustRightInd w:val="0"/>
      <w:spacing w:before="140" w:after="140" w:line="211" w:lineRule="atLeast"/>
      <w:jc w:val="left"/>
    </w:pPr>
    <w:rPr>
      <w:rFonts w:ascii="宋体" w:hAnsi="Calibri" w:cs="Calibri"/>
      <w:kern w:val="0"/>
      <w:sz w:val="24"/>
    </w:rPr>
  </w:style>
  <w:style w:type="paragraph" w:customStyle="1" w:styleId="2450">
    <w:name w:val="表格文字居中 Char"/>
    <w:basedOn w:val="67"/>
    <w:qFormat/>
    <w:uiPriority w:val="99"/>
    <w:pPr>
      <w:keepNext/>
      <w:tabs>
        <w:tab w:val="left" w:pos="-1820"/>
        <w:tab w:val="left" w:pos="1727"/>
        <w:tab w:val="left" w:pos="1884"/>
      </w:tabs>
      <w:spacing w:line="360" w:lineRule="auto"/>
      <w:ind w:left="-2" w:leftChars="-4" w:right="-176" w:rightChars="-84" w:hanging="6" w:firstLineChars="0"/>
    </w:pPr>
    <w:rPr>
      <w:rFonts w:ascii="楷体_GB2312" w:hAnsi="楷体_GB2312" w:eastAsia="楷体_GB2312" w:cs="Calibri"/>
      <w:kern w:val="0"/>
      <w:sz w:val="21"/>
      <w:szCs w:val="21"/>
    </w:rPr>
  </w:style>
  <w:style w:type="paragraph" w:customStyle="1" w:styleId="2451">
    <w:name w:val="样式 chen + 首行缩进:  2 字符"/>
    <w:basedOn w:val="1"/>
    <w:qFormat/>
    <w:uiPriority w:val="0"/>
    <w:pPr>
      <w:spacing w:line="500" w:lineRule="exact"/>
      <w:ind w:firstLine="560" w:firstLineChars="200"/>
    </w:pPr>
    <w:rPr>
      <w:rFonts w:ascii="Calibri" w:hAnsi="Calibri" w:cs="宋体"/>
      <w:color w:val="000000"/>
      <w:sz w:val="28"/>
      <w:szCs w:val="20"/>
    </w:rPr>
  </w:style>
  <w:style w:type="paragraph" w:customStyle="1" w:styleId="2452">
    <w:name w:val="4级标题"/>
    <w:basedOn w:val="2453"/>
    <w:qFormat/>
    <w:uiPriority w:val="0"/>
    <w:pPr>
      <w:spacing w:before="60" w:line="460" w:lineRule="exact"/>
      <w:ind w:firstLine="200" w:firstLineChars="200"/>
    </w:pPr>
    <w:rPr>
      <w:rFonts w:ascii="@黑体" w:hAnsi="@黑体" w:eastAsia="@黑体" w:cs="Calibri"/>
      <w:sz w:val="24"/>
    </w:rPr>
  </w:style>
  <w:style w:type="paragraph" w:customStyle="1" w:styleId="2453">
    <w:name w:val="3级标题"/>
    <w:basedOn w:val="2454"/>
    <w:qFormat/>
    <w:uiPriority w:val="0"/>
    <w:pPr>
      <w:keepNext/>
      <w:keepLines/>
      <w:adjustRightInd w:val="0"/>
      <w:snapToGrid w:val="0"/>
      <w:spacing w:before="80" w:after="80" w:line="400" w:lineRule="exact"/>
      <w:outlineLvl w:val="2"/>
    </w:pPr>
    <w:rPr>
      <w:rFonts w:ascii="Calibri" w:hAnsi="Calibri" w:cs="Calibri"/>
      <w:color w:val="000000"/>
      <w:sz w:val="24"/>
      <w:szCs w:val="20"/>
    </w:rPr>
  </w:style>
  <w:style w:type="paragraph" w:customStyle="1" w:styleId="2454">
    <w:name w:val="标题3（报告书）"/>
    <w:basedOn w:val="2455"/>
    <w:qFormat/>
    <w:uiPriority w:val="0"/>
    <w:pPr>
      <w:spacing w:beforeLines="50" w:after="0" w:line="360" w:lineRule="auto"/>
      <w:ind w:firstLine="0" w:firstLineChars="0"/>
      <w:jc w:val="both"/>
    </w:pPr>
    <w:rPr>
      <w:rFonts w:ascii="Times New Roman" w:hAnsi="Times New Roman"/>
      <w:b/>
      <w:sz w:val="28"/>
    </w:rPr>
  </w:style>
  <w:style w:type="paragraph" w:customStyle="1" w:styleId="2455">
    <w:name w:val="标题 #3"/>
    <w:basedOn w:val="1"/>
    <w:qFormat/>
    <w:uiPriority w:val="0"/>
    <w:pPr>
      <w:shd w:val="clear" w:color="auto" w:fill="FFFFFF"/>
      <w:spacing w:before="120" w:after="700" w:line="232" w:lineRule="exact"/>
      <w:jc w:val="left"/>
      <w:outlineLvl w:val="2"/>
    </w:pPr>
    <w:rPr>
      <w:rFonts w:ascii="宋体" w:hAnsi="宋体" w:cs="宋体"/>
      <w:kern w:val="0"/>
      <w:sz w:val="20"/>
      <w:szCs w:val="20"/>
      <w:lang w:eastAsia="en-US" w:bidi="en-US"/>
    </w:rPr>
  </w:style>
  <w:style w:type="paragraph" w:customStyle="1" w:styleId="2456">
    <w:name w:val="xl306"/>
    <w:basedOn w:val="1"/>
    <w:semiHidden/>
    <w:qFormat/>
    <w:uiPriority w:val="0"/>
    <w:pPr>
      <w:widowControl/>
      <w:pBdr>
        <w:top w:val="single" w:color="auto" w:sz="8" w:space="0"/>
        <w:left w:val="single" w:color="auto" w:sz="8" w:space="0"/>
        <w:right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2457">
    <w:name w:val="BT3"/>
    <w:basedOn w:val="5"/>
    <w:semiHidden/>
    <w:qFormat/>
    <w:uiPriority w:val="0"/>
    <w:pPr>
      <w:numPr>
        <w:ilvl w:val="0"/>
        <w:numId w:val="0"/>
      </w:numPr>
      <w:tabs>
        <w:tab w:val="left" w:pos="1276"/>
      </w:tabs>
      <w:adjustRightInd w:val="0"/>
      <w:spacing w:before="0" w:after="0" w:line="415" w:lineRule="auto"/>
      <w:ind w:left="1276" w:hanging="720"/>
    </w:pPr>
    <w:rPr>
      <w:rFonts w:cs="Calibri"/>
      <w:b w:val="0"/>
      <w:sz w:val="24"/>
      <w:lang w:val="en-US"/>
    </w:rPr>
  </w:style>
  <w:style w:type="paragraph" w:customStyle="1" w:styleId="2458">
    <w:name w:val="xl41"/>
    <w:basedOn w:val="1"/>
    <w:qFormat/>
    <w:uiPriority w:val="0"/>
    <w:pPr>
      <w:widowControl/>
      <w:pBdr>
        <w:left w:val="single" w:color="auto" w:sz="12" w:space="0"/>
        <w:right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459">
    <w:name w:val="正文带编号"/>
    <w:basedOn w:val="1"/>
    <w:semiHidden/>
    <w:qFormat/>
    <w:uiPriority w:val="0"/>
    <w:pPr>
      <w:numPr>
        <w:ilvl w:val="0"/>
        <w:numId w:val="9"/>
      </w:numPr>
      <w:tabs>
        <w:tab w:val="left" w:pos="0"/>
      </w:tabs>
      <w:spacing w:line="500" w:lineRule="exact"/>
    </w:pPr>
    <w:rPr>
      <w:rFonts w:ascii="宋体" w:hAnsi="宋体" w:cs="Calibri"/>
      <w:color w:val="000000"/>
      <w:sz w:val="28"/>
      <w:szCs w:val="28"/>
    </w:rPr>
  </w:style>
  <w:style w:type="paragraph" w:customStyle="1" w:styleId="2460">
    <w:name w:val="xl322"/>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461">
    <w:name w:val="样式13"/>
    <w:basedOn w:val="1"/>
    <w:qFormat/>
    <w:uiPriority w:val="0"/>
    <w:pPr>
      <w:spacing w:line="360" w:lineRule="exact"/>
      <w:jc w:val="center"/>
    </w:pPr>
    <w:rPr>
      <w:rFonts w:ascii="宋体" w:hAnsi="宋体" w:cs="Calibri"/>
      <w:sz w:val="24"/>
    </w:rPr>
  </w:style>
  <w:style w:type="paragraph" w:customStyle="1" w:styleId="2462">
    <w:name w:val="Char4 Char Char Char Char Char Char Char Char Char Char Char Char Char Char Char Char Char1 Char Char Char Char Char Char1 Char Char Char Char Char Char Char Char Char Char Char Char Char Char Char Char Char Char Char"/>
    <w:basedOn w:val="1"/>
    <w:semiHidden/>
    <w:qFormat/>
    <w:uiPriority w:val="0"/>
    <w:pPr>
      <w:spacing w:line="240" w:lineRule="exact"/>
      <w:ind w:firstLine="200" w:firstLineChars="200"/>
    </w:pPr>
    <w:rPr>
      <w:rFonts w:ascii="Calibri" w:hAnsi="Calibri" w:cs="Calibri"/>
      <w:sz w:val="28"/>
      <w:szCs w:val="28"/>
    </w:rPr>
  </w:style>
  <w:style w:type="paragraph" w:customStyle="1" w:styleId="2463">
    <w:name w:val="保留正文"/>
    <w:basedOn w:val="1"/>
    <w:semiHidden/>
    <w:qFormat/>
    <w:uiPriority w:val="0"/>
    <w:pPr>
      <w:keepNext/>
      <w:adjustRightInd w:val="0"/>
      <w:spacing w:after="160" w:line="480" w:lineRule="auto"/>
      <w:textAlignment w:val="baseline"/>
    </w:pPr>
    <w:rPr>
      <w:rFonts w:ascii="@黑体" w:hAnsi="@黑体" w:eastAsia="黑体" w:cs="Calibri"/>
      <w:kern w:val="0"/>
      <w:sz w:val="24"/>
      <w:szCs w:val="20"/>
    </w:rPr>
  </w:style>
  <w:style w:type="paragraph" w:customStyle="1" w:styleId="2464">
    <w:name w:val="文本居中"/>
    <w:basedOn w:val="1"/>
    <w:qFormat/>
    <w:uiPriority w:val="99"/>
    <w:pPr>
      <w:adjustRightInd w:val="0"/>
      <w:spacing w:line="360" w:lineRule="auto"/>
      <w:jc w:val="center"/>
    </w:pPr>
    <w:rPr>
      <w:rFonts w:ascii="Calibri" w:hAnsi="Calibri" w:cs="Calibri"/>
      <w:sz w:val="28"/>
    </w:rPr>
  </w:style>
  <w:style w:type="paragraph" w:customStyle="1" w:styleId="2465">
    <w:name w:val="Char Char Char Char Char Char Char Char 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2466">
    <w:name w:val="reader-word-layer reader-word-s1-3"/>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467">
    <w:name w:val="xl127"/>
    <w:basedOn w:val="1"/>
    <w:qFormat/>
    <w:uiPriority w:val="99"/>
    <w:pPr>
      <w:widowControl/>
      <w:pBdr>
        <w:top w:val="single" w:color="auto" w:sz="8" w:space="0"/>
        <w:bottom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468">
    <w:name w:val="mytext1"/>
    <w:basedOn w:val="1"/>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2469">
    <w:name w:val="Char Char Char1 Char Char Char Char Char Char Char Char Char Char Char Char Char Char Char Char"/>
    <w:basedOn w:val="1"/>
    <w:qFormat/>
    <w:uiPriority w:val="0"/>
    <w:pPr>
      <w:spacing w:line="360" w:lineRule="auto"/>
      <w:ind w:firstLine="200" w:firstLineChars="200"/>
    </w:pPr>
    <w:rPr>
      <w:rFonts w:ascii="宋体" w:hAnsi="宋体" w:cs="宋体"/>
      <w:sz w:val="24"/>
      <w:szCs w:val="21"/>
    </w:rPr>
  </w:style>
  <w:style w:type="paragraph" w:customStyle="1" w:styleId="2470">
    <w:name w:val="Char31"/>
    <w:basedOn w:val="1"/>
    <w:qFormat/>
    <w:uiPriority w:val="0"/>
    <w:rPr>
      <w:rFonts w:ascii="Calibri" w:hAnsi="Calibri" w:cs="Calibri"/>
      <w:sz w:val="24"/>
    </w:rPr>
  </w:style>
  <w:style w:type="paragraph" w:customStyle="1" w:styleId="2471">
    <w:name w:val="样式 表格 + 行距: 单倍行距"/>
    <w:basedOn w:val="167"/>
    <w:semiHidden/>
    <w:qFormat/>
    <w:uiPriority w:val="0"/>
    <w:pPr>
      <w:widowControl/>
      <w:autoSpaceDE w:val="0"/>
      <w:autoSpaceDN w:val="0"/>
      <w:adjustRightInd/>
      <w:spacing w:beforeLines="0" w:afterLines="0" w:line="240" w:lineRule="auto"/>
    </w:pPr>
    <w:rPr>
      <w:rFonts w:ascii="仿宋_GB2312" w:hAnsi="仿宋_GB2312" w:cs="宋体"/>
      <w:snapToGrid w:val="0"/>
      <w:color w:val="000000"/>
      <w:kern w:val="2"/>
      <w:sz w:val="24"/>
      <w:szCs w:val="24"/>
      <w:lang w:val="en-US"/>
    </w:rPr>
  </w:style>
  <w:style w:type="paragraph" w:customStyle="1" w:styleId="2472">
    <w:name w:val="xl338"/>
    <w:basedOn w:val="1"/>
    <w:semiHidden/>
    <w:qFormat/>
    <w:uiPriority w:val="0"/>
    <w:pPr>
      <w:widowControl/>
      <w:pBdr>
        <w:left w:val="single" w:color="auto" w:sz="12"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473">
    <w:name w:val="Char1 Char Char Char9"/>
    <w:basedOn w:val="1"/>
    <w:semiHidden/>
    <w:qFormat/>
    <w:uiPriority w:val="0"/>
    <w:rPr>
      <w:rFonts w:ascii="Tahoma" w:hAnsi="Tahoma" w:cs="Calibri"/>
      <w:sz w:val="24"/>
      <w:szCs w:val="20"/>
    </w:rPr>
  </w:style>
  <w:style w:type="paragraph" w:customStyle="1" w:styleId="2474">
    <w:name w:val="Char Char Char1 Char Char Char Char Char Char Char Char Char Char Char Char Char Char Char1 Char Char Char Char Char Char Char Char Char Char Char Char Char Char Char Char Char Char Char Char Char Char Char Char Char Char"/>
    <w:basedOn w:val="1"/>
    <w:semiHidden/>
    <w:qFormat/>
    <w:uiPriority w:val="0"/>
    <w:rPr>
      <w:rFonts w:ascii="Calibri" w:hAnsi="Calibri" w:cs="Calibri"/>
      <w:szCs w:val="21"/>
    </w:rPr>
  </w:style>
  <w:style w:type="paragraph" w:customStyle="1" w:styleId="2475">
    <w:name w:val="Char Char Char1 Char Char Char Char Char Char Char Char Char Char Char Char Char Char Char1 Char Char Char Char Char Char Char Char Char Char Char Char2"/>
    <w:basedOn w:val="1"/>
    <w:semiHidden/>
    <w:qFormat/>
    <w:uiPriority w:val="0"/>
    <w:rPr>
      <w:rFonts w:ascii="Calibri" w:hAnsi="Calibri" w:cs="Calibri"/>
      <w:szCs w:val="21"/>
    </w:rPr>
  </w:style>
  <w:style w:type="paragraph" w:customStyle="1" w:styleId="2476">
    <w:name w:val="图注"/>
    <w:basedOn w:val="1"/>
    <w:next w:val="1"/>
    <w:qFormat/>
    <w:uiPriority w:val="0"/>
    <w:pPr>
      <w:spacing w:before="120" w:line="320" w:lineRule="atLeast"/>
      <w:ind w:left="7" w:leftChars="-27" w:hanging="72" w:hangingChars="30"/>
      <w:jc w:val="center"/>
    </w:pPr>
    <w:rPr>
      <w:rFonts w:ascii="宋体" w:hAnsi="宋体" w:cs="Calibri"/>
      <w:bCs/>
      <w:color w:val="000000"/>
      <w:kern w:val="0"/>
      <w:sz w:val="24"/>
    </w:rPr>
  </w:style>
  <w:style w:type="paragraph" w:customStyle="1" w:styleId="2477">
    <w:name w:val="xl190"/>
    <w:basedOn w:val="1"/>
    <w:qFormat/>
    <w:uiPriority w:val="99"/>
    <w:pPr>
      <w:widowControl/>
      <w:pBdr>
        <w:top w:val="single" w:color="auto" w:sz="12" w:space="0"/>
      </w:pBdr>
      <w:spacing w:before="100" w:beforeAutospacing="1" w:after="100" w:afterAutospacing="1"/>
      <w:jc w:val="left"/>
      <w:textAlignment w:val="center"/>
    </w:pPr>
    <w:rPr>
      <w:rFonts w:ascii="Arial Unicode MS" w:hAnsi="Arial Unicode MS" w:cs="Calibri"/>
      <w:kern w:val="0"/>
      <w:sz w:val="12"/>
      <w:szCs w:val="12"/>
    </w:rPr>
  </w:style>
  <w:style w:type="paragraph" w:customStyle="1" w:styleId="2478">
    <w:name w:val="xl207"/>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2479">
    <w:name w:val="xl309"/>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480">
    <w:name w:val="样式15"/>
    <w:basedOn w:val="1"/>
    <w:qFormat/>
    <w:uiPriority w:val="0"/>
    <w:pPr>
      <w:shd w:val="clear" w:color="auto" w:fill="FFFFFF"/>
      <w:adjustRightInd w:val="0"/>
      <w:jc w:val="center"/>
      <w:textAlignment w:val="baseline"/>
    </w:pPr>
    <w:rPr>
      <w:rFonts w:ascii="仿宋_GB2312" w:hAnsi="宋体" w:eastAsia="仿宋_GB2312" w:cs="Calibri"/>
      <w:sz w:val="24"/>
    </w:rPr>
  </w:style>
  <w:style w:type="paragraph" w:customStyle="1" w:styleId="2481">
    <w:name w:val="样式 标题 3 + 段前: 0 磅 段后: 0 磅 行距: 1.5 倍行距"/>
    <w:basedOn w:val="5"/>
    <w:qFormat/>
    <w:uiPriority w:val="99"/>
    <w:pPr>
      <w:keepNext w:val="0"/>
      <w:keepLines w:val="0"/>
      <w:numPr>
        <w:ilvl w:val="0"/>
        <w:numId w:val="0"/>
      </w:numPr>
      <w:adjustRightInd w:val="0"/>
      <w:spacing w:before="0" w:after="0" w:line="240" w:lineRule="exact"/>
      <w:jc w:val="center"/>
      <w:outlineLvl w:val="9"/>
    </w:pPr>
    <w:rPr>
      <w:rFonts w:eastAsia="楷体_GB2312" w:cs="Calibri"/>
      <w:bCs w:val="0"/>
      <w:sz w:val="21"/>
      <w:szCs w:val="21"/>
      <w:lang w:val="en-US"/>
    </w:rPr>
  </w:style>
  <w:style w:type="paragraph" w:customStyle="1" w:styleId="2482">
    <w:name w:val="xl139"/>
    <w:basedOn w:val="1"/>
    <w:qFormat/>
    <w:uiPriority w:val="99"/>
    <w:pPr>
      <w:widowControl/>
      <w:spacing w:before="100" w:beforeAutospacing="1" w:after="100" w:afterAutospacing="1"/>
      <w:jc w:val="center"/>
      <w:textAlignment w:val="center"/>
    </w:pPr>
    <w:rPr>
      <w:rFonts w:ascii="Arial Unicode MS" w:hAnsi="Arial Unicode MS" w:cs="Calibri"/>
      <w:kern w:val="0"/>
      <w:sz w:val="16"/>
      <w:szCs w:val="16"/>
    </w:rPr>
  </w:style>
  <w:style w:type="paragraph" w:customStyle="1" w:styleId="2483">
    <w:name w:val="Char Char Char1 Char Char Char Char Char Char Char Char Char Char Char Char Char Char Char1 Char Char Char Char Char Char Char Char Char Char Char Char Char Char Char Char Char Char Char Char Char Char Char Char Char Char Char Char Char Char"/>
    <w:basedOn w:val="1"/>
    <w:qFormat/>
    <w:uiPriority w:val="0"/>
    <w:pPr>
      <w:spacing w:line="240" w:lineRule="exact"/>
      <w:ind w:firstLine="200" w:firstLineChars="200"/>
    </w:pPr>
    <w:rPr>
      <w:rFonts w:ascii="Calibri" w:hAnsi="Calibri" w:cs="Calibri"/>
      <w:sz w:val="28"/>
      <w:szCs w:val="28"/>
    </w:rPr>
  </w:style>
  <w:style w:type="paragraph" w:customStyle="1" w:styleId="2484">
    <w:name w:val="Char Char Char Char Char Char Char Char Char Char Char Char Char Char Char Char Char Char Char Char Char Char Char Char Char Char Char Char Char Char Char Char Char Char Char Char Char Char"/>
    <w:basedOn w:val="1"/>
    <w:semiHidden/>
    <w:qFormat/>
    <w:uiPriority w:val="0"/>
    <w:rPr>
      <w:rFonts w:ascii="Calibri" w:hAnsi="Calibri" w:cs="Calibri"/>
      <w:sz w:val="24"/>
    </w:rPr>
  </w:style>
  <w:style w:type="paragraph" w:customStyle="1" w:styleId="2485">
    <w:name w:val="InstÀÀll"/>
    <w:qFormat/>
    <w:uiPriority w:val="99"/>
    <w:pPr>
      <w:tabs>
        <w:tab w:val="left" w:pos="-720"/>
      </w:tabs>
      <w:suppressAutoHyphens/>
      <w:jc w:val="both"/>
    </w:pPr>
    <w:rPr>
      <w:rFonts w:ascii="Courier" w:hAnsi="Courier" w:eastAsia="宋体" w:cs="Calibri"/>
      <w:spacing w:val="-3"/>
      <w:sz w:val="24"/>
      <w:lang w:val="en-US" w:eastAsia="sv-SE" w:bidi="ar-SA"/>
    </w:rPr>
  </w:style>
  <w:style w:type="paragraph" w:customStyle="1" w:styleId="2486">
    <w:name w:val="标准文本 居中 行距1.5倍"/>
    <w:basedOn w:val="1"/>
    <w:semiHidden/>
    <w:qFormat/>
    <w:uiPriority w:val="0"/>
    <w:pPr>
      <w:spacing w:line="360" w:lineRule="auto"/>
      <w:jc w:val="center"/>
      <w:textAlignment w:val="center"/>
    </w:pPr>
    <w:rPr>
      <w:rFonts w:ascii="Calibri" w:hAnsi="Calibri" w:cs="宋体"/>
      <w:sz w:val="24"/>
    </w:rPr>
  </w:style>
  <w:style w:type="paragraph" w:customStyle="1" w:styleId="2487">
    <w:name w:val="xl219"/>
    <w:basedOn w:val="1"/>
    <w:semiHidden/>
    <w:qFormat/>
    <w:uiPriority w:val="0"/>
    <w:pPr>
      <w:widowControl/>
      <w:pBdr>
        <w:top w:val="single" w:color="auto" w:sz="8" w:space="0"/>
        <w:left w:val="single" w:color="auto" w:sz="8" w:space="0"/>
        <w:right w:val="single" w:color="auto" w:sz="12" w:space="0"/>
      </w:pBdr>
      <w:spacing w:before="100" w:beforeAutospacing="1" w:after="100" w:afterAutospacing="1"/>
      <w:jc w:val="center"/>
    </w:pPr>
    <w:rPr>
      <w:rFonts w:ascii="Calibri" w:hAnsi="Calibri" w:cs="Calibri"/>
      <w:color w:val="FFFF00"/>
      <w:kern w:val="0"/>
      <w:sz w:val="18"/>
      <w:szCs w:val="18"/>
    </w:rPr>
  </w:style>
  <w:style w:type="paragraph" w:customStyle="1" w:styleId="2488">
    <w:name w:val="字元 字元 字元"/>
    <w:basedOn w:val="1"/>
    <w:qFormat/>
    <w:uiPriority w:val="0"/>
    <w:rPr>
      <w:rFonts w:ascii="Calibri" w:hAnsi="Calibri" w:cs="Calibri"/>
      <w:szCs w:val="20"/>
    </w:rPr>
  </w:style>
  <w:style w:type="paragraph" w:customStyle="1" w:styleId="2489">
    <w:name w:val="Char Char Char Char Char Char Char Char Char1 Char Char Char Char Char Char1 Char1"/>
    <w:basedOn w:val="1"/>
    <w:qFormat/>
    <w:uiPriority w:val="99"/>
    <w:rPr>
      <w:rFonts w:ascii="Calibri" w:hAnsi="Calibri" w:cs="Calibri"/>
      <w:szCs w:val="21"/>
    </w:rPr>
  </w:style>
  <w:style w:type="paragraph" w:customStyle="1" w:styleId="2490">
    <w:name w:val="xl215"/>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491">
    <w:name w:val="条2"/>
    <w:basedOn w:val="1"/>
    <w:next w:val="1"/>
    <w:qFormat/>
    <w:uiPriority w:val="99"/>
    <w:pPr>
      <w:tabs>
        <w:tab w:val="left" w:pos="1080"/>
      </w:tabs>
      <w:outlineLvl w:val="1"/>
    </w:pPr>
    <w:rPr>
      <w:rFonts w:hint="eastAsia" w:ascii="黑体" w:hAnsi="Calibri" w:eastAsia="黑体" w:cs="Calibri"/>
      <w:kern w:val="21"/>
      <w:szCs w:val="20"/>
    </w:rPr>
  </w:style>
  <w:style w:type="paragraph" w:customStyle="1" w:styleId="2492">
    <w:name w:val="Char Char Char Char Char Char Char Char Char1 Char Char Char Char Char Char1 Char4"/>
    <w:basedOn w:val="1"/>
    <w:semiHidden/>
    <w:qFormat/>
    <w:uiPriority w:val="0"/>
    <w:rPr>
      <w:rFonts w:ascii="Calibri" w:hAnsi="Calibri" w:cs="Calibri"/>
      <w:szCs w:val="21"/>
    </w:rPr>
  </w:style>
  <w:style w:type="paragraph" w:customStyle="1" w:styleId="2493">
    <w:name w:val="样式 小四 行距: 固定值 24 磅"/>
    <w:basedOn w:val="1"/>
    <w:qFormat/>
    <w:uiPriority w:val="99"/>
    <w:pPr>
      <w:spacing w:line="500" w:lineRule="exact"/>
      <w:ind w:firstLine="200" w:firstLineChars="200"/>
    </w:pPr>
    <w:rPr>
      <w:rFonts w:ascii="Calibri" w:hAnsi="Calibri" w:cs="Calibri"/>
      <w:color w:val="000000"/>
      <w:sz w:val="28"/>
    </w:rPr>
  </w:style>
  <w:style w:type="paragraph" w:customStyle="1" w:styleId="2494">
    <w:name w:val="xl178"/>
    <w:basedOn w:val="1"/>
    <w:qFormat/>
    <w:uiPriority w:val="99"/>
    <w:pPr>
      <w:widowControl/>
      <w:spacing w:before="100" w:beforeAutospacing="1" w:after="100" w:afterAutospacing="1"/>
      <w:jc w:val="center"/>
    </w:pPr>
    <w:rPr>
      <w:rFonts w:ascii="Arial Unicode MS" w:hAnsi="Arial Unicode MS" w:cs="Calibri"/>
      <w:kern w:val="0"/>
      <w:sz w:val="12"/>
      <w:szCs w:val="12"/>
    </w:rPr>
  </w:style>
  <w:style w:type="paragraph" w:customStyle="1" w:styleId="2495">
    <w:name w:val="Char Char2 Char Char Char Char Char Char"/>
    <w:basedOn w:val="1"/>
    <w:qFormat/>
    <w:uiPriority w:val="99"/>
    <w:pPr>
      <w:spacing w:line="480" w:lineRule="exact"/>
    </w:pPr>
    <w:rPr>
      <w:rFonts w:ascii="Calibri" w:hAnsi="Calibri" w:cs="Calibri"/>
      <w:sz w:val="22"/>
    </w:rPr>
  </w:style>
  <w:style w:type="paragraph" w:customStyle="1" w:styleId="2496">
    <w:name w:val="Char Char Char Char Char Char Char Char Char Char 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2497">
    <w:name w:val="条"/>
    <w:basedOn w:val="1"/>
    <w:qFormat/>
    <w:uiPriority w:val="99"/>
    <w:pPr>
      <w:spacing w:line="360" w:lineRule="auto"/>
    </w:pPr>
    <w:rPr>
      <w:rFonts w:ascii="Calibri" w:hAnsi="Calibri" w:cs="Calibri"/>
      <w:szCs w:val="20"/>
    </w:rPr>
  </w:style>
  <w:style w:type="paragraph" w:customStyle="1" w:styleId="2498">
    <w:name w:val="正文文本缩进1"/>
    <w:basedOn w:val="1"/>
    <w:qFormat/>
    <w:uiPriority w:val="99"/>
    <w:pPr>
      <w:spacing w:after="120" w:line="360" w:lineRule="auto"/>
      <w:ind w:left="420" w:leftChars="200" w:firstLine="200" w:firstLineChars="200"/>
    </w:pPr>
    <w:rPr>
      <w:rFonts w:ascii="Calibri" w:hAnsi="Calibri" w:cs="Calibri"/>
      <w:sz w:val="24"/>
    </w:rPr>
  </w:style>
  <w:style w:type="paragraph" w:customStyle="1" w:styleId="2499">
    <w:name w:val="正文02"/>
    <w:basedOn w:val="47"/>
    <w:semiHidden/>
    <w:qFormat/>
    <w:uiPriority w:val="0"/>
    <w:pPr>
      <w:widowControl/>
      <w:spacing w:before="300" w:line="460" w:lineRule="exact"/>
    </w:pPr>
    <w:rPr>
      <w:rFonts w:ascii="Times New Roman" w:hAnsi="Times New Roman" w:cs="宋体"/>
      <w:kern w:val="0"/>
      <w:sz w:val="24"/>
      <w:lang w:val="en-US"/>
    </w:rPr>
  </w:style>
  <w:style w:type="paragraph" w:customStyle="1" w:styleId="2500">
    <w:name w:val="layer3"/>
    <w:basedOn w:val="1"/>
    <w:next w:val="23"/>
    <w:semiHidden/>
    <w:qFormat/>
    <w:uiPriority w:val="0"/>
    <w:pPr>
      <w:spacing w:before="120" w:after="120" w:line="300" w:lineRule="auto"/>
    </w:pPr>
    <w:rPr>
      <w:rFonts w:ascii="Calibri" w:hAnsi="Calibri" w:eastAsia="楷体_GB2312" w:cs="Calibri"/>
      <w:b/>
      <w:sz w:val="32"/>
      <w:szCs w:val="20"/>
    </w:rPr>
  </w:style>
  <w:style w:type="paragraph" w:customStyle="1" w:styleId="2501">
    <w:name w:val="样式 正文文本 + 四号 段后: 0 磅 行距: 固定值 24 磅"/>
    <w:basedOn w:val="36"/>
    <w:semiHidden/>
    <w:qFormat/>
    <w:uiPriority w:val="0"/>
    <w:pPr>
      <w:widowControl w:val="0"/>
      <w:snapToGrid/>
      <w:spacing w:before="0" w:after="0" w:line="480" w:lineRule="exact"/>
      <w:ind w:right="0" w:firstLine="630" w:firstLineChars="225"/>
    </w:pPr>
    <w:rPr>
      <w:rFonts w:ascii="@黑体" w:hAnsi="@黑体" w:eastAsia="黑体" w:cs="Calibri"/>
      <w:kern w:val="2"/>
      <w:sz w:val="28"/>
      <w:lang w:val="en-US"/>
    </w:rPr>
  </w:style>
  <w:style w:type="paragraph" w:customStyle="1" w:styleId="2502">
    <w:name w:val="正文表标题"/>
    <w:next w:val="1"/>
    <w:qFormat/>
    <w:uiPriority w:val="99"/>
    <w:pPr>
      <w:tabs>
        <w:tab w:val="left" w:pos="180"/>
      </w:tabs>
      <w:ind w:left="180" w:hanging="180"/>
      <w:jc w:val="center"/>
    </w:pPr>
    <w:rPr>
      <w:rFonts w:ascii="黑体" w:hAnsi="Calibri" w:eastAsia="黑体" w:cs="Calibri"/>
      <w:sz w:val="21"/>
      <w:lang w:val="en-US" w:eastAsia="zh-CN" w:bidi="ar-SA"/>
    </w:rPr>
  </w:style>
  <w:style w:type="paragraph" w:customStyle="1" w:styleId="2503">
    <w:name w:val="Char Char Char Char Char Char Char Char Char Char Char1 Char Char Char Char Char Char Char Char Char Char Char Char Char Char Char Char3"/>
    <w:basedOn w:val="1"/>
    <w:semiHidden/>
    <w:qFormat/>
    <w:uiPriority w:val="0"/>
    <w:rPr>
      <w:rFonts w:ascii="Calibri" w:hAnsi="Calibri" w:cs="Calibri"/>
      <w:sz w:val="24"/>
    </w:rPr>
  </w:style>
  <w:style w:type="paragraph" w:customStyle="1" w:styleId="2504">
    <w:name w:val="正文文本缩进 21"/>
    <w:basedOn w:val="1"/>
    <w:qFormat/>
    <w:uiPriority w:val="99"/>
    <w:pPr>
      <w:adjustRightInd w:val="0"/>
      <w:spacing w:line="480" w:lineRule="atLeast"/>
      <w:ind w:firstLine="630"/>
      <w:textAlignment w:val="baseline"/>
    </w:pPr>
    <w:rPr>
      <w:rFonts w:ascii="宋体" w:hAnsi="Calibri" w:cs="Calibri"/>
      <w:sz w:val="28"/>
      <w:szCs w:val="20"/>
    </w:rPr>
  </w:style>
  <w:style w:type="paragraph" w:customStyle="1" w:styleId="2505">
    <w:name w:val="Title 02"/>
    <w:basedOn w:val="1"/>
    <w:semiHidden/>
    <w:qFormat/>
    <w:uiPriority w:val="0"/>
    <w:pPr>
      <w:jc w:val="center"/>
    </w:pPr>
    <w:rPr>
      <w:rFonts w:ascii="黑体" w:hAnsi="Calibri" w:eastAsia="黑体" w:cs="宋体"/>
      <w:sz w:val="52"/>
      <w:szCs w:val="20"/>
    </w:rPr>
  </w:style>
  <w:style w:type="paragraph" w:customStyle="1" w:styleId="2506">
    <w:name w:val="xl177"/>
    <w:basedOn w:val="1"/>
    <w:qFormat/>
    <w:uiPriority w:val="99"/>
    <w:pPr>
      <w:widowControl/>
      <w:pBdr>
        <w:left w:val="single" w:color="auto" w:sz="4" w:space="0"/>
      </w:pBdr>
      <w:spacing w:before="100" w:beforeAutospacing="1" w:after="100" w:afterAutospacing="1"/>
      <w:jc w:val="center"/>
    </w:pPr>
    <w:rPr>
      <w:rFonts w:ascii="Arial Unicode MS" w:hAnsi="Arial Unicode MS" w:cs="Calibri"/>
      <w:kern w:val="0"/>
      <w:sz w:val="12"/>
      <w:szCs w:val="12"/>
    </w:rPr>
  </w:style>
  <w:style w:type="paragraph" w:customStyle="1" w:styleId="2507">
    <w:name w:val="图号"/>
    <w:basedOn w:val="84"/>
    <w:semiHidden/>
    <w:qFormat/>
    <w:uiPriority w:val="0"/>
    <w:pPr>
      <w:widowControl w:val="0"/>
      <w:snapToGrid/>
      <w:spacing w:line="240" w:lineRule="auto"/>
      <w:ind w:left="198" w:firstLine="0" w:firstLineChars="0"/>
      <w:textAlignment w:val="baseline"/>
    </w:pPr>
    <w:rPr>
      <w:rFonts w:ascii="Calibri" w:hAnsi="Calibri" w:cs="Calibri"/>
      <w:b/>
      <w:bCs/>
      <w:kern w:val="32"/>
      <w:lang w:eastAsia="zh-CN" w:bidi="ar-SA"/>
    </w:rPr>
  </w:style>
  <w:style w:type="paragraph" w:customStyle="1" w:styleId="2508">
    <w:name w:val="xl237"/>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509">
    <w:name w:val="样式 标题 4 + (西文) Times New Roman (中文) 宋体 非加粗 黑色 段前: 0 磅 段后: 0...1"/>
    <w:basedOn w:val="6"/>
    <w:semiHidden/>
    <w:qFormat/>
    <w:uiPriority w:val="0"/>
    <w:pPr>
      <w:numPr>
        <w:ilvl w:val="0"/>
        <w:numId w:val="0"/>
      </w:numPr>
      <w:adjustRightInd w:val="0"/>
      <w:spacing w:before="0" w:after="0" w:line="480" w:lineRule="exact"/>
      <w:ind w:firstLine="426" w:firstLineChars="152"/>
    </w:pPr>
    <w:rPr>
      <w:rFonts w:ascii="Times New Roman" w:hAnsi="Times New Roman" w:eastAsia="宋体" w:cs="宋体"/>
      <w:b w:val="0"/>
      <w:color w:val="000000"/>
      <w:kern w:val="28"/>
      <w:lang w:val="en-US"/>
    </w:rPr>
  </w:style>
  <w:style w:type="paragraph" w:customStyle="1" w:styleId="2510">
    <w:name w:val="Char Char Char Char Char1 Char Char Char Char Char Char Char Char Char Char"/>
    <w:basedOn w:val="1"/>
    <w:semiHidden/>
    <w:qFormat/>
    <w:uiPriority w:val="0"/>
    <w:pPr>
      <w:adjustRightInd w:val="0"/>
      <w:spacing w:line="360" w:lineRule="auto"/>
    </w:pPr>
    <w:rPr>
      <w:rFonts w:ascii="Calibri" w:hAnsi="Calibri" w:cs="Calibri"/>
      <w:kern w:val="0"/>
      <w:sz w:val="24"/>
      <w:szCs w:val="20"/>
    </w:rPr>
  </w:style>
  <w:style w:type="paragraph" w:customStyle="1" w:styleId="2511">
    <w:name w:val="xl134"/>
    <w:basedOn w:val="1"/>
    <w:qFormat/>
    <w:uiPriority w:val="99"/>
    <w:pPr>
      <w:widowControl/>
      <w:spacing w:before="100" w:beforeAutospacing="1" w:after="100" w:afterAutospacing="1"/>
      <w:jc w:val="left"/>
    </w:pPr>
    <w:rPr>
      <w:rFonts w:ascii="Arial Unicode MS" w:hAnsi="Arial Unicode MS" w:cs="Calibri"/>
      <w:kern w:val="0"/>
      <w:sz w:val="20"/>
      <w:szCs w:val="20"/>
    </w:rPr>
  </w:style>
  <w:style w:type="paragraph" w:customStyle="1" w:styleId="2512">
    <w:name w:val="Char Char Char1 Char Char Char Char3"/>
    <w:basedOn w:val="1"/>
    <w:next w:val="1"/>
    <w:qFormat/>
    <w:uiPriority w:val="99"/>
    <w:pPr>
      <w:spacing w:line="360" w:lineRule="auto"/>
      <w:ind w:firstLine="200" w:firstLineChars="200"/>
    </w:pPr>
    <w:rPr>
      <w:rFonts w:ascii="宋体" w:hAnsi="宋体" w:eastAsia="汉鼎简书宋" w:cs="宋体"/>
      <w:sz w:val="24"/>
    </w:rPr>
  </w:style>
  <w:style w:type="paragraph" w:customStyle="1" w:styleId="2513">
    <w:name w:val="样式5555"/>
    <w:basedOn w:val="1"/>
    <w:semiHidden/>
    <w:qFormat/>
    <w:uiPriority w:val="0"/>
    <w:pPr>
      <w:numPr>
        <w:ilvl w:val="3"/>
        <w:numId w:val="10"/>
      </w:numPr>
      <w:tabs>
        <w:tab w:val="left" w:pos="0"/>
      </w:tabs>
    </w:pPr>
    <w:rPr>
      <w:rFonts w:ascii="宋体" w:hAnsi="PMingLiU" w:cs="Calibri"/>
      <w:sz w:val="24"/>
    </w:rPr>
  </w:style>
  <w:style w:type="paragraph" w:customStyle="1" w:styleId="2514">
    <w:name w:val="前言"/>
    <w:basedOn w:val="3"/>
    <w:semiHidden/>
    <w:qFormat/>
    <w:uiPriority w:val="0"/>
    <w:pPr>
      <w:keepLines/>
      <w:tabs>
        <w:tab w:val="left" w:pos="432"/>
      </w:tabs>
      <w:overflowPunct/>
      <w:adjustRightInd w:val="0"/>
      <w:snapToGrid/>
      <w:spacing w:before="340" w:after="120" w:line="480" w:lineRule="exact"/>
      <w:ind w:left="120" w:firstLine="0"/>
      <w:jc w:val="center"/>
      <w:textAlignment w:val="baseline"/>
    </w:pPr>
    <w:rPr>
      <w:rFonts w:ascii="Book Antiqua" w:hAnsi="宋体" w:eastAsia="宋体" w:cs="宋体"/>
      <w:b w:val="0"/>
      <w:color w:val="auto"/>
      <w:sz w:val="36"/>
      <w:szCs w:val="20"/>
    </w:rPr>
  </w:style>
  <w:style w:type="paragraph" w:customStyle="1" w:styleId="2515">
    <w:name w:val="Char Char Char Char Char1 Char Char Char Char Char Char Char Char Char Char1"/>
    <w:basedOn w:val="1"/>
    <w:semiHidden/>
    <w:qFormat/>
    <w:uiPriority w:val="0"/>
    <w:pPr>
      <w:adjustRightInd w:val="0"/>
      <w:spacing w:line="360" w:lineRule="auto"/>
    </w:pPr>
    <w:rPr>
      <w:rFonts w:ascii="Calibri" w:hAnsi="Calibri" w:cs="Calibri"/>
      <w:kern w:val="0"/>
      <w:sz w:val="24"/>
      <w:szCs w:val="20"/>
    </w:rPr>
  </w:style>
  <w:style w:type="paragraph" w:customStyle="1" w:styleId="2516">
    <w:name w:val="公用工程"/>
    <w:basedOn w:val="6"/>
    <w:semiHidden/>
    <w:qFormat/>
    <w:uiPriority w:val="0"/>
    <w:pPr>
      <w:numPr>
        <w:ilvl w:val="0"/>
        <w:numId w:val="0"/>
      </w:numPr>
      <w:tabs>
        <w:tab w:val="left" w:pos="0"/>
      </w:tabs>
      <w:adjustRightInd w:val="0"/>
      <w:spacing w:before="0" w:after="0" w:line="480" w:lineRule="exact"/>
    </w:pPr>
    <w:rPr>
      <w:rFonts w:ascii="宋体" w:eastAsia="宋体" w:cs="Calibri"/>
      <w:bCs/>
      <w:color w:val="000000"/>
      <w:sz w:val="24"/>
      <w:szCs w:val="28"/>
      <w:lang w:val="en-US"/>
    </w:rPr>
  </w:style>
  <w:style w:type="paragraph" w:customStyle="1" w:styleId="2517">
    <w:name w:val="标-4"/>
    <w:basedOn w:val="1"/>
    <w:qFormat/>
    <w:uiPriority w:val="99"/>
    <w:pPr>
      <w:spacing w:before="120"/>
      <w:ind w:left="851" w:hanging="851"/>
    </w:pPr>
    <w:rPr>
      <w:rFonts w:ascii="Calibri" w:hAnsi="Calibri" w:cs="Calibri"/>
      <w:sz w:val="24"/>
      <w:szCs w:val="20"/>
    </w:rPr>
  </w:style>
  <w:style w:type="paragraph" w:customStyle="1" w:styleId="2518">
    <w:name w:val="正文缩进31"/>
    <w:basedOn w:val="1"/>
    <w:semiHidden/>
    <w:qFormat/>
    <w:uiPriority w:val="0"/>
    <w:pPr>
      <w:adjustRightInd w:val="0"/>
      <w:ind w:firstLine="420" w:firstLineChars="200"/>
      <w:textAlignment w:val="baseline"/>
    </w:pPr>
    <w:rPr>
      <w:rFonts w:hint="eastAsia" w:ascii="Calibri" w:hAnsi="宋体" w:cs="Calibri"/>
      <w:sz w:val="24"/>
      <w:szCs w:val="20"/>
    </w:rPr>
  </w:style>
  <w:style w:type="paragraph" w:customStyle="1" w:styleId="2519">
    <w:name w:val="Char Char Char Char Char Char Char Char Char Char Char Char Char Char Char"/>
    <w:basedOn w:val="1"/>
    <w:qFormat/>
    <w:uiPriority w:val="99"/>
    <w:rPr>
      <w:rFonts w:ascii="Calibri" w:hAnsi="Calibri" w:cs="Calibri"/>
      <w:sz w:val="24"/>
    </w:rPr>
  </w:style>
  <w:style w:type="paragraph" w:customStyle="1" w:styleId="2520">
    <w:name w:val="可研样式3"/>
    <w:basedOn w:val="1"/>
    <w:qFormat/>
    <w:uiPriority w:val="99"/>
    <w:pPr>
      <w:ind w:firstLine="562" w:firstLineChars="200"/>
    </w:pPr>
    <w:rPr>
      <w:rFonts w:ascii="Calibri" w:hAnsi="Calibri" w:eastAsia="楷体_GB2312" w:cs="Calibri"/>
      <w:b/>
      <w:sz w:val="28"/>
      <w:szCs w:val="28"/>
    </w:rPr>
  </w:style>
  <w:style w:type="paragraph" w:customStyle="1" w:styleId="2521">
    <w:name w:val="标准文本 首行缩进:2 字符 行距1倍 Char Char"/>
    <w:basedOn w:val="1"/>
    <w:semiHidden/>
    <w:qFormat/>
    <w:uiPriority w:val="0"/>
    <w:pPr>
      <w:adjustRightInd w:val="0"/>
      <w:snapToGrid w:val="0"/>
      <w:ind w:firstLine="200" w:firstLineChars="200"/>
      <w:textAlignment w:val="center"/>
    </w:pPr>
    <w:rPr>
      <w:rFonts w:ascii="Calibri" w:hAnsi="Calibri" w:cs="宋体"/>
      <w:sz w:val="24"/>
    </w:rPr>
  </w:style>
  <w:style w:type="paragraph" w:customStyle="1" w:styleId="2522">
    <w:name w:val="引言"/>
    <w:basedOn w:val="1"/>
    <w:next w:val="1"/>
    <w:qFormat/>
    <w:uiPriority w:val="0"/>
    <w:pPr>
      <w:snapToGrid w:val="0"/>
      <w:jc w:val="center"/>
    </w:pPr>
    <w:rPr>
      <w:rFonts w:ascii="仿宋_GB2312" w:hAnsi="Calibri" w:eastAsia="仿宋_GB2312" w:cs="Calibri"/>
      <w:color w:val="000000"/>
      <w:sz w:val="24"/>
    </w:rPr>
  </w:style>
  <w:style w:type="paragraph" w:customStyle="1" w:styleId="2523">
    <w:name w:val="Char Char Char Char Char Char Char Char Char1 Char Char Char Char1"/>
    <w:basedOn w:val="1"/>
    <w:qFormat/>
    <w:uiPriority w:val="0"/>
    <w:rPr>
      <w:rFonts w:ascii="Calibri" w:hAnsi="Calibri" w:cs="Calibri"/>
      <w:szCs w:val="21"/>
    </w:rPr>
  </w:style>
  <w:style w:type="paragraph" w:customStyle="1" w:styleId="2524">
    <w:name w:val="可行性"/>
    <w:basedOn w:val="1"/>
    <w:semiHidden/>
    <w:qFormat/>
    <w:uiPriority w:val="0"/>
    <w:pPr>
      <w:spacing w:line="560" w:lineRule="exact"/>
      <w:ind w:firstLine="560" w:firstLineChars="200"/>
    </w:pPr>
    <w:rPr>
      <w:rFonts w:ascii="Calibri" w:hAnsi="Calibri" w:cs="Calibri"/>
      <w:sz w:val="28"/>
      <w:szCs w:val="28"/>
    </w:rPr>
  </w:style>
  <w:style w:type="paragraph" w:customStyle="1" w:styleId="2525">
    <w:name w:val="样式 (西文) 仿宋_GB2312 (中文) 仿宋_GB2312 四号 首行缩进:  0.98 厘米 行距: 固定值 2..."/>
    <w:basedOn w:val="28"/>
    <w:next w:val="28"/>
    <w:qFormat/>
    <w:uiPriority w:val="99"/>
    <w:pPr>
      <w:widowControl/>
      <w:spacing w:line="480" w:lineRule="exact"/>
      <w:ind w:firstLine="555"/>
      <w:jc w:val="left"/>
    </w:pPr>
    <w:rPr>
      <w:rFonts w:ascii="仿宋_GB2312" w:hAnsi="Calibri" w:eastAsia="仿宋_GB2312" w:cs="宋体"/>
      <w:sz w:val="21"/>
      <w:szCs w:val="20"/>
    </w:rPr>
  </w:style>
  <w:style w:type="paragraph" w:customStyle="1" w:styleId="2526">
    <w:name w:val="xl245"/>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527">
    <w:name w:val="三级标题"/>
    <w:basedOn w:val="86"/>
    <w:qFormat/>
    <w:uiPriority w:val="0"/>
    <w:pPr>
      <w:widowControl w:val="0"/>
      <w:adjustRightInd/>
      <w:snapToGrid/>
      <w:spacing w:before="260" w:after="0" w:line="460" w:lineRule="exact"/>
      <w:ind w:firstLine="0" w:firstLineChars="0"/>
      <w:jc w:val="both"/>
      <w:outlineLvl w:val="2"/>
    </w:pPr>
    <w:rPr>
      <w:rFonts w:ascii="Times New Roman" w:hAnsi="Times New Roman" w:cs="Calibri"/>
      <w:kern w:val="0"/>
      <w:sz w:val="24"/>
      <w:szCs w:val="24"/>
      <w:lang w:val="en-US" w:eastAsia="zh-CN" w:bidi="ar-SA"/>
    </w:rPr>
  </w:style>
  <w:style w:type="paragraph" w:customStyle="1" w:styleId="2528">
    <w:name w:val="表格内容标题1"/>
    <w:basedOn w:val="47"/>
    <w:semiHidden/>
    <w:qFormat/>
    <w:uiPriority w:val="0"/>
    <w:pPr>
      <w:spacing w:line="240" w:lineRule="auto"/>
      <w:ind w:firstLine="0" w:firstLineChars="0"/>
      <w:jc w:val="center"/>
    </w:pPr>
    <w:rPr>
      <w:rFonts w:ascii="Times New Roman" w:hAnsi="宋体" w:cs="宋体"/>
      <w:b/>
      <w:bCs/>
      <w:sz w:val="18"/>
      <w:szCs w:val="20"/>
      <w:lang w:val="en-US"/>
    </w:rPr>
  </w:style>
  <w:style w:type="paragraph" w:customStyle="1" w:styleId="2529">
    <w:name w:val="xl124"/>
    <w:basedOn w:val="1"/>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cs="Calibri"/>
      <w:kern w:val="0"/>
      <w:sz w:val="16"/>
      <w:szCs w:val="16"/>
    </w:rPr>
  </w:style>
  <w:style w:type="paragraph" w:customStyle="1" w:styleId="2530">
    <w:name w:val="Char Char Char Char Char Char Char Char Char1 Char Char Char Char Char Char Char Char1 Char Char Char1"/>
    <w:basedOn w:val="1"/>
    <w:qFormat/>
    <w:uiPriority w:val="99"/>
    <w:pPr>
      <w:snapToGrid w:val="0"/>
      <w:spacing w:line="360" w:lineRule="auto"/>
      <w:ind w:firstLine="200" w:firstLineChars="200"/>
    </w:pPr>
    <w:rPr>
      <w:rFonts w:ascii="Calibri" w:hAnsi="Calibri" w:eastAsia="仿宋_GB2312" w:cs="Calibri"/>
      <w:sz w:val="24"/>
    </w:rPr>
  </w:style>
  <w:style w:type="paragraph" w:customStyle="1" w:styleId="2531">
    <w:name w:val="正文文本缩进2"/>
    <w:basedOn w:val="1"/>
    <w:link w:val="2532"/>
    <w:qFormat/>
    <w:uiPriority w:val="99"/>
    <w:pPr>
      <w:spacing w:after="120" w:line="360" w:lineRule="auto"/>
      <w:ind w:left="420" w:leftChars="200" w:firstLine="200" w:firstLineChars="200"/>
    </w:pPr>
    <w:rPr>
      <w:rFonts w:ascii="Calibri" w:hAnsi="Calibri" w:cs="Calibri"/>
      <w:sz w:val="24"/>
    </w:rPr>
  </w:style>
  <w:style w:type="character" w:customStyle="1" w:styleId="2532">
    <w:name w:val="正文文本缩进 Char4"/>
    <w:link w:val="2531"/>
    <w:qFormat/>
    <w:uiPriority w:val="99"/>
    <w:rPr>
      <w:rFonts w:ascii="Calibri" w:hAnsi="Calibri" w:cs="Calibri"/>
      <w:kern w:val="2"/>
      <w:sz w:val="24"/>
      <w:szCs w:val="24"/>
    </w:rPr>
  </w:style>
  <w:style w:type="paragraph" w:customStyle="1" w:styleId="2533">
    <w:name w:val="环评表样式1"/>
    <w:basedOn w:val="86"/>
    <w:qFormat/>
    <w:uiPriority w:val="99"/>
    <w:pPr>
      <w:widowControl w:val="0"/>
      <w:snapToGrid/>
      <w:spacing w:before="360" w:after="360" w:line="160" w:lineRule="atLeast"/>
      <w:ind w:firstLine="0" w:firstLineChars="0"/>
      <w:textAlignment w:val="baseline"/>
    </w:pPr>
    <w:rPr>
      <w:rFonts w:ascii="黑体" w:hAnsi="Arial" w:eastAsia="黑体" w:cs="Calibri"/>
      <w:bCs w:val="0"/>
      <w:kern w:val="0"/>
      <w:sz w:val="48"/>
      <w:szCs w:val="20"/>
      <w:lang w:val="en-US" w:eastAsia="zh-CN" w:bidi="ar-SA"/>
    </w:rPr>
  </w:style>
  <w:style w:type="paragraph" w:customStyle="1" w:styleId="2534">
    <w:name w:val="xl229"/>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535">
    <w:name w:val="Char44"/>
    <w:basedOn w:val="1"/>
    <w:qFormat/>
    <w:uiPriority w:val="0"/>
    <w:rPr>
      <w:rFonts w:ascii="Calibri" w:hAnsi="Calibri" w:cs="Calibri"/>
      <w:sz w:val="24"/>
    </w:rPr>
  </w:style>
  <w:style w:type="paragraph" w:customStyle="1" w:styleId="2536">
    <w:name w:val="Char Char Char1 Char1"/>
    <w:basedOn w:val="1"/>
    <w:qFormat/>
    <w:uiPriority w:val="0"/>
    <w:rPr>
      <w:rFonts w:ascii="Calibri" w:hAnsi="Calibri" w:cs="Calibri"/>
    </w:rPr>
  </w:style>
  <w:style w:type="paragraph" w:customStyle="1" w:styleId="2537">
    <w:name w:val="样式 正文缩进正文（首行缩进两字）文本条款 + 段前: 0.4 行"/>
    <w:basedOn w:val="23"/>
    <w:qFormat/>
    <w:uiPriority w:val="99"/>
    <w:pPr>
      <w:adjustRightInd/>
      <w:snapToGrid/>
      <w:spacing w:before="123" w:beforeLines="30" w:line="288" w:lineRule="auto"/>
      <w:ind w:firstLine="0" w:firstLineChars="0"/>
      <w:outlineLvl w:val="6"/>
    </w:pPr>
    <w:rPr>
      <w:rFonts w:ascii="Calibri" w:hAnsi="Calibri" w:eastAsia="黑体" w:cs="Calibri"/>
      <w:b/>
      <w:lang w:val="en-US"/>
    </w:rPr>
  </w:style>
  <w:style w:type="paragraph" w:customStyle="1" w:styleId="2538">
    <w:name w:val="字元 字元3 字元1"/>
    <w:basedOn w:val="1"/>
    <w:next w:val="1"/>
    <w:semiHidden/>
    <w:qFormat/>
    <w:uiPriority w:val="0"/>
    <w:pPr>
      <w:spacing w:line="360" w:lineRule="auto"/>
      <w:ind w:firstLine="200" w:firstLineChars="200"/>
    </w:pPr>
    <w:rPr>
      <w:rFonts w:ascii="Calibri" w:hAnsi="Calibri" w:cs="Calibri"/>
      <w:szCs w:val="20"/>
    </w:rPr>
  </w:style>
  <w:style w:type="paragraph" w:customStyle="1" w:styleId="2539">
    <w:name w:val="样式 标准文本 首行缩进:2 字符 行距1.5倍 + 首行缩进:  2 字符"/>
    <w:basedOn w:val="2284"/>
    <w:semiHidden/>
    <w:qFormat/>
    <w:uiPriority w:val="0"/>
    <w:rPr>
      <w:szCs w:val="20"/>
    </w:rPr>
  </w:style>
  <w:style w:type="paragraph" w:customStyle="1" w:styleId="2540">
    <w:name w:val="xl23"/>
    <w:basedOn w:val="1"/>
    <w:qFormat/>
    <w:uiPriority w:val="0"/>
    <w:pPr>
      <w:widowControl/>
      <w:pBdr>
        <w:top w:val="single" w:color="auto" w:sz="12" w:space="0"/>
      </w:pBdr>
      <w:spacing w:before="100" w:beforeAutospacing="1" w:after="100" w:afterAutospacing="1"/>
      <w:jc w:val="left"/>
    </w:pPr>
    <w:rPr>
      <w:rFonts w:ascii="Arial Unicode MS" w:hAnsi="Arial Unicode MS" w:cs="Calibri"/>
      <w:kern w:val="0"/>
    </w:rPr>
  </w:style>
  <w:style w:type="paragraph" w:customStyle="1" w:styleId="2541">
    <w:name w:val="Char3 Char Char Char2"/>
    <w:basedOn w:val="1"/>
    <w:semiHidden/>
    <w:qFormat/>
    <w:uiPriority w:val="0"/>
    <w:rPr>
      <w:rFonts w:ascii="Calibri" w:hAnsi="Calibri" w:cs="Calibri"/>
      <w:sz w:val="28"/>
    </w:rPr>
  </w:style>
  <w:style w:type="paragraph" w:customStyle="1" w:styleId="2542">
    <w:name w:val="Char Char1 Char Char Char Char Char Char Char Char Char Char Char Char Char Char Char Char Char Char1"/>
    <w:basedOn w:val="1"/>
    <w:semiHidden/>
    <w:qFormat/>
    <w:uiPriority w:val="0"/>
    <w:pPr>
      <w:spacing w:line="360" w:lineRule="auto"/>
      <w:ind w:firstLine="200" w:firstLineChars="200"/>
    </w:pPr>
    <w:rPr>
      <w:rFonts w:ascii="@黑体" w:hAnsi="@黑体" w:eastAsia="黑体" w:cs="@黑体"/>
      <w:sz w:val="24"/>
    </w:rPr>
  </w:style>
  <w:style w:type="paragraph" w:customStyle="1" w:styleId="2543">
    <w:name w:val="Char Char Char Char Char1"/>
    <w:basedOn w:val="1"/>
    <w:qFormat/>
    <w:uiPriority w:val="99"/>
    <w:pPr>
      <w:spacing w:line="240" w:lineRule="exact"/>
      <w:ind w:firstLine="200" w:firstLineChars="200"/>
    </w:pPr>
    <w:rPr>
      <w:rFonts w:ascii="Calibri" w:hAnsi="Calibri" w:cs="Calibri"/>
      <w:sz w:val="28"/>
      <w:szCs w:val="28"/>
    </w:rPr>
  </w:style>
  <w:style w:type="paragraph" w:customStyle="1" w:styleId="2544">
    <w:name w:val="正文两端对齐"/>
    <w:basedOn w:val="1"/>
    <w:semiHidden/>
    <w:qFormat/>
    <w:uiPriority w:val="0"/>
    <w:pPr>
      <w:spacing w:line="400" w:lineRule="exact"/>
    </w:pPr>
    <w:rPr>
      <w:rFonts w:ascii="Calibri" w:hAnsi="Calibri" w:cs="宋体"/>
      <w:sz w:val="24"/>
      <w:szCs w:val="20"/>
    </w:rPr>
  </w:style>
  <w:style w:type="paragraph" w:customStyle="1" w:styleId="2545">
    <w:name w:val="chen"/>
    <w:basedOn w:val="1917"/>
    <w:semiHidden/>
    <w:qFormat/>
    <w:uiPriority w:val="0"/>
    <w:pPr>
      <w:spacing w:line="500" w:lineRule="exact"/>
    </w:pPr>
    <w:rPr>
      <w:color w:val="000000"/>
      <w:szCs w:val="24"/>
    </w:rPr>
  </w:style>
  <w:style w:type="paragraph" w:customStyle="1" w:styleId="2546">
    <w:name w:val="封面单位"/>
    <w:basedOn w:val="1"/>
    <w:qFormat/>
    <w:uiPriority w:val="0"/>
    <w:pPr>
      <w:tabs>
        <w:tab w:val="right" w:leader="middleDot" w:pos="8222"/>
      </w:tabs>
      <w:spacing w:line="360" w:lineRule="auto"/>
      <w:jc w:val="center"/>
    </w:pPr>
    <w:rPr>
      <w:rFonts w:ascii="楷体_GB2312" w:hAnsi="Calibri" w:eastAsia="楷体_GB2312" w:cs="Calibri"/>
      <w:b/>
      <w:sz w:val="36"/>
    </w:rPr>
  </w:style>
  <w:style w:type="paragraph" w:customStyle="1" w:styleId="2547">
    <w:name w:val="Char2 Char Char Char Char Char Char Char Char Char Char Char1 Char Char Char Char Char Char Char"/>
    <w:basedOn w:val="1"/>
    <w:qFormat/>
    <w:uiPriority w:val="99"/>
    <w:rPr>
      <w:rFonts w:ascii="Calibri" w:hAnsi="Calibri" w:cs="Calibri"/>
      <w:sz w:val="24"/>
    </w:rPr>
  </w:style>
  <w:style w:type="paragraph" w:customStyle="1" w:styleId="2548">
    <w:name w:val="xl49"/>
    <w:basedOn w:val="1"/>
    <w:qFormat/>
    <w:uiPriority w:val="0"/>
    <w:pPr>
      <w:widowControl/>
      <w:pBdr>
        <w:lef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549">
    <w:name w:val="xl133"/>
    <w:basedOn w:val="1"/>
    <w:qFormat/>
    <w:uiPriority w:val="99"/>
    <w:pPr>
      <w:widowControl/>
      <w:pBdr>
        <w:right w:val="single" w:color="auto" w:sz="4" w:space="0"/>
      </w:pBdr>
      <w:spacing w:before="100" w:beforeAutospacing="1" w:after="100" w:afterAutospacing="1"/>
      <w:jc w:val="center"/>
    </w:pPr>
    <w:rPr>
      <w:rFonts w:ascii="Arial Unicode MS" w:hAnsi="Arial Unicode MS" w:cs="Calibri"/>
      <w:kern w:val="0"/>
      <w:sz w:val="12"/>
      <w:szCs w:val="12"/>
    </w:rPr>
  </w:style>
  <w:style w:type="paragraph" w:customStyle="1" w:styleId="2550">
    <w:name w:val="Char Char Char Char Char Char Char Char Char1 Char Char Char Char Char Char1 Char2"/>
    <w:basedOn w:val="1"/>
    <w:semiHidden/>
    <w:qFormat/>
    <w:uiPriority w:val="0"/>
    <w:rPr>
      <w:rFonts w:ascii="Calibri" w:hAnsi="Calibri" w:cs="Calibri"/>
      <w:szCs w:val="21"/>
    </w:rPr>
  </w:style>
  <w:style w:type="paragraph" w:customStyle="1" w:styleId="2551">
    <w:name w:val="样式 标准文本 居中 行距1.5倍 +"/>
    <w:basedOn w:val="2486"/>
    <w:semiHidden/>
    <w:qFormat/>
    <w:uiPriority w:val="0"/>
    <w:pPr>
      <w:adjustRightInd w:val="0"/>
      <w:snapToGrid w:val="0"/>
    </w:pPr>
    <w:rPr>
      <w:kern w:val="0"/>
    </w:rPr>
  </w:style>
  <w:style w:type="paragraph" w:customStyle="1" w:styleId="2552">
    <w:name w:val="xl158"/>
    <w:basedOn w:val="1"/>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cs="Calibri"/>
      <w:kern w:val="0"/>
      <w:sz w:val="16"/>
      <w:szCs w:val="16"/>
    </w:rPr>
  </w:style>
  <w:style w:type="paragraph" w:customStyle="1" w:styleId="2553">
    <w:name w:val="xl242"/>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554">
    <w:name w:val="样式 样式2.4.4 + 段前: 0.5 行"/>
    <w:semiHidden/>
    <w:qFormat/>
    <w:uiPriority w:val="0"/>
    <w:pPr>
      <w:numPr>
        <w:ilvl w:val="3"/>
        <w:numId w:val="11"/>
      </w:numPr>
      <w:tabs>
        <w:tab w:val="left" w:pos="0"/>
      </w:tabs>
      <w:spacing w:before="120"/>
    </w:pPr>
    <w:rPr>
      <w:rFonts w:ascii="Times New Roman" w:hAnsi="Times New Roman" w:eastAsia="宋体" w:cs="宋体"/>
      <w:b/>
      <w:lang w:val="en-US" w:eastAsia="zh-CN" w:bidi="ar-SA"/>
    </w:rPr>
  </w:style>
  <w:style w:type="paragraph" w:customStyle="1" w:styleId="2555">
    <w:name w:val="样式2.5.3"/>
    <w:basedOn w:val="1"/>
    <w:semiHidden/>
    <w:qFormat/>
    <w:uiPriority w:val="0"/>
    <w:pPr>
      <w:spacing w:before="50" w:beforeLines="50" w:line="360" w:lineRule="auto"/>
      <w:outlineLvl w:val="3"/>
    </w:pPr>
    <w:rPr>
      <w:rFonts w:ascii="Calibri" w:hAnsi="Calibri" w:cs="Calibri"/>
      <w:color w:val="000000"/>
      <w:sz w:val="24"/>
    </w:rPr>
  </w:style>
  <w:style w:type="paragraph" w:customStyle="1" w:styleId="2556">
    <w:name w:val="Char Char Char Char Char Char Char Char Char Char Char Char Char Char Char Char Char Char Char Char Char Char Char Char Char Char Char Char Char Char"/>
    <w:basedOn w:val="1"/>
    <w:qFormat/>
    <w:uiPriority w:val="99"/>
    <w:rPr>
      <w:rFonts w:ascii="Calibri" w:hAnsi="Calibri" w:cs="Calibri"/>
      <w:sz w:val="24"/>
    </w:rPr>
  </w:style>
  <w:style w:type="paragraph" w:customStyle="1" w:styleId="2557">
    <w:name w:val="数据来源"/>
    <w:basedOn w:val="1"/>
    <w:qFormat/>
    <w:uiPriority w:val="99"/>
    <w:pPr>
      <w:snapToGrid w:val="0"/>
      <w:spacing w:line="280" w:lineRule="exact"/>
    </w:pPr>
    <w:rPr>
      <w:rFonts w:ascii="Calibri" w:hAnsi="宋体" w:eastAsia="楷体_GB2312" w:cs="宋体"/>
      <w:szCs w:val="20"/>
    </w:rPr>
  </w:style>
  <w:style w:type="paragraph" w:customStyle="1" w:styleId="2558">
    <w:name w:val="CM9"/>
    <w:basedOn w:val="314"/>
    <w:next w:val="314"/>
    <w:qFormat/>
    <w:uiPriority w:val="99"/>
    <w:pPr>
      <w:tabs>
        <w:tab w:val="left" w:pos="315"/>
      </w:tabs>
      <w:spacing w:after="0" w:line="440" w:lineRule="atLeast"/>
      <w:ind w:left="1855" w:hanging="720"/>
    </w:pPr>
    <w:rPr>
      <w:rFonts w:ascii="宋体" w:hAnsi="Calibri" w:eastAsia="宋体" w:cs="Times New Roman"/>
      <w:color w:val="auto"/>
      <w:kern w:val="2"/>
    </w:rPr>
  </w:style>
  <w:style w:type="paragraph" w:customStyle="1" w:styleId="2559">
    <w:name w:val="Char Char1 Char Char Char Char3"/>
    <w:basedOn w:val="1"/>
    <w:qFormat/>
    <w:uiPriority w:val="99"/>
    <w:rPr>
      <w:rFonts w:ascii="Calibri" w:hAnsi="Calibri" w:cs="Calibri"/>
      <w:sz w:val="24"/>
    </w:rPr>
  </w:style>
  <w:style w:type="paragraph" w:customStyle="1" w:styleId="2560">
    <w:name w:val="样式 首行缩进:  2 字符4"/>
    <w:basedOn w:val="1"/>
    <w:semiHidden/>
    <w:qFormat/>
    <w:uiPriority w:val="0"/>
    <w:pPr>
      <w:spacing w:line="360" w:lineRule="auto"/>
      <w:ind w:firstLine="200" w:firstLineChars="200"/>
    </w:pPr>
    <w:rPr>
      <w:rFonts w:ascii="Calibri" w:hAnsi="Calibri" w:cs="宋体"/>
      <w:sz w:val="24"/>
      <w:szCs w:val="20"/>
    </w:rPr>
  </w:style>
  <w:style w:type="paragraph" w:customStyle="1" w:styleId="2561">
    <w:name w:val="Char1 Char Char Char Char Char Char Char Char Char1 Char Char Char Char Char Char3"/>
    <w:basedOn w:val="1"/>
    <w:semiHidden/>
    <w:qFormat/>
    <w:uiPriority w:val="0"/>
    <w:pPr>
      <w:widowControl/>
      <w:spacing w:before="100" w:beforeAutospacing="1" w:after="100" w:afterAutospacing="1"/>
      <w:ind w:firstLine="200" w:firstLineChars="200"/>
      <w:jc w:val="left"/>
    </w:pPr>
    <w:rPr>
      <w:rFonts w:ascii="Verdana" w:hAnsi="Verdana" w:eastAsia="仿宋_GB2312" w:cs="Calibri"/>
      <w:kern w:val="0"/>
      <w:sz w:val="20"/>
      <w:szCs w:val="21"/>
      <w:lang w:eastAsia="en-US"/>
    </w:rPr>
  </w:style>
  <w:style w:type="paragraph" w:customStyle="1" w:styleId="2562">
    <w:name w:val="Char Char Char Char Char Char Char Char Char Char Char Char Char Char Char Char Char Char1"/>
    <w:basedOn w:val="1"/>
    <w:qFormat/>
    <w:uiPriority w:val="99"/>
    <w:rPr>
      <w:rFonts w:ascii="Calibri" w:hAnsi="Calibri" w:cs="Calibri"/>
      <w:sz w:val="24"/>
    </w:rPr>
  </w:style>
  <w:style w:type="paragraph" w:customStyle="1" w:styleId="2563">
    <w:name w:val="表格一"/>
    <w:basedOn w:val="1"/>
    <w:semiHidden/>
    <w:qFormat/>
    <w:uiPriority w:val="0"/>
    <w:pPr>
      <w:keepNext/>
      <w:keepLines/>
      <w:adjustRightInd w:val="0"/>
      <w:jc w:val="center"/>
      <w:textAlignment w:val="baseline"/>
    </w:pPr>
    <w:rPr>
      <w:rFonts w:ascii="Calibri" w:hAnsi="Calibri" w:cs="Calibri"/>
      <w:kern w:val="0"/>
      <w:sz w:val="24"/>
      <w:szCs w:val="20"/>
    </w:rPr>
  </w:style>
  <w:style w:type="paragraph" w:customStyle="1" w:styleId="2564">
    <w:name w:val="xl184"/>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565">
    <w:name w:val="Char Char Char Char Char Char Char Char Char Char Char Char Char Char Char Char Char Char Char Char Char Char Char Char Char Char Char Char Char Char Char Char Char Char Char Char Char Char Char Char Char Char3"/>
    <w:basedOn w:val="1"/>
    <w:qFormat/>
    <w:uiPriority w:val="99"/>
    <w:rPr>
      <w:rFonts w:ascii="Calibri" w:hAnsi="Calibri" w:cs="Calibri"/>
    </w:rPr>
  </w:style>
  <w:style w:type="paragraph" w:customStyle="1" w:styleId="2566">
    <w:name w:val="xl156"/>
    <w:basedOn w:val="1"/>
    <w:qFormat/>
    <w:uiPriority w:val="99"/>
    <w:pPr>
      <w:widowControl/>
      <w:pBdr>
        <w:left w:val="single" w:color="auto" w:sz="4" w:space="0"/>
        <w:right w:val="single" w:color="auto" w:sz="4" w:space="0"/>
      </w:pBdr>
      <w:spacing w:before="100" w:beforeAutospacing="1" w:after="100" w:afterAutospacing="1"/>
      <w:jc w:val="left"/>
    </w:pPr>
    <w:rPr>
      <w:rFonts w:ascii="Arial Unicode MS" w:hAnsi="Arial Unicode MS" w:cs="Calibri"/>
      <w:kern w:val="0"/>
      <w:sz w:val="20"/>
      <w:szCs w:val="20"/>
    </w:rPr>
  </w:style>
  <w:style w:type="paragraph" w:customStyle="1" w:styleId="2567">
    <w:name w:val="样式 左侧:  -0.16 厘米1"/>
    <w:basedOn w:val="1"/>
    <w:qFormat/>
    <w:uiPriority w:val="0"/>
    <w:pPr>
      <w:ind w:left="-90"/>
    </w:pPr>
    <w:rPr>
      <w:rFonts w:ascii="宋体" w:hAnsi="宋体" w:cs="宋体"/>
      <w:snapToGrid w:val="0"/>
      <w:kern w:val="0"/>
      <w:sz w:val="24"/>
    </w:rPr>
  </w:style>
  <w:style w:type="paragraph" w:customStyle="1" w:styleId="2568">
    <w:name w:val="ISO标题1."/>
    <w:qFormat/>
    <w:uiPriority w:val="0"/>
    <w:pPr>
      <w:tabs>
        <w:tab w:val="left" w:pos="425"/>
      </w:tabs>
      <w:autoSpaceDE w:val="0"/>
      <w:autoSpaceDN w:val="0"/>
      <w:adjustRightInd w:val="0"/>
      <w:ind w:left="425" w:hanging="425"/>
      <w:outlineLvl w:val="0"/>
    </w:pPr>
    <w:rPr>
      <w:rFonts w:ascii="宋体" w:hAnsi="宋体" w:eastAsia="宋体" w:cs="Calibri"/>
      <w:color w:val="000000"/>
      <w:sz w:val="24"/>
      <w:lang w:val="en-US" w:eastAsia="zh-CN" w:bidi="ar-SA"/>
    </w:rPr>
  </w:style>
  <w:style w:type="paragraph" w:customStyle="1" w:styleId="2569">
    <w:name w:val="样式 样式444 + 段前: 0.5 行"/>
    <w:basedOn w:val="2385"/>
    <w:semiHidden/>
    <w:qFormat/>
    <w:uiPriority w:val="0"/>
    <w:pPr>
      <w:numPr>
        <w:ilvl w:val="2"/>
        <w:numId w:val="10"/>
      </w:numPr>
      <w:tabs>
        <w:tab w:val="left" w:pos="0"/>
      </w:tabs>
      <w:spacing w:before="156"/>
    </w:pPr>
    <w:rPr>
      <w:rFonts w:cs="宋体"/>
      <w:bCs/>
      <w:szCs w:val="20"/>
    </w:rPr>
  </w:style>
  <w:style w:type="paragraph" w:customStyle="1" w:styleId="2570">
    <w:name w:val="五号表格"/>
    <w:next w:val="1"/>
    <w:qFormat/>
    <w:uiPriority w:val="99"/>
    <w:rPr>
      <w:rFonts w:ascii="宋体" w:hAnsi="Calibri" w:eastAsia="宋体" w:cs="Calibri"/>
      <w:sz w:val="21"/>
      <w:lang w:val="en-US" w:eastAsia="zh-CN" w:bidi="ar-SA"/>
    </w:rPr>
  </w:style>
  <w:style w:type="paragraph" w:customStyle="1" w:styleId="2571">
    <w:name w:val="Char Char Char Char Char Char Char Char Char Char Char1 Char Char Char Char"/>
    <w:basedOn w:val="1"/>
    <w:qFormat/>
    <w:uiPriority w:val="99"/>
    <w:rPr>
      <w:rFonts w:ascii="Calibri" w:hAnsi="Calibri" w:cs="Calibri"/>
      <w:sz w:val="24"/>
    </w:rPr>
  </w:style>
  <w:style w:type="paragraph" w:customStyle="1" w:styleId="2572">
    <w:name w:val="Char Char Char2 Char Char Char Char Char Char Char Char Char Char Char Char Char Char Char Char Char Char Char Char Char Char Char Char Char Char Char Char Char Char Char Char Char Char Char Char Char Char Char Char"/>
    <w:basedOn w:val="1"/>
    <w:qFormat/>
    <w:uiPriority w:val="99"/>
    <w:rPr>
      <w:rFonts w:ascii="Calibri" w:hAnsi="Calibri" w:cs="Calibri"/>
      <w:sz w:val="24"/>
    </w:rPr>
  </w:style>
  <w:style w:type="paragraph" w:customStyle="1" w:styleId="2573">
    <w:name w:val="Char Char Char Char Char Char Char Char Char Char Char1 Char Char Char Char Char Char11"/>
    <w:basedOn w:val="1"/>
    <w:qFormat/>
    <w:uiPriority w:val="99"/>
    <w:rPr>
      <w:rFonts w:ascii="Calibri" w:hAnsi="Calibri" w:cs="Calibri"/>
      <w:sz w:val="24"/>
    </w:rPr>
  </w:style>
  <w:style w:type="paragraph" w:customStyle="1" w:styleId="2574">
    <w:name w:val="样式 样式 宋体 小四 黑色 段前: 6 磅 段后: 6 磅 行距: 多倍行距 1.25 字行 + 首行缩进:  2 字符"/>
    <w:basedOn w:val="1"/>
    <w:semiHidden/>
    <w:qFormat/>
    <w:uiPriority w:val="0"/>
    <w:pPr>
      <w:spacing w:before="120" w:after="120" w:line="360" w:lineRule="auto"/>
      <w:ind w:firstLine="200" w:firstLineChars="200"/>
    </w:pPr>
    <w:rPr>
      <w:rFonts w:ascii="宋体" w:hAnsi="Arial" w:cs="宋体"/>
      <w:color w:val="000000"/>
      <w:kern w:val="0"/>
      <w:sz w:val="28"/>
      <w:szCs w:val="20"/>
    </w:rPr>
  </w:style>
  <w:style w:type="paragraph" w:customStyle="1" w:styleId="2575">
    <w:name w:val="正文首行缩进4"/>
    <w:basedOn w:val="1"/>
    <w:semiHidden/>
    <w:qFormat/>
    <w:uiPriority w:val="0"/>
    <w:pPr>
      <w:snapToGrid w:val="0"/>
      <w:spacing w:line="500" w:lineRule="exact"/>
      <w:ind w:firstLine="480" w:firstLineChars="200"/>
    </w:pPr>
    <w:rPr>
      <w:rFonts w:ascii="Calibri" w:hAnsi="Calibri" w:eastAsia="Times New Roman" w:cs="Calibri"/>
      <w:kern w:val="0"/>
      <w:sz w:val="18"/>
      <w:szCs w:val="20"/>
    </w:rPr>
  </w:style>
  <w:style w:type="paragraph" w:customStyle="1" w:styleId="2576">
    <w:name w:val="列表延续 21"/>
    <w:basedOn w:val="1"/>
    <w:semiHidden/>
    <w:qFormat/>
    <w:uiPriority w:val="0"/>
    <w:pPr>
      <w:autoSpaceDE w:val="0"/>
      <w:autoSpaceDN w:val="0"/>
      <w:adjustRightInd w:val="0"/>
      <w:spacing w:line="360" w:lineRule="atLeast"/>
      <w:ind w:left="840" w:hanging="420"/>
      <w:jc w:val="left"/>
    </w:pPr>
    <w:rPr>
      <w:rFonts w:ascii="@黑体" w:hAnsi="Tahoma" w:eastAsia="黑体" w:cs="Calibri"/>
      <w:spacing w:val="20"/>
      <w:kern w:val="0"/>
      <w:sz w:val="24"/>
      <w:szCs w:val="20"/>
    </w:rPr>
  </w:style>
  <w:style w:type="paragraph" w:customStyle="1" w:styleId="2577">
    <w:name w:val="Char Char Char Char Char Char Char Char Char1 Char"/>
    <w:basedOn w:val="1"/>
    <w:qFormat/>
    <w:uiPriority w:val="0"/>
    <w:rPr>
      <w:rFonts w:ascii="Calibri" w:hAnsi="Calibri" w:cs="Calibri"/>
      <w:sz w:val="24"/>
    </w:rPr>
  </w:style>
  <w:style w:type="paragraph" w:customStyle="1" w:styleId="2578">
    <w:name w:val="样式 样式15 + 段前: 0.5 行"/>
    <w:basedOn w:val="2480"/>
    <w:semiHidden/>
    <w:qFormat/>
    <w:uiPriority w:val="0"/>
    <w:pPr>
      <w:numPr>
        <w:ilvl w:val="3"/>
        <w:numId w:val="8"/>
      </w:numPr>
      <w:shd w:val="clear" w:color="auto" w:fill="auto"/>
      <w:tabs>
        <w:tab w:val="left" w:pos="0"/>
      </w:tabs>
      <w:adjustRightInd/>
      <w:spacing w:before="156" w:beforeLines="50" w:line="360" w:lineRule="auto"/>
      <w:jc w:val="left"/>
      <w:outlineLvl w:val="3"/>
    </w:pPr>
    <w:rPr>
      <w:rFonts w:ascii="Times New Roman" w:hAnsi="Times New Roman" w:eastAsia="宋体" w:cs="宋体"/>
      <w:b/>
      <w:szCs w:val="20"/>
    </w:rPr>
  </w:style>
  <w:style w:type="paragraph" w:customStyle="1" w:styleId="2579">
    <w:name w:val="xl270"/>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580">
    <w:name w:val="xl249"/>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2581">
    <w:name w:val="Char Char Char1 Char Char Char Char Char Char Char Char Char Char Char Char Char Char Char1 Char Char Char Char Char Char Char Char Char Char Char Char Char Char Char1"/>
    <w:basedOn w:val="1"/>
    <w:semiHidden/>
    <w:qFormat/>
    <w:uiPriority w:val="0"/>
    <w:rPr>
      <w:rFonts w:ascii="Calibri" w:hAnsi="Calibri" w:cs="Calibri"/>
      <w:szCs w:val="21"/>
    </w:rPr>
  </w:style>
  <w:style w:type="paragraph" w:customStyle="1" w:styleId="2582">
    <w:name w:val="Char42"/>
    <w:basedOn w:val="1"/>
    <w:qFormat/>
    <w:uiPriority w:val="0"/>
    <w:rPr>
      <w:rFonts w:ascii="Calibri" w:hAnsi="Calibri" w:cs="Calibri"/>
      <w:sz w:val="24"/>
    </w:rPr>
  </w:style>
  <w:style w:type="paragraph" w:customStyle="1" w:styleId="2583">
    <w:name w:val="zhang正文"/>
    <w:basedOn w:val="37"/>
    <w:semiHidden/>
    <w:qFormat/>
    <w:uiPriority w:val="0"/>
    <w:pPr>
      <w:spacing w:before="60" w:after="0" w:line="460" w:lineRule="exact"/>
      <w:ind w:left="0" w:leftChars="0" w:firstLine="480" w:firstLineChars="200"/>
    </w:pPr>
    <w:rPr>
      <w:rFonts w:ascii="@黑体" w:hAnsi="@黑体" w:eastAsia="黑体" w:cs="Calibri"/>
      <w:kern w:val="2"/>
      <w:szCs w:val="24"/>
      <w:lang w:val="en-US"/>
    </w:rPr>
  </w:style>
  <w:style w:type="paragraph" w:customStyle="1" w:styleId="2584">
    <w:name w:val="xl144"/>
    <w:basedOn w:val="1"/>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585">
    <w:name w:val="xl313"/>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586">
    <w:name w:val="xl321"/>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587">
    <w:name w:val="正文样式11"/>
    <w:basedOn w:val="1"/>
    <w:qFormat/>
    <w:uiPriority w:val="99"/>
    <w:pPr>
      <w:ind w:firstLine="548" w:firstLineChars="200"/>
      <w:jc w:val="left"/>
    </w:pPr>
    <w:rPr>
      <w:rFonts w:ascii="宋体" w:hAnsi="宋体" w:cs="Arial"/>
      <w:bCs/>
      <w:color w:val="000000"/>
      <w:sz w:val="24"/>
    </w:rPr>
  </w:style>
  <w:style w:type="paragraph" w:customStyle="1" w:styleId="2588">
    <w:name w:val="Char Char Char Char Char Char Char Char Char Char Char1 Char Char Char Char Char Char2"/>
    <w:basedOn w:val="1"/>
    <w:qFormat/>
    <w:uiPriority w:val="99"/>
    <w:rPr>
      <w:rFonts w:ascii="Calibri" w:hAnsi="Calibri" w:cs="Calibri"/>
      <w:sz w:val="24"/>
    </w:rPr>
  </w:style>
  <w:style w:type="paragraph" w:customStyle="1" w:styleId="2589">
    <w:name w:val="xl167"/>
    <w:basedOn w:val="1"/>
    <w:qFormat/>
    <w:uiPriority w:val="99"/>
    <w:pPr>
      <w:widowControl/>
      <w:pBdr>
        <w:bottom w:val="single" w:color="auto" w:sz="12" w:space="0"/>
      </w:pBdr>
      <w:spacing w:before="100" w:beforeAutospacing="1" w:after="100" w:afterAutospacing="1"/>
      <w:jc w:val="center"/>
      <w:textAlignment w:val="center"/>
    </w:pPr>
    <w:rPr>
      <w:rFonts w:ascii="Arial Unicode MS" w:hAnsi="Arial Unicode MS" w:cs="Calibri"/>
      <w:kern w:val="0"/>
    </w:rPr>
  </w:style>
  <w:style w:type="paragraph" w:customStyle="1" w:styleId="2590">
    <w:name w:val="Char Char1 Char Char Char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591">
    <w:name w:val="xl248"/>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592">
    <w:name w:val="Char Char Char Char Char Char Char Char Char Char Char Char Char Char Char Char Char2"/>
    <w:basedOn w:val="1"/>
    <w:semiHidden/>
    <w:qFormat/>
    <w:uiPriority w:val="0"/>
    <w:rPr>
      <w:rFonts w:ascii="Calibri" w:hAnsi="Calibri" w:cs="Calibri"/>
      <w:sz w:val="24"/>
    </w:rPr>
  </w:style>
  <w:style w:type="paragraph" w:customStyle="1" w:styleId="2593">
    <w:name w:val="Char Char Char Char Char Char Char Char Char Char Char Char Char Char Char Char Char Char Char Char Char Char Char Char Char Char Char Char Char Char Char Char Char Char Char Char Char Char Char1"/>
    <w:basedOn w:val="1"/>
    <w:semiHidden/>
    <w:qFormat/>
    <w:uiPriority w:val="0"/>
    <w:rPr>
      <w:rFonts w:ascii="Calibri" w:hAnsi="Calibri" w:cs="Calibri"/>
      <w:sz w:val="24"/>
    </w:rPr>
  </w:style>
  <w:style w:type="paragraph" w:customStyle="1" w:styleId="2594">
    <w:name w:val="Char4 Char Char Char Char Char Char Char Char Char Char Char Char Char Char Char Char Char1 Char Char Char Char Char Char1 Char1"/>
    <w:basedOn w:val="1"/>
    <w:qFormat/>
    <w:uiPriority w:val="99"/>
    <w:pPr>
      <w:spacing w:line="240" w:lineRule="exact"/>
      <w:ind w:firstLine="200" w:firstLineChars="200"/>
    </w:pPr>
    <w:rPr>
      <w:rFonts w:ascii="Calibri" w:hAnsi="Calibri" w:cs="Calibri"/>
      <w:sz w:val="28"/>
      <w:szCs w:val="28"/>
    </w:rPr>
  </w:style>
  <w:style w:type="paragraph" w:customStyle="1" w:styleId="2595">
    <w:name w:val="Char Char216"/>
    <w:basedOn w:val="1"/>
    <w:semiHidden/>
    <w:qFormat/>
    <w:uiPriority w:val="0"/>
    <w:pPr>
      <w:spacing w:line="240" w:lineRule="exact"/>
      <w:ind w:firstLine="200" w:firstLineChars="200"/>
    </w:pPr>
    <w:rPr>
      <w:rFonts w:ascii="Calibri" w:hAnsi="Calibri" w:cs="Calibri"/>
      <w:sz w:val="28"/>
      <w:szCs w:val="28"/>
    </w:rPr>
  </w:style>
  <w:style w:type="paragraph" w:customStyle="1" w:styleId="2596">
    <w:name w:val="样式 宋体 小四 两端对齐 首行缩进:  0.85 厘米 行距: 1.5 倍行距"/>
    <w:basedOn w:val="1"/>
    <w:qFormat/>
    <w:uiPriority w:val="99"/>
    <w:pPr>
      <w:widowControl/>
      <w:spacing w:line="360" w:lineRule="auto"/>
      <w:ind w:firstLine="482"/>
    </w:pPr>
    <w:rPr>
      <w:rFonts w:ascii="Calibri" w:hAnsi="Calibri" w:cs="Calibri"/>
      <w:kern w:val="0"/>
      <w:sz w:val="24"/>
    </w:rPr>
  </w:style>
  <w:style w:type="paragraph" w:customStyle="1" w:styleId="2597">
    <w:name w:val="xl108"/>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cs="Calibri"/>
      <w:kern w:val="0"/>
      <w:sz w:val="12"/>
      <w:szCs w:val="12"/>
    </w:rPr>
  </w:style>
  <w:style w:type="paragraph" w:customStyle="1" w:styleId="2598">
    <w:name w:val="xl223"/>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599">
    <w:name w:val="样式12"/>
    <w:basedOn w:val="2279"/>
    <w:qFormat/>
    <w:uiPriority w:val="0"/>
    <w:pPr>
      <w:adjustRightInd w:val="0"/>
    </w:pPr>
    <w:rPr>
      <w:rFonts w:ascii="仿宋_GB2312" w:hAnsi="宋体" w:eastAsia="仿宋_GB2312"/>
      <w:b/>
      <w:color w:val="FF0000"/>
      <w:szCs w:val="30"/>
    </w:rPr>
  </w:style>
  <w:style w:type="paragraph" w:customStyle="1" w:styleId="2600">
    <w:name w:val="Char6 Char Char Char1 Char Char Char1"/>
    <w:basedOn w:val="1"/>
    <w:semiHidden/>
    <w:qFormat/>
    <w:uiPriority w:val="0"/>
    <w:rPr>
      <w:rFonts w:ascii="Calibri" w:hAnsi="Calibri" w:cs="Calibri"/>
      <w:szCs w:val="21"/>
    </w:rPr>
  </w:style>
  <w:style w:type="paragraph" w:customStyle="1" w:styleId="2601">
    <w:name w:val="Char Char Char1 Char Char2"/>
    <w:basedOn w:val="1"/>
    <w:semiHidden/>
    <w:qFormat/>
    <w:uiPriority w:val="0"/>
    <w:rPr>
      <w:rFonts w:ascii="黑体" w:hAnsi="黑体" w:eastAsia="黑体" w:cs="Calibri"/>
      <w:b/>
      <w:spacing w:val="10"/>
      <w:sz w:val="28"/>
      <w:szCs w:val="20"/>
    </w:rPr>
  </w:style>
  <w:style w:type="paragraph" w:customStyle="1" w:styleId="2602">
    <w:name w:val="Char1 Char Char Char1"/>
    <w:basedOn w:val="1"/>
    <w:qFormat/>
    <w:uiPriority w:val="99"/>
    <w:rPr>
      <w:rFonts w:ascii="Calibri" w:hAnsi="Calibri" w:cs="Calibri"/>
      <w:szCs w:val="21"/>
    </w:rPr>
  </w:style>
  <w:style w:type="paragraph" w:customStyle="1" w:styleId="2603">
    <w:name w:val="样式 正文缩进正文（首行缩进两字）正文（首行缩进两字） Char Char Char Char Char Char Char..."/>
    <w:basedOn w:val="23"/>
    <w:qFormat/>
    <w:uiPriority w:val="99"/>
    <w:pPr>
      <w:tabs>
        <w:tab w:val="left" w:pos="3360"/>
      </w:tabs>
      <w:spacing w:line="360" w:lineRule="auto"/>
      <w:ind w:firstLine="480"/>
      <w:textAlignment w:val="baseline"/>
    </w:pPr>
    <w:rPr>
      <w:rFonts w:ascii="楷体_GB2312" w:hAnsi="Calibri" w:eastAsia="楷体_GB2312" w:cs="Calibri"/>
      <w:snapToGrid w:val="0"/>
      <w:kern w:val="0"/>
      <w:sz w:val="24"/>
      <w:szCs w:val="24"/>
      <w:lang w:val="en-US"/>
    </w:rPr>
  </w:style>
  <w:style w:type="paragraph" w:customStyle="1" w:styleId="2604">
    <w:name w:val="Char Char94"/>
    <w:basedOn w:val="1"/>
    <w:semiHidden/>
    <w:qFormat/>
    <w:uiPriority w:val="0"/>
    <w:rPr>
      <w:rFonts w:ascii="Calibri" w:hAnsi="Calibri" w:cs="Calibri"/>
      <w:sz w:val="24"/>
    </w:rPr>
  </w:style>
  <w:style w:type="paragraph" w:customStyle="1" w:styleId="2605">
    <w:name w:val="Char1 Char Char Char Char Char Char2"/>
    <w:basedOn w:val="1"/>
    <w:qFormat/>
    <w:uiPriority w:val="99"/>
    <w:rPr>
      <w:rFonts w:ascii="Calibri" w:hAnsi="Calibri" w:cs="Calibri"/>
      <w:sz w:val="24"/>
    </w:rPr>
  </w:style>
  <w:style w:type="paragraph" w:customStyle="1" w:styleId="2606">
    <w:name w:val="样式 (中文) 楷体_GB2312 四号 行距: 固定值 25 磅"/>
    <w:basedOn w:val="1"/>
    <w:semiHidden/>
    <w:qFormat/>
    <w:uiPriority w:val="0"/>
    <w:pPr>
      <w:spacing w:line="500" w:lineRule="exact"/>
      <w:ind w:firstLine="560" w:firstLineChars="200"/>
    </w:pPr>
    <w:rPr>
      <w:rFonts w:ascii="@黑体" w:hAnsi="@黑体" w:eastAsia="黑体" w:cs="Calibri"/>
      <w:kern w:val="0"/>
      <w:sz w:val="28"/>
      <w:szCs w:val="20"/>
    </w:rPr>
  </w:style>
  <w:style w:type="paragraph" w:customStyle="1" w:styleId="2607">
    <w:name w:val="Char2 Char Char Char Char Char Char Char Char 字元 字元1"/>
    <w:basedOn w:val="1"/>
    <w:semiHidden/>
    <w:qFormat/>
    <w:uiPriority w:val="0"/>
    <w:rPr>
      <w:rFonts w:ascii="Calibri" w:hAnsi="Calibri" w:cs="Calibri"/>
      <w:sz w:val="24"/>
    </w:rPr>
  </w:style>
  <w:style w:type="paragraph" w:customStyle="1" w:styleId="2608">
    <w:name w:val="目录 5 Char Char"/>
    <w:basedOn w:val="1"/>
    <w:next w:val="1"/>
    <w:qFormat/>
    <w:uiPriority w:val="99"/>
    <w:pPr>
      <w:spacing w:line="351" w:lineRule="atLeast"/>
      <w:ind w:left="839" w:firstLine="419"/>
      <w:jc w:val="left"/>
    </w:pPr>
    <w:rPr>
      <w:rFonts w:hint="eastAsia" w:ascii="Calibri" w:hAnsi="Calibri" w:cs="Calibri"/>
      <w:szCs w:val="20"/>
    </w:rPr>
  </w:style>
  <w:style w:type="paragraph" w:customStyle="1" w:styleId="2609">
    <w:name w:val="Char2 Char Char1"/>
    <w:basedOn w:val="1"/>
    <w:qFormat/>
    <w:uiPriority w:val="99"/>
    <w:rPr>
      <w:rFonts w:ascii="Calibri" w:hAnsi="Calibri" w:cs="Calibri"/>
      <w:szCs w:val="21"/>
    </w:rPr>
  </w:style>
  <w:style w:type="paragraph" w:customStyle="1" w:styleId="2610">
    <w:name w:val="xl222"/>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611">
    <w:name w:val="xl316"/>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612">
    <w:name w:val="Char Char Char Char Char Char Char Char Char Char Char Char Char Char Char Char Char Char Char1"/>
    <w:basedOn w:val="1"/>
    <w:qFormat/>
    <w:uiPriority w:val="0"/>
    <w:rPr>
      <w:rFonts w:ascii="Calibri" w:hAnsi="Calibri" w:cs="Calibri"/>
      <w:sz w:val="24"/>
    </w:rPr>
  </w:style>
  <w:style w:type="paragraph" w:customStyle="1" w:styleId="2613">
    <w:name w:val="xl129"/>
    <w:basedOn w:val="1"/>
    <w:qFormat/>
    <w:uiPriority w:val="99"/>
    <w:pPr>
      <w:widowControl/>
      <w:pBdr>
        <w:right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614">
    <w:name w:val="文本正文"/>
    <w:basedOn w:val="1"/>
    <w:semiHidden/>
    <w:qFormat/>
    <w:uiPriority w:val="0"/>
    <w:pPr>
      <w:snapToGrid w:val="0"/>
      <w:spacing w:line="360" w:lineRule="auto"/>
      <w:ind w:firstLine="510"/>
      <w:jc w:val="left"/>
    </w:pPr>
    <w:rPr>
      <w:rFonts w:ascii="宋体" w:hAnsi="Calibri" w:cs="Calibri"/>
      <w:spacing w:val="4"/>
      <w:kern w:val="24"/>
      <w:sz w:val="24"/>
      <w:lang w:val="zh-CN"/>
    </w:rPr>
  </w:style>
  <w:style w:type="paragraph" w:customStyle="1" w:styleId="2615">
    <w:name w:val="xl22"/>
    <w:basedOn w:val="1"/>
    <w:qFormat/>
    <w:uiPriority w:val="0"/>
    <w:pPr>
      <w:widowControl/>
      <w:pBdr>
        <w:bottom w:val="single" w:color="auto" w:sz="12" w:space="0"/>
      </w:pBdr>
      <w:spacing w:before="100" w:beforeAutospacing="1" w:after="100" w:afterAutospacing="1"/>
      <w:jc w:val="left"/>
    </w:pPr>
    <w:rPr>
      <w:rFonts w:ascii="Arial Unicode MS" w:hAnsi="Arial Unicode MS" w:cs="Calibri"/>
      <w:kern w:val="0"/>
    </w:rPr>
  </w:style>
  <w:style w:type="paragraph" w:customStyle="1" w:styleId="2616">
    <w:name w:val="样式 标题 4 + 黑体 小四 非加粗"/>
    <w:basedOn w:val="6"/>
    <w:qFormat/>
    <w:uiPriority w:val="0"/>
    <w:pPr>
      <w:numPr>
        <w:ilvl w:val="0"/>
        <w:numId w:val="0"/>
      </w:numPr>
      <w:adjustRightInd w:val="0"/>
      <w:spacing w:before="0" w:after="0" w:line="500" w:lineRule="exact"/>
      <w:textAlignment w:val="baseline"/>
    </w:pPr>
    <w:rPr>
      <w:rFonts w:ascii="黑体" w:hAnsi="黑体" w:eastAsia="宋体" w:cs="Calibri"/>
      <w:b w:val="0"/>
      <w:bCs/>
      <w:spacing w:val="10"/>
      <w:kern w:val="0"/>
      <w:sz w:val="24"/>
      <w:szCs w:val="24"/>
      <w:lang w:val="en-US"/>
    </w:rPr>
  </w:style>
  <w:style w:type="paragraph" w:customStyle="1" w:styleId="2617">
    <w:name w:val="样式 标题 1一、1.标题章标题 + 小三"/>
    <w:basedOn w:val="3"/>
    <w:qFormat/>
    <w:uiPriority w:val="99"/>
    <w:pPr>
      <w:keepLines/>
      <w:overflowPunct/>
      <w:adjustRightInd w:val="0"/>
      <w:snapToGrid/>
      <w:spacing w:before="0" w:after="0" w:line="360" w:lineRule="auto"/>
      <w:ind w:left="0" w:firstLine="0"/>
    </w:pPr>
    <w:rPr>
      <w:rFonts w:ascii="黑体" w:hAnsi="Arial Black" w:eastAsia="宋体"/>
      <w:bCs w:val="0"/>
      <w:color w:val="auto"/>
      <w:sz w:val="28"/>
      <w:szCs w:val="20"/>
    </w:rPr>
  </w:style>
  <w:style w:type="paragraph" w:customStyle="1" w:styleId="2618">
    <w:name w:val="Char1 Char Char Char Char Char Char Char Char Char Char Char Char"/>
    <w:basedOn w:val="1"/>
    <w:next w:val="1"/>
    <w:semiHidden/>
    <w:qFormat/>
    <w:uiPriority w:val="0"/>
    <w:pPr>
      <w:keepNext/>
      <w:keepLines/>
      <w:widowControl/>
      <w:adjustRightInd w:val="0"/>
      <w:spacing w:before="40" w:after="40" w:line="360" w:lineRule="auto"/>
      <w:ind w:firstLine="200" w:firstLineChars="200"/>
      <w:textAlignment w:val="baseline"/>
    </w:pPr>
    <w:rPr>
      <w:rFonts w:ascii="Calibri" w:hAnsi="Calibri" w:cs="宋体"/>
      <w:kern w:val="0"/>
      <w:sz w:val="24"/>
      <w:szCs w:val="28"/>
    </w:rPr>
  </w:style>
  <w:style w:type="paragraph" w:customStyle="1" w:styleId="2619">
    <w:name w:val="正文文本缩进 213"/>
    <w:basedOn w:val="1"/>
    <w:semiHidden/>
    <w:qFormat/>
    <w:uiPriority w:val="0"/>
    <w:pPr>
      <w:adjustRightInd w:val="0"/>
      <w:spacing w:line="480" w:lineRule="atLeast"/>
      <w:ind w:firstLine="630"/>
      <w:textAlignment w:val="baseline"/>
    </w:pPr>
    <w:rPr>
      <w:rFonts w:ascii="宋体" w:hAnsi="Calibri" w:cs="Calibri"/>
      <w:sz w:val="28"/>
      <w:szCs w:val="20"/>
    </w:rPr>
  </w:style>
  <w:style w:type="paragraph" w:customStyle="1" w:styleId="2620">
    <w:name w:val="验方正文"/>
    <w:basedOn w:val="1"/>
    <w:qFormat/>
    <w:uiPriority w:val="99"/>
    <w:pPr>
      <w:adjustRightInd w:val="0"/>
      <w:spacing w:line="312" w:lineRule="atLeast"/>
      <w:ind w:firstLine="686"/>
      <w:textAlignment w:val="baseline"/>
    </w:pPr>
    <w:rPr>
      <w:rFonts w:ascii="仿宋_GB2312" w:hAnsi="Courier New" w:eastAsia="仿宋_GB2312" w:cs="Calibri"/>
      <w:kern w:val="0"/>
      <w:sz w:val="28"/>
      <w:szCs w:val="20"/>
    </w:rPr>
  </w:style>
  <w:style w:type="paragraph" w:customStyle="1" w:styleId="2621">
    <w:name w:val="样式 (符号) 宋体 行距: 固定值 25 磅"/>
    <w:basedOn w:val="1"/>
    <w:semiHidden/>
    <w:qFormat/>
    <w:uiPriority w:val="0"/>
    <w:pPr>
      <w:spacing w:line="500" w:lineRule="exact"/>
      <w:ind w:firstLine="473" w:firstLineChars="225"/>
    </w:pPr>
    <w:rPr>
      <w:rFonts w:ascii="Calibri" w:hAnsi="宋体" w:cs="宋体"/>
      <w:sz w:val="24"/>
      <w:szCs w:val="20"/>
    </w:rPr>
  </w:style>
  <w:style w:type="paragraph" w:customStyle="1" w:styleId="2622">
    <w:name w:val="－列表"/>
    <w:basedOn w:val="67"/>
    <w:qFormat/>
    <w:uiPriority w:val="0"/>
    <w:pPr>
      <w:adjustRightInd w:val="0"/>
      <w:snapToGrid w:val="0"/>
      <w:spacing w:line="360" w:lineRule="atLeast"/>
      <w:ind w:firstLine="0" w:firstLineChars="0"/>
      <w:jc w:val="both"/>
      <w:textAlignment w:val="baseline"/>
    </w:pPr>
    <w:rPr>
      <w:rFonts w:cs="Calibri"/>
      <w:snapToGrid w:val="0"/>
      <w:kern w:val="0"/>
      <w:sz w:val="22"/>
      <w:szCs w:val="22"/>
    </w:rPr>
  </w:style>
  <w:style w:type="paragraph" w:customStyle="1" w:styleId="2623">
    <w:name w:val="表前文字"/>
    <w:basedOn w:val="1"/>
    <w:qFormat/>
    <w:uiPriority w:val="0"/>
    <w:pPr>
      <w:jc w:val="center"/>
    </w:pPr>
    <w:rPr>
      <w:rFonts w:ascii="宋体" w:hAnsi="宋体" w:cs="Calibri"/>
      <w:sz w:val="24"/>
      <w:szCs w:val="21"/>
    </w:rPr>
  </w:style>
  <w:style w:type="paragraph" w:customStyle="1" w:styleId="2624">
    <w:name w:val="xl299"/>
    <w:basedOn w:val="1"/>
    <w:semiHidden/>
    <w:qFormat/>
    <w:uiPriority w:val="0"/>
    <w:pPr>
      <w:widowControl/>
      <w:pBdr>
        <w:top w:val="single" w:color="auto" w:sz="12" w:space="0"/>
        <w:bottom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2625">
    <w:name w:val="Char Char Char1 Char Char Char1 Char Char Char Char Char Char1 Char Char Char1 Char"/>
    <w:basedOn w:val="1"/>
    <w:qFormat/>
    <w:uiPriority w:val="99"/>
    <w:rPr>
      <w:rFonts w:ascii="Calibri" w:hAnsi="Calibri" w:cs="Calibri"/>
    </w:rPr>
  </w:style>
  <w:style w:type="paragraph" w:customStyle="1" w:styleId="2626">
    <w:name w:val="文-1"/>
    <w:basedOn w:val="1"/>
    <w:qFormat/>
    <w:uiPriority w:val="99"/>
    <w:pPr>
      <w:spacing w:before="120"/>
      <w:ind w:left="851" w:firstLine="482"/>
    </w:pPr>
    <w:rPr>
      <w:rFonts w:ascii="Calibri" w:hAnsi="Calibri" w:cs="Calibri"/>
      <w:sz w:val="24"/>
      <w:szCs w:val="20"/>
    </w:rPr>
  </w:style>
  <w:style w:type="paragraph" w:customStyle="1" w:styleId="2627">
    <w:name w:val="Char4 Char Char Char4"/>
    <w:basedOn w:val="1"/>
    <w:qFormat/>
    <w:uiPriority w:val="99"/>
    <w:rPr>
      <w:rFonts w:ascii="Calibri" w:hAnsi="Calibri" w:cs="Calibri"/>
      <w:kern w:val="0"/>
      <w:sz w:val="24"/>
    </w:rPr>
  </w:style>
  <w:style w:type="paragraph" w:customStyle="1" w:styleId="2628">
    <w:name w:val="xl104"/>
    <w:basedOn w:val="1"/>
    <w:qFormat/>
    <w:uiPriority w:val="99"/>
    <w:pPr>
      <w:widowControl/>
      <w:spacing w:before="100" w:beforeAutospacing="1" w:after="100" w:afterAutospacing="1"/>
      <w:jc w:val="center"/>
      <w:textAlignment w:val="center"/>
    </w:pPr>
    <w:rPr>
      <w:rFonts w:ascii="Arial Unicode MS" w:hAnsi="Arial Unicode MS" w:cs="Calibri"/>
      <w:kern w:val="0"/>
      <w:sz w:val="12"/>
      <w:szCs w:val="12"/>
    </w:rPr>
  </w:style>
  <w:style w:type="paragraph" w:customStyle="1" w:styleId="2629">
    <w:name w:val="Char12"/>
    <w:basedOn w:val="1"/>
    <w:qFormat/>
    <w:uiPriority w:val="0"/>
    <w:rPr>
      <w:rFonts w:ascii="Calibri" w:hAnsi="Calibri" w:cs="Calibri"/>
      <w:sz w:val="24"/>
    </w:rPr>
  </w:style>
  <w:style w:type="paragraph" w:customStyle="1" w:styleId="2630">
    <w:name w:val="xl252"/>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631">
    <w:name w:val="Char Char Char Char Char Char1 Char1 Char Char Char Char Char Char1"/>
    <w:basedOn w:val="1"/>
    <w:semiHidden/>
    <w:qFormat/>
    <w:uiPriority w:val="0"/>
    <w:rPr>
      <w:rFonts w:ascii="Calibri" w:hAnsi="Calibri" w:cs="Calibri"/>
    </w:rPr>
  </w:style>
  <w:style w:type="paragraph" w:customStyle="1" w:styleId="2632">
    <w:name w:val="Char Char Char Char Char Char Char Char Char"/>
    <w:basedOn w:val="1"/>
    <w:qFormat/>
    <w:uiPriority w:val="0"/>
    <w:rPr>
      <w:rFonts w:ascii="Calibri" w:hAnsi="Calibri" w:cs="Calibri"/>
    </w:rPr>
  </w:style>
  <w:style w:type="paragraph" w:customStyle="1" w:styleId="2633">
    <w:name w:val="样式 样式2 + 非加粗 段前: 0 磅 段后: 0 磅"/>
    <w:basedOn w:val="1"/>
    <w:qFormat/>
    <w:uiPriority w:val="99"/>
    <w:pPr>
      <w:tabs>
        <w:tab w:val="left" w:pos="0"/>
      </w:tabs>
    </w:pPr>
    <w:rPr>
      <w:rFonts w:ascii="仿宋_GB2312" w:hAnsi="宋体" w:eastAsia="仿宋_GB2312" w:cs="Calibri"/>
      <w:sz w:val="28"/>
      <w:szCs w:val="20"/>
    </w:rPr>
  </w:style>
  <w:style w:type="paragraph" w:customStyle="1" w:styleId="2634">
    <w:name w:val="标准文本 首行缩进:2 字符 行距1倍 Char Char Char"/>
    <w:basedOn w:val="1"/>
    <w:semiHidden/>
    <w:qFormat/>
    <w:uiPriority w:val="0"/>
    <w:pPr>
      <w:adjustRightInd w:val="0"/>
      <w:snapToGrid w:val="0"/>
      <w:spacing w:before="120" w:beforeLines="50" w:line="480" w:lineRule="exact"/>
      <w:ind w:right="62" w:firstLine="470" w:firstLineChars="196"/>
      <w:textAlignment w:val="center"/>
    </w:pPr>
    <w:rPr>
      <w:rFonts w:ascii="Calibri" w:hAnsi="Calibri" w:cs="宋体"/>
      <w:color w:val="000000"/>
      <w:sz w:val="24"/>
    </w:rPr>
  </w:style>
  <w:style w:type="paragraph" w:customStyle="1" w:styleId="2635">
    <w:name w:val="xl221"/>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636">
    <w:name w:val="总结轮"/>
    <w:basedOn w:val="906"/>
    <w:semiHidden/>
    <w:qFormat/>
    <w:uiPriority w:val="0"/>
    <w:pPr>
      <w:widowControl w:val="0"/>
      <w:spacing w:line="240" w:lineRule="auto"/>
      <w:ind w:firstLine="0" w:firstLineChars="0"/>
      <w:jc w:val="both"/>
    </w:pPr>
    <w:rPr>
      <w:rFonts w:ascii="Calibri" w:hAnsi="Calibri" w:cs="Calibri"/>
      <w:kern w:val="2"/>
      <w:sz w:val="21"/>
      <w:szCs w:val="22"/>
    </w:rPr>
  </w:style>
  <w:style w:type="paragraph" w:customStyle="1" w:styleId="2637">
    <w:name w:val="样式 目录 2 + 首行缩进:  2 字符1"/>
    <w:basedOn w:val="75"/>
    <w:semiHidden/>
    <w:qFormat/>
    <w:uiPriority w:val="0"/>
    <w:pPr>
      <w:widowControl w:val="0"/>
      <w:tabs>
        <w:tab w:val="left" w:pos="1200"/>
        <w:tab w:val="right" w:leader="dot" w:pos="8511"/>
        <w:tab w:val="clear" w:pos="8800"/>
      </w:tabs>
      <w:spacing w:line="360" w:lineRule="exact"/>
      <w:ind w:left="210" w:leftChars="0" w:right="0" w:firstLine="480"/>
    </w:pPr>
    <w:rPr>
      <w:rFonts w:ascii="Calibri" w:hAnsi="Calibri"/>
      <w:b w:val="0"/>
      <w:bCs w:val="0"/>
      <w:kern w:val="2"/>
      <w:szCs w:val="20"/>
    </w:rPr>
  </w:style>
  <w:style w:type="paragraph" w:customStyle="1" w:styleId="2638">
    <w:name w:val="样式2.6.4"/>
    <w:basedOn w:val="1"/>
    <w:semiHidden/>
    <w:qFormat/>
    <w:uiPriority w:val="0"/>
    <w:pPr>
      <w:numPr>
        <w:ilvl w:val="3"/>
        <w:numId w:val="12"/>
      </w:numPr>
      <w:tabs>
        <w:tab w:val="left" w:pos="286"/>
      </w:tabs>
      <w:spacing w:before="50" w:beforeLines="50" w:line="360" w:lineRule="auto"/>
      <w:outlineLvl w:val="3"/>
    </w:pPr>
    <w:rPr>
      <w:rFonts w:ascii="Calibri" w:hAnsi="Calibri" w:cs="Calibri"/>
      <w:b/>
      <w:sz w:val="24"/>
    </w:rPr>
  </w:style>
  <w:style w:type="paragraph" w:customStyle="1" w:styleId="2639">
    <w:name w:val="xl187"/>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Calibri" w:hAnsi="Calibri" w:cs="Calibri"/>
      <w:kern w:val="0"/>
      <w:sz w:val="16"/>
      <w:szCs w:val="16"/>
    </w:rPr>
  </w:style>
  <w:style w:type="paragraph" w:customStyle="1" w:styleId="2640">
    <w:name w:val="Pa11"/>
    <w:basedOn w:val="1"/>
    <w:next w:val="1"/>
    <w:semiHidden/>
    <w:qFormat/>
    <w:uiPriority w:val="0"/>
    <w:pPr>
      <w:autoSpaceDE w:val="0"/>
      <w:autoSpaceDN w:val="0"/>
      <w:adjustRightInd w:val="0"/>
      <w:spacing w:before="140" w:after="140" w:line="211" w:lineRule="atLeast"/>
      <w:jc w:val="left"/>
    </w:pPr>
    <w:rPr>
      <w:rFonts w:ascii="宋体" w:hAnsi="Calibri" w:cs="Calibri"/>
      <w:kern w:val="0"/>
      <w:sz w:val="24"/>
    </w:rPr>
  </w:style>
  <w:style w:type="paragraph" w:customStyle="1" w:styleId="2641">
    <w:name w:val="Char1 Char Char Char Char Char Char1"/>
    <w:basedOn w:val="1"/>
    <w:qFormat/>
    <w:uiPriority w:val="99"/>
    <w:rPr>
      <w:rFonts w:ascii="Calibri" w:hAnsi="Calibri" w:cs="Calibri"/>
      <w:sz w:val="24"/>
    </w:rPr>
  </w:style>
  <w:style w:type="paragraph" w:customStyle="1" w:styleId="2642">
    <w:name w:val="正文标题"/>
    <w:basedOn w:val="1"/>
    <w:semiHidden/>
    <w:qFormat/>
    <w:uiPriority w:val="0"/>
    <w:pPr>
      <w:spacing w:line="480" w:lineRule="auto"/>
      <w:ind w:firstLine="472" w:firstLineChars="196"/>
    </w:pPr>
    <w:rPr>
      <w:rFonts w:ascii="Calibri" w:hAnsi="Calibri" w:cs="Calibri"/>
      <w:b/>
      <w:sz w:val="24"/>
    </w:rPr>
  </w:style>
  <w:style w:type="paragraph" w:customStyle="1" w:styleId="2643">
    <w:name w:val="样式 标题 1 + 段前: 1 行 段后: 1.5 行"/>
    <w:basedOn w:val="3"/>
    <w:qFormat/>
    <w:uiPriority w:val="99"/>
    <w:pPr>
      <w:keepLines/>
      <w:tabs>
        <w:tab w:val="left" w:pos="432"/>
      </w:tabs>
      <w:overflowPunct/>
      <w:adjustRightInd w:val="0"/>
      <w:spacing w:before="0" w:after="468" w:afterLines="150" w:line="360" w:lineRule="auto"/>
    </w:pPr>
    <w:rPr>
      <w:rFonts w:ascii="仿宋_GB2312" w:hAnsi="宋体" w:eastAsia="仿宋_GB2312" w:cs="宋体"/>
      <w:b w:val="0"/>
      <w:color w:val="auto"/>
      <w:sz w:val="28"/>
      <w:szCs w:val="32"/>
    </w:rPr>
  </w:style>
  <w:style w:type="paragraph" w:customStyle="1" w:styleId="2644">
    <w:name w:val="xl165"/>
    <w:basedOn w:val="1"/>
    <w:qFormat/>
    <w:uiPriority w:val="99"/>
    <w:pPr>
      <w:widowControl/>
      <w:pBdr>
        <w:top w:val="single" w:color="auto" w:sz="12" w:space="0"/>
        <w:right w:val="single" w:color="auto" w:sz="4" w:space="0"/>
      </w:pBdr>
      <w:spacing w:before="100" w:beforeAutospacing="1" w:after="100" w:afterAutospacing="1"/>
      <w:jc w:val="center"/>
      <w:textAlignment w:val="center"/>
    </w:pPr>
    <w:rPr>
      <w:rFonts w:ascii="Arial Unicode MS" w:hAnsi="Arial Unicode MS" w:cs="Calibri"/>
      <w:kern w:val="0"/>
    </w:rPr>
  </w:style>
  <w:style w:type="paragraph" w:customStyle="1" w:styleId="2645">
    <w:name w:val="LOGO"/>
    <w:basedOn w:val="1"/>
    <w:semiHidden/>
    <w:qFormat/>
    <w:uiPriority w:val="0"/>
    <w:pPr>
      <w:ind w:left="482"/>
      <w:jc w:val="right"/>
    </w:pPr>
    <w:rPr>
      <w:rFonts w:ascii="Calibri" w:hAnsi="Calibri" w:cs="宋体"/>
      <w:sz w:val="24"/>
      <w:szCs w:val="20"/>
    </w:rPr>
  </w:style>
  <w:style w:type="paragraph" w:customStyle="1" w:styleId="2646">
    <w:name w:val="Char Char Char Char Char Char Char Char Char Char 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2647">
    <w:name w:val="Char Char114"/>
    <w:basedOn w:val="1"/>
    <w:semiHidden/>
    <w:qFormat/>
    <w:uiPriority w:val="0"/>
    <w:rPr>
      <w:rFonts w:ascii="Calibri" w:hAnsi="Calibri" w:cs="Calibri"/>
      <w:sz w:val="24"/>
    </w:rPr>
  </w:style>
  <w:style w:type="paragraph" w:customStyle="1" w:styleId="2648">
    <w:name w:val="Char Char1 Char"/>
    <w:basedOn w:val="1"/>
    <w:qFormat/>
    <w:uiPriority w:val="0"/>
    <w:rPr>
      <w:rFonts w:ascii="Calibri" w:hAnsi="Calibri" w:cs="Calibri"/>
      <w:sz w:val="24"/>
    </w:rPr>
  </w:style>
  <w:style w:type="paragraph" w:customStyle="1" w:styleId="2649">
    <w:name w:val="样式 一级 + 段前: 1 行 段后: 1 行"/>
    <w:basedOn w:val="1"/>
    <w:semiHidden/>
    <w:qFormat/>
    <w:uiPriority w:val="0"/>
    <w:pPr>
      <w:keepNext/>
      <w:tabs>
        <w:tab w:val="left" w:pos="0"/>
      </w:tabs>
      <w:spacing w:beforeLines="100" w:afterLines="100" w:line="500" w:lineRule="exact"/>
      <w:outlineLvl w:val="0"/>
    </w:pPr>
    <w:rPr>
      <w:rFonts w:ascii="Calibri" w:hAnsi="Calibri" w:eastAsia="黑体" w:cs="Calibri"/>
      <w:b/>
      <w:bCs/>
      <w:spacing w:val="12"/>
      <w:sz w:val="32"/>
      <w:szCs w:val="20"/>
    </w:rPr>
  </w:style>
  <w:style w:type="paragraph" w:customStyle="1" w:styleId="2650">
    <w:name w:val="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2651">
    <w:name w:val="xl305"/>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652">
    <w:name w:val="xl109"/>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653">
    <w:name w:val="xl193"/>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Calibri"/>
      <w:kern w:val="0"/>
      <w:sz w:val="16"/>
      <w:szCs w:val="16"/>
    </w:rPr>
  </w:style>
  <w:style w:type="paragraph" w:customStyle="1" w:styleId="2654">
    <w:name w:val="font18"/>
    <w:basedOn w:val="1"/>
    <w:qFormat/>
    <w:uiPriority w:val="0"/>
    <w:pPr>
      <w:widowControl/>
      <w:spacing w:before="100" w:beforeAutospacing="1" w:after="100" w:afterAutospacing="1"/>
      <w:jc w:val="left"/>
    </w:pPr>
    <w:rPr>
      <w:rFonts w:ascii="宋体" w:hAnsi="宋体" w:cs="宋体"/>
      <w:color w:val="CC99FF"/>
      <w:kern w:val="0"/>
      <w:sz w:val="18"/>
      <w:szCs w:val="18"/>
    </w:rPr>
  </w:style>
  <w:style w:type="paragraph" w:customStyle="1" w:styleId="2655">
    <w:name w:val="Char2 Char Char Char"/>
    <w:basedOn w:val="1"/>
    <w:qFormat/>
    <w:uiPriority w:val="99"/>
    <w:pPr>
      <w:spacing w:line="360" w:lineRule="auto"/>
      <w:ind w:firstLine="200" w:firstLineChars="200"/>
    </w:pPr>
    <w:rPr>
      <w:rFonts w:ascii="宋体" w:hAnsi="宋体" w:cs="宋体"/>
      <w:sz w:val="24"/>
    </w:rPr>
  </w:style>
  <w:style w:type="paragraph" w:customStyle="1" w:styleId="2656">
    <w:name w:val="小节"/>
    <w:basedOn w:val="1"/>
    <w:semiHidden/>
    <w:qFormat/>
    <w:uiPriority w:val="0"/>
    <w:pPr>
      <w:spacing w:line="360" w:lineRule="auto"/>
    </w:pPr>
    <w:rPr>
      <w:rFonts w:ascii="@黑体" w:hAnsi="@黑体" w:eastAsia="@黑体" w:cs="Calibri"/>
      <w:sz w:val="28"/>
      <w:szCs w:val="20"/>
    </w:rPr>
  </w:style>
  <w:style w:type="paragraph" w:customStyle="1" w:styleId="2657">
    <w:name w:val="xl101"/>
    <w:basedOn w:val="1"/>
    <w:qFormat/>
    <w:uiPriority w:val="99"/>
    <w:pPr>
      <w:widowControl/>
      <w:pBdr>
        <w:left w:val="single" w:color="auto" w:sz="4" w:space="0"/>
        <w:right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658">
    <w:name w:val="bt2"/>
    <w:basedOn w:val="1"/>
    <w:semiHidden/>
    <w:qFormat/>
    <w:uiPriority w:val="0"/>
    <w:pPr>
      <w:adjustRightInd w:val="0"/>
      <w:spacing w:line="500" w:lineRule="exact"/>
      <w:ind w:firstLine="624"/>
      <w:textAlignment w:val="baseline"/>
    </w:pPr>
    <w:rPr>
      <w:rFonts w:ascii="@黑体" w:hAnsi="@黑体" w:eastAsia="黑体" w:cs="Calibri"/>
      <w:b/>
      <w:kern w:val="0"/>
      <w:sz w:val="30"/>
      <w:szCs w:val="20"/>
    </w:rPr>
  </w:style>
  <w:style w:type="paragraph" w:customStyle="1" w:styleId="2659">
    <w:name w:val="xl53"/>
    <w:basedOn w:val="1"/>
    <w:qFormat/>
    <w:uiPriority w:val="0"/>
    <w:pPr>
      <w:widowControl/>
      <w:pBdr>
        <w:top w:val="single" w:color="auto" w:sz="12" w:space="0"/>
        <w:bottom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660">
    <w:name w:val="样式 正文缩进 + 小四 段后: 7.8 磅 行距: 多倍行距 1.2 字行"/>
    <w:basedOn w:val="23"/>
    <w:semiHidden/>
    <w:qFormat/>
    <w:uiPriority w:val="0"/>
    <w:pPr>
      <w:adjustRightInd/>
      <w:spacing w:line="360" w:lineRule="auto"/>
    </w:pPr>
    <w:rPr>
      <w:rFonts w:ascii="Calibri" w:hAnsi="Calibri" w:eastAsia="宋体" w:cs="宋体"/>
      <w:sz w:val="24"/>
      <w:lang w:val="en-US"/>
    </w:rPr>
  </w:style>
  <w:style w:type="paragraph" w:customStyle="1" w:styleId="2661">
    <w:name w:val="Char4 Char Char Char Char Char Char Char Char Char Char Char Char Char Char Char Char Char1 Char"/>
    <w:basedOn w:val="1"/>
    <w:qFormat/>
    <w:uiPriority w:val="0"/>
    <w:pPr>
      <w:spacing w:line="240" w:lineRule="exact"/>
      <w:ind w:firstLine="200" w:firstLineChars="200"/>
    </w:pPr>
    <w:rPr>
      <w:rFonts w:ascii="Calibri" w:hAnsi="Calibri" w:cs="Calibri"/>
      <w:sz w:val="28"/>
      <w:szCs w:val="28"/>
    </w:rPr>
  </w:style>
  <w:style w:type="paragraph" w:customStyle="1" w:styleId="2662">
    <w:name w:val="页眉左"/>
    <w:basedOn w:val="11"/>
    <w:qFormat/>
    <w:uiPriority w:val="99"/>
    <w:pPr>
      <w:pBdr>
        <w:bottom w:val="none" w:color="auto" w:sz="0" w:space="0"/>
      </w:pBdr>
      <w:adjustRightInd w:val="0"/>
      <w:snapToGrid/>
      <w:spacing w:before="60" w:after="60" w:line="240" w:lineRule="atLeast"/>
      <w:jc w:val="left"/>
      <w:textAlignment w:val="baseline"/>
    </w:pPr>
    <w:rPr>
      <w:rFonts w:ascii="Calibri" w:hAnsi="Calibri" w:cs="Calibri"/>
      <w:sz w:val="22"/>
      <w:lang w:val="en-GB"/>
    </w:rPr>
  </w:style>
  <w:style w:type="paragraph" w:customStyle="1" w:styleId="2663">
    <w:name w:val="Char Char Char Char Char Char Char Char Char1 Char Char Char Char Char Char Char Char1 Char Char Char"/>
    <w:basedOn w:val="1"/>
    <w:qFormat/>
    <w:uiPriority w:val="99"/>
    <w:pPr>
      <w:snapToGrid w:val="0"/>
      <w:spacing w:line="360" w:lineRule="auto"/>
      <w:ind w:firstLine="200" w:firstLineChars="200"/>
    </w:pPr>
    <w:rPr>
      <w:rFonts w:ascii="Calibri" w:hAnsi="Calibri" w:eastAsia="仿宋_GB2312" w:cs="Calibri"/>
      <w:sz w:val="24"/>
    </w:rPr>
  </w:style>
  <w:style w:type="paragraph" w:customStyle="1" w:styleId="2664">
    <w:name w:val="BT2"/>
    <w:basedOn w:val="4"/>
    <w:semiHidden/>
    <w:qFormat/>
    <w:uiPriority w:val="0"/>
    <w:pPr>
      <w:numPr>
        <w:ilvl w:val="0"/>
        <w:numId w:val="0"/>
      </w:numPr>
      <w:adjustRightInd w:val="0"/>
      <w:spacing w:line="416" w:lineRule="auto"/>
    </w:pPr>
    <w:rPr>
      <w:rFonts w:ascii="Times New Roman" w:hAnsi="Times New Roman" w:eastAsia="宋体"/>
      <w:b w:val="0"/>
      <w:sz w:val="32"/>
      <w:szCs w:val="24"/>
      <w:lang w:val="en-US"/>
    </w:rPr>
  </w:style>
  <w:style w:type="paragraph" w:customStyle="1" w:styleId="2665">
    <w:name w:val="Normal1"/>
    <w:qFormat/>
    <w:uiPriority w:val="0"/>
    <w:pPr>
      <w:widowControl w:val="0"/>
      <w:adjustRightInd w:val="0"/>
      <w:spacing w:line="312" w:lineRule="atLeast"/>
      <w:jc w:val="both"/>
    </w:pPr>
    <w:rPr>
      <w:rFonts w:ascii="Arial" w:hAnsi="Calibri" w:eastAsia="楷体_GB2312" w:cs="Calibri"/>
      <w:spacing w:val="-6"/>
      <w:sz w:val="28"/>
      <w:lang w:val="en-US" w:eastAsia="zh-CN" w:bidi="ar-SA"/>
    </w:rPr>
  </w:style>
  <w:style w:type="paragraph" w:customStyle="1" w:styleId="2666">
    <w:name w:val="标题003"/>
    <w:basedOn w:val="1"/>
    <w:qFormat/>
    <w:uiPriority w:val="0"/>
    <w:pPr>
      <w:spacing w:before="120" w:line="440" w:lineRule="exact"/>
      <w:outlineLvl w:val="2"/>
    </w:pPr>
    <w:rPr>
      <w:rFonts w:ascii="Calibri" w:hAnsi="Calibri" w:cs="Calibri"/>
      <w:b/>
      <w:sz w:val="27"/>
      <w:szCs w:val="20"/>
    </w:rPr>
  </w:style>
  <w:style w:type="paragraph" w:customStyle="1" w:styleId="2667">
    <w:name w:val="xl148"/>
    <w:basedOn w:val="1"/>
    <w:qFormat/>
    <w:uiPriority w:val="99"/>
    <w:pPr>
      <w:widowControl/>
      <w:pBdr>
        <w:bottom w:val="single" w:color="auto" w:sz="8" w:space="0"/>
      </w:pBdr>
      <w:spacing w:before="100" w:beforeAutospacing="1" w:after="100" w:afterAutospacing="1"/>
      <w:jc w:val="left"/>
    </w:pPr>
    <w:rPr>
      <w:rFonts w:ascii="Arial Unicode MS" w:hAnsi="Arial Unicode MS" w:cs="Calibri"/>
      <w:kern w:val="0"/>
    </w:rPr>
  </w:style>
  <w:style w:type="paragraph" w:customStyle="1" w:styleId="2668">
    <w:name w:val="样式 正文(首行缩进) + 8 磅 加粗 首行缩进:  2 字符"/>
    <w:basedOn w:val="1"/>
    <w:qFormat/>
    <w:uiPriority w:val="99"/>
    <w:pPr>
      <w:adjustRightInd w:val="0"/>
      <w:snapToGrid w:val="0"/>
      <w:ind w:firstLine="200" w:firstLineChars="200"/>
    </w:pPr>
    <w:rPr>
      <w:rFonts w:ascii="Calibri" w:hAnsi="Calibri" w:cs="宋体"/>
      <w:b/>
      <w:bCs/>
      <w:snapToGrid w:val="0"/>
      <w:kern w:val="0"/>
      <w:sz w:val="16"/>
      <w:szCs w:val="20"/>
    </w:rPr>
  </w:style>
  <w:style w:type="paragraph" w:customStyle="1" w:styleId="2669">
    <w:name w:val="5号表文"/>
    <w:qFormat/>
    <w:uiPriority w:val="0"/>
    <w:pPr>
      <w:widowControl w:val="0"/>
      <w:autoSpaceDE w:val="0"/>
      <w:adjustRightInd w:val="0"/>
      <w:snapToGrid w:val="0"/>
    </w:pPr>
    <w:rPr>
      <w:rFonts w:ascii="Calibri" w:hAnsi="Calibri" w:eastAsia="宋体" w:cs="Calibri"/>
      <w:lang w:val="en-US" w:eastAsia="zh-CN" w:bidi="ar-SA"/>
    </w:rPr>
  </w:style>
  <w:style w:type="paragraph" w:customStyle="1" w:styleId="2670">
    <w:name w:val="新正文样式"/>
    <w:basedOn w:val="1"/>
    <w:qFormat/>
    <w:uiPriority w:val="99"/>
    <w:pPr>
      <w:tabs>
        <w:tab w:val="left" w:pos="567"/>
      </w:tabs>
      <w:spacing w:line="360" w:lineRule="auto"/>
      <w:ind w:firstLine="567"/>
    </w:pPr>
    <w:rPr>
      <w:rFonts w:ascii="Calibri" w:hAnsi="Calibri" w:cs="Calibri"/>
      <w:spacing w:val="20"/>
      <w:sz w:val="24"/>
    </w:rPr>
  </w:style>
  <w:style w:type="paragraph" w:customStyle="1" w:styleId="2671">
    <w:name w:val="Char2 Char Char Char Char Char Char Char Char 字元 字元 Char Char Char"/>
    <w:basedOn w:val="1"/>
    <w:semiHidden/>
    <w:qFormat/>
    <w:uiPriority w:val="0"/>
    <w:rPr>
      <w:rFonts w:ascii="Calibri" w:hAnsi="Calibri" w:cs="Calibri"/>
      <w:sz w:val="24"/>
    </w:rPr>
  </w:style>
  <w:style w:type="paragraph" w:customStyle="1" w:styleId="2672">
    <w:name w:val="CM42"/>
    <w:basedOn w:val="314"/>
    <w:next w:val="314"/>
    <w:qFormat/>
    <w:uiPriority w:val="99"/>
    <w:pPr>
      <w:tabs>
        <w:tab w:val="left" w:pos="315"/>
      </w:tabs>
      <w:spacing w:after="0" w:line="360" w:lineRule="auto"/>
      <w:ind w:left="1855" w:hanging="720"/>
    </w:pPr>
    <w:rPr>
      <w:rFonts w:ascii="楷体_GB2312" w:hAnsi="Calibri" w:eastAsia="楷体_GB2312" w:cs="Times New Roman"/>
      <w:color w:val="auto"/>
      <w:kern w:val="2"/>
    </w:rPr>
  </w:style>
  <w:style w:type="paragraph" w:customStyle="1" w:styleId="2673">
    <w:name w:val="Char Char Char Char Char Char1 Char Char Char Char"/>
    <w:basedOn w:val="1"/>
    <w:qFormat/>
    <w:uiPriority w:val="99"/>
    <w:rPr>
      <w:rFonts w:ascii="Calibri" w:hAnsi="Calibri" w:cs="Calibri"/>
      <w:sz w:val="24"/>
    </w:rPr>
  </w:style>
  <w:style w:type="paragraph" w:customStyle="1" w:styleId="2674">
    <w:name w:val="Char Char Char Char Char Char1 Char1"/>
    <w:basedOn w:val="1"/>
    <w:qFormat/>
    <w:uiPriority w:val="99"/>
    <w:rPr>
      <w:rFonts w:ascii="Calibri" w:hAnsi="Calibri" w:cs="Calibri"/>
    </w:rPr>
  </w:style>
  <w:style w:type="paragraph" w:customStyle="1" w:styleId="2675">
    <w:name w:val="样式"/>
    <w:basedOn w:val="1"/>
    <w:next w:val="1"/>
    <w:qFormat/>
    <w:uiPriority w:val="0"/>
    <w:pPr>
      <w:ind w:firstLine="420"/>
    </w:pPr>
    <w:rPr>
      <w:rFonts w:ascii="宋体" w:hAnsi="Arial Black" w:cs="宋体"/>
      <w:sz w:val="24"/>
    </w:rPr>
  </w:style>
  <w:style w:type="paragraph" w:customStyle="1" w:styleId="2676">
    <w:name w:val="Char Char Char Char Char Char Char Char Char Char Char1 Char Char Char Char Char Char1 Char2"/>
    <w:basedOn w:val="1"/>
    <w:semiHidden/>
    <w:qFormat/>
    <w:uiPriority w:val="0"/>
    <w:rPr>
      <w:rFonts w:ascii="Calibri" w:hAnsi="Calibri" w:cs="Calibri"/>
      <w:sz w:val="24"/>
    </w:rPr>
  </w:style>
  <w:style w:type="paragraph" w:customStyle="1" w:styleId="2677">
    <w:name w:val="文-5"/>
    <w:basedOn w:val="1"/>
    <w:qFormat/>
    <w:uiPriority w:val="99"/>
    <w:pPr>
      <w:tabs>
        <w:tab w:val="right" w:leader="dot" w:pos="8789"/>
      </w:tabs>
      <w:spacing w:before="120"/>
      <w:ind w:left="1276" w:firstLine="482"/>
    </w:pPr>
    <w:rPr>
      <w:rFonts w:ascii="Calibri" w:hAnsi="Calibri" w:cs="Calibri"/>
      <w:sz w:val="24"/>
      <w:szCs w:val="20"/>
    </w:rPr>
  </w:style>
  <w:style w:type="paragraph" w:customStyle="1" w:styleId="2678">
    <w:name w:val="样式 调研标题2 + 非加粗"/>
    <w:basedOn w:val="1"/>
    <w:semiHidden/>
    <w:qFormat/>
    <w:uiPriority w:val="0"/>
    <w:pPr>
      <w:keepNext/>
      <w:keepLines/>
      <w:snapToGrid w:val="0"/>
      <w:spacing w:before="240" w:after="120" w:line="360" w:lineRule="exact"/>
      <w:outlineLvl w:val="1"/>
    </w:pPr>
    <w:rPr>
      <w:rFonts w:ascii="Arial" w:hAnsi="Arial" w:cs="宋体"/>
      <w:b/>
      <w:bCs/>
      <w:color w:val="000000"/>
      <w:sz w:val="28"/>
      <w:szCs w:val="32"/>
    </w:rPr>
  </w:style>
  <w:style w:type="paragraph" w:customStyle="1" w:styleId="2679">
    <w:name w:val="表格 左侧"/>
    <w:basedOn w:val="167"/>
    <w:semiHidden/>
    <w:qFormat/>
    <w:uiPriority w:val="0"/>
    <w:pPr>
      <w:widowControl/>
      <w:adjustRightInd/>
      <w:spacing w:beforeLines="0" w:afterLines="0" w:line="240" w:lineRule="auto"/>
      <w:jc w:val="left"/>
    </w:pPr>
    <w:rPr>
      <w:rFonts w:ascii="Calibri" w:hAnsi="Calibri" w:cs="Calibri"/>
      <w:snapToGrid w:val="0"/>
      <w:color w:val="FF0000"/>
      <w:kern w:val="18"/>
      <w:sz w:val="20"/>
      <w:szCs w:val="21"/>
      <w:lang w:val="en-US"/>
    </w:rPr>
  </w:style>
  <w:style w:type="paragraph" w:customStyle="1" w:styleId="2680">
    <w:name w:val="xl172"/>
    <w:basedOn w:val="1"/>
    <w:qFormat/>
    <w:uiPriority w:val="99"/>
    <w:pPr>
      <w:widowControl/>
      <w:pBdr>
        <w:top w:val="single" w:color="auto" w:sz="12" w:space="0"/>
        <w:left w:val="single" w:color="auto" w:sz="12" w:space="0"/>
        <w:right w:val="single" w:color="auto" w:sz="4" w:space="0"/>
      </w:pBdr>
      <w:spacing w:before="100" w:beforeAutospacing="1" w:after="100" w:afterAutospacing="1"/>
      <w:jc w:val="center"/>
      <w:textAlignment w:val="center"/>
    </w:pPr>
    <w:rPr>
      <w:rFonts w:ascii="Arial Unicode MS" w:hAnsi="Arial Unicode MS" w:cs="Calibri"/>
      <w:kern w:val="0"/>
    </w:rPr>
  </w:style>
  <w:style w:type="paragraph" w:customStyle="1" w:styleId="2681">
    <w:name w:val="xl138"/>
    <w:basedOn w:val="1"/>
    <w:qFormat/>
    <w:uiPriority w:val="99"/>
    <w:pPr>
      <w:widowControl/>
      <w:pBdr>
        <w:left w:val="single" w:color="auto" w:sz="4" w:space="0"/>
        <w:bottom w:val="single" w:color="auto" w:sz="8" w:space="0"/>
      </w:pBdr>
      <w:spacing w:before="100" w:beforeAutospacing="1" w:after="100" w:afterAutospacing="1"/>
      <w:jc w:val="center"/>
      <w:textAlignment w:val="center"/>
    </w:pPr>
    <w:rPr>
      <w:rFonts w:ascii="Calibri" w:hAnsi="Calibri" w:cs="Calibri"/>
      <w:kern w:val="0"/>
      <w:sz w:val="12"/>
      <w:szCs w:val="12"/>
    </w:rPr>
  </w:style>
  <w:style w:type="paragraph" w:customStyle="1" w:styleId="2682">
    <w:name w:val="Char1 Char Char Char Char Char Char Char Char"/>
    <w:basedOn w:val="1"/>
    <w:qFormat/>
    <w:uiPriority w:val="0"/>
    <w:rPr>
      <w:rFonts w:ascii="Calibri" w:hAnsi="Calibri" w:cs="Calibri"/>
      <w:sz w:val="24"/>
    </w:rPr>
  </w:style>
  <w:style w:type="paragraph" w:customStyle="1" w:styleId="2683">
    <w:name w:val="表头文字"/>
    <w:basedOn w:val="1"/>
    <w:qFormat/>
    <w:uiPriority w:val="99"/>
    <w:pPr>
      <w:spacing w:line="360" w:lineRule="auto"/>
      <w:jc w:val="center"/>
    </w:pPr>
    <w:rPr>
      <w:rFonts w:ascii="Calibri" w:hAnsi="Calibri" w:eastAsia="楷体_GB2312" w:cs="Calibri"/>
      <w:b/>
      <w:sz w:val="24"/>
      <w:szCs w:val="20"/>
    </w:rPr>
  </w:style>
  <w:style w:type="paragraph" w:customStyle="1" w:styleId="2684">
    <w:name w:val="Char Char Char Char Char Char Char Char Char Char Char Char Char Char Char Char Char Char Char Char Char Char Char Char Char Char Char Char Char Char Char Char Char1 Char Char Char Char Char Char"/>
    <w:basedOn w:val="1"/>
    <w:qFormat/>
    <w:uiPriority w:val="99"/>
    <w:rPr>
      <w:rFonts w:ascii="Calibri" w:hAnsi="Calibri" w:cs="Calibri"/>
      <w:sz w:val="24"/>
    </w:rPr>
  </w:style>
  <w:style w:type="paragraph" w:customStyle="1" w:styleId="2685">
    <w:name w:val="样式 样式 标题 1章标题章节H1NMP Heading 1Section HeadHeader1h11st leve... +..."/>
    <w:basedOn w:val="1"/>
    <w:semiHidden/>
    <w:qFormat/>
    <w:uiPriority w:val="0"/>
    <w:pPr>
      <w:keepNext/>
      <w:spacing w:before="120" w:line="480" w:lineRule="exact"/>
      <w:outlineLvl w:val="0"/>
    </w:pPr>
    <w:rPr>
      <w:rFonts w:ascii="Calibri" w:hAnsi="Calibri" w:eastAsia="仿宋" w:cs="Calibri"/>
      <w:b/>
      <w:bCs/>
      <w:sz w:val="30"/>
      <w:szCs w:val="30"/>
    </w:rPr>
  </w:style>
  <w:style w:type="paragraph" w:customStyle="1" w:styleId="2686">
    <w:name w:val="样式 四号 行距: 固定值 25 磅"/>
    <w:basedOn w:val="1"/>
    <w:qFormat/>
    <w:uiPriority w:val="99"/>
    <w:pPr>
      <w:spacing w:line="480" w:lineRule="atLeast"/>
      <w:ind w:firstLine="200" w:firstLineChars="200"/>
    </w:pPr>
    <w:rPr>
      <w:rFonts w:ascii="Calibri" w:hAnsi="Calibri" w:cs="Calibri"/>
      <w:sz w:val="24"/>
    </w:rPr>
  </w:style>
  <w:style w:type="paragraph" w:customStyle="1" w:styleId="2687">
    <w:name w:val="Char Char Char1 Char Char Char Char2"/>
    <w:basedOn w:val="1"/>
    <w:next w:val="1"/>
    <w:qFormat/>
    <w:uiPriority w:val="99"/>
    <w:pPr>
      <w:spacing w:line="360" w:lineRule="auto"/>
      <w:ind w:firstLine="200" w:firstLineChars="200"/>
    </w:pPr>
    <w:rPr>
      <w:rFonts w:ascii="宋体" w:hAnsi="宋体" w:eastAsia="汉鼎简书宋" w:cs="宋体"/>
      <w:sz w:val="24"/>
    </w:rPr>
  </w:style>
  <w:style w:type="paragraph" w:customStyle="1" w:styleId="2688">
    <w:name w:val="Char Char Char Char Char Char Char Char Char Char Char1 Char Char Char Char Char Char1 Char Char Char Char Char Char Char Char Char Char Char Char"/>
    <w:basedOn w:val="1"/>
    <w:qFormat/>
    <w:uiPriority w:val="99"/>
    <w:rPr>
      <w:rFonts w:ascii="Calibri" w:hAnsi="Calibri" w:cs="Calibri"/>
      <w:sz w:val="24"/>
    </w:rPr>
  </w:style>
  <w:style w:type="paragraph" w:customStyle="1" w:styleId="2689">
    <w:name w:val="1.1.1样式 样式 标题 2节 + (西文) Times New Roman (中文) 宋体 四号 段前: 0.5 行 ..."/>
    <w:semiHidden/>
    <w:qFormat/>
    <w:uiPriority w:val="0"/>
    <w:pPr>
      <w:tabs>
        <w:tab w:val="left" w:pos="567"/>
      </w:tabs>
    </w:pPr>
    <w:rPr>
      <w:rFonts w:ascii="Times New Roman" w:hAnsi="Times New Roman" w:eastAsia="宋体" w:cs="宋体"/>
      <w:lang w:val="en-US" w:eastAsia="zh-CN" w:bidi="ar-SA"/>
    </w:rPr>
  </w:style>
  <w:style w:type="paragraph" w:customStyle="1" w:styleId="2690">
    <w:name w:val="1.1.1样式 样式 标题 2节 + (西文) Times New Roman (中文) 宋体 四号 段前: 0.5 行 段后: 0......"/>
    <w:basedOn w:val="1"/>
    <w:semiHidden/>
    <w:qFormat/>
    <w:uiPriority w:val="0"/>
    <w:pPr>
      <w:keepNext/>
      <w:keepLines/>
      <w:tabs>
        <w:tab w:val="left" w:pos="567"/>
      </w:tabs>
      <w:adjustRightInd w:val="0"/>
      <w:snapToGrid w:val="0"/>
      <w:spacing w:before="280" w:beforeLines="90" w:after="280" w:afterLines="90"/>
      <w:ind w:left="567" w:hanging="567"/>
      <w:outlineLvl w:val="1"/>
    </w:pPr>
    <w:rPr>
      <w:rFonts w:ascii="Calibri" w:hAnsi="宋体" w:cs="Calibri"/>
      <w:b/>
      <w:bCs/>
      <w:kern w:val="0"/>
      <w:sz w:val="30"/>
      <w:szCs w:val="30"/>
    </w:rPr>
  </w:style>
  <w:style w:type="paragraph" w:customStyle="1" w:styleId="2691">
    <w:name w:val="样式 目录 2 + 左侧:  2 字符 首行缩进:  2 字符"/>
    <w:basedOn w:val="75"/>
    <w:semiHidden/>
    <w:qFormat/>
    <w:uiPriority w:val="0"/>
    <w:pPr>
      <w:widowControl w:val="0"/>
      <w:tabs>
        <w:tab w:val="right" w:leader="dot" w:pos="8511"/>
        <w:tab w:val="clear" w:pos="8800"/>
      </w:tabs>
      <w:spacing w:line="360" w:lineRule="exact"/>
      <w:ind w:left="480" w:leftChars="0" w:right="0" w:firstLine="480"/>
    </w:pPr>
    <w:rPr>
      <w:rFonts w:ascii="Calibri" w:hAnsi="Calibri"/>
      <w:b w:val="0"/>
      <w:bCs w:val="0"/>
      <w:kern w:val="2"/>
      <w:sz w:val="18"/>
      <w:szCs w:val="18"/>
    </w:rPr>
  </w:style>
  <w:style w:type="paragraph" w:customStyle="1" w:styleId="2692">
    <w:name w:val="font22"/>
    <w:basedOn w:val="1"/>
    <w:semiHidden/>
    <w:qFormat/>
    <w:uiPriority w:val="0"/>
    <w:pPr>
      <w:widowControl/>
      <w:spacing w:before="100" w:beforeAutospacing="1" w:after="100" w:afterAutospacing="1"/>
      <w:jc w:val="left"/>
    </w:pPr>
    <w:rPr>
      <w:rFonts w:ascii="宋体" w:hAnsi="宋体" w:cs="宋体"/>
      <w:color w:val="339966"/>
      <w:kern w:val="0"/>
      <w:sz w:val="18"/>
      <w:szCs w:val="18"/>
    </w:rPr>
  </w:style>
  <w:style w:type="paragraph" w:customStyle="1" w:styleId="2693">
    <w:name w:val="列项·"/>
    <w:semiHidden/>
    <w:qFormat/>
    <w:uiPriority w:val="0"/>
    <w:pPr>
      <w:tabs>
        <w:tab w:val="left" w:pos="840"/>
      </w:tabs>
      <w:ind w:left="840" w:leftChars="200" w:hanging="420" w:hangingChars="200"/>
      <w:jc w:val="both"/>
    </w:pPr>
    <w:rPr>
      <w:rFonts w:ascii="宋体" w:hAnsi="Calibri" w:eastAsia="宋体" w:cs="Calibri"/>
      <w:sz w:val="21"/>
      <w:lang w:val="en-US" w:eastAsia="zh-CN" w:bidi="ar-SA"/>
    </w:rPr>
  </w:style>
  <w:style w:type="paragraph" w:customStyle="1" w:styleId="2694">
    <w:name w:val="Char43"/>
    <w:basedOn w:val="1"/>
    <w:qFormat/>
    <w:uiPriority w:val="99"/>
    <w:rPr>
      <w:rFonts w:ascii="Calibri" w:hAnsi="Calibri" w:cs="Calibri"/>
      <w:sz w:val="24"/>
    </w:rPr>
  </w:style>
  <w:style w:type="paragraph" w:customStyle="1" w:styleId="2695">
    <w:name w:val="_Style 10"/>
    <w:basedOn w:val="1"/>
    <w:next w:val="36"/>
    <w:semiHidden/>
    <w:qFormat/>
    <w:uiPriority w:val="0"/>
    <w:pPr>
      <w:spacing w:line="360" w:lineRule="auto"/>
    </w:pPr>
    <w:rPr>
      <w:rFonts w:ascii="Calibri" w:hAnsi="Calibri" w:cs="Calibri"/>
      <w:sz w:val="24"/>
      <w:szCs w:val="20"/>
    </w:rPr>
  </w:style>
  <w:style w:type="paragraph" w:customStyle="1" w:styleId="2696">
    <w:name w:val="2级标题"/>
    <w:qFormat/>
    <w:uiPriority w:val="0"/>
    <w:pPr>
      <w:adjustRightInd w:val="0"/>
      <w:snapToGrid w:val="0"/>
      <w:spacing w:before="156" w:beforeLines="50" w:line="480" w:lineRule="atLeast"/>
      <w:jc w:val="both"/>
      <w:outlineLvl w:val="1"/>
    </w:pPr>
    <w:rPr>
      <w:rFonts w:ascii="宋体" w:hAnsi="宋体" w:eastAsia="宋体" w:cs="Calibri"/>
      <w:b/>
      <w:kern w:val="2"/>
      <w:sz w:val="28"/>
      <w:lang w:val="en-US" w:eastAsia="zh-CN" w:bidi="ar-SA"/>
    </w:rPr>
  </w:style>
  <w:style w:type="paragraph" w:customStyle="1" w:styleId="2697">
    <w:name w:val="xl236"/>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698">
    <w:name w:val="Address 2"/>
    <w:basedOn w:val="1"/>
    <w:semiHidden/>
    <w:qFormat/>
    <w:uiPriority w:val="0"/>
    <w:pPr>
      <w:widowControl/>
      <w:spacing w:line="200" w:lineRule="atLeast"/>
      <w:jc w:val="left"/>
    </w:pPr>
    <w:rPr>
      <w:rFonts w:ascii="@黑体" w:hAnsi="@黑体" w:eastAsia="黑体" w:cs="Calibri"/>
      <w:kern w:val="0"/>
      <w:sz w:val="16"/>
      <w:szCs w:val="20"/>
    </w:rPr>
  </w:style>
  <w:style w:type="paragraph" w:customStyle="1" w:styleId="2699">
    <w:name w:val="文章总标题"/>
    <w:basedOn w:val="1"/>
    <w:qFormat/>
    <w:uiPriority w:val="99"/>
    <w:pPr>
      <w:widowControl/>
      <w:spacing w:before="566" w:after="544" w:line="566" w:lineRule="atLeast"/>
      <w:jc w:val="center"/>
      <w:textAlignment w:val="baseline"/>
    </w:pPr>
    <w:rPr>
      <w:rFonts w:ascii="Arial" w:hAnsi="Calibri" w:eastAsia="黑体" w:cs="Calibri"/>
      <w:color w:val="000000"/>
      <w:kern w:val="0"/>
      <w:sz w:val="54"/>
      <w:szCs w:val="20"/>
      <w:u w:color="000000"/>
    </w:rPr>
  </w:style>
  <w:style w:type="paragraph" w:customStyle="1" w:styleId="2700">
    <w:name w:val="文章附标题"/>
    <w:basedOn w:val="1"/>
    <w:next w:val="373"/>
    <w:qFormat/>
    <w:uiPriority w:val="99"/>
    <w:pPr>
      <w:widowControl/>
      <w:spacing w:before="187" w:after="175" w:line="374" w:lineRule="atLeast"/>
      <w:jc w:val="center"/>
      <w:textAlignment w:val="baseline"/>
    </w:pPr>
    <w:rPr>
      <w:rFonts w:ascii="Calibri" w:hAnsi="Calibri" w:cs="Calibri"/>
      <w:color w:val="000000"/>
      <w:kern w:val="0"/>
      <w:sz w:val="36"/>
      <w:szCs w:val="20"/>
      <w:u w:color="000000"/>
    </w:rPr>
  </w:style>
  <w:style w:type="paragraph" w:customStyle="1" w:styleId="2701">
    <w:name w:val="环评副标题"/>
    <w:basedOn w:val="1"/>
    <w:semiHidden/>
    <w:qFormat/>
    <w:uiPriority w:val="0"/>
    <w:pPr>
      <w:jc w:val="center"/>
    </w:pPr>
    <w:rPr>
      <w:rFonts w:ascii="Calibri" w:hAnsi="Calibri" w:cs="宋体"/>
      <w:sz w:val="44"/>
      <w:szCs w:val="20"/>
    </w:rPr>
  </w:style>
  <w:style w:type="paragraph" w:customStyle="1" w:styleId="2702">
    <w:name w:val="正文格式42"/>
    <w:basedOn w:val="1"/>
    <w:qFormat/>
    <w:uiPriority w:val="0"/>
    <w:pPr>
      <w:spacing w:line="360" w:lineRule="auto"/>
      <w:ind w:firstLine="482"/>
    </w:pPr>
    <w:rPr>
      <w:rFonts w:ascii="宋体" w:hAnsi="宋体" w:cs="Calibri"/>
      <w:sz w:val="24"/>
    </w:rPr>
  </w:style>
  <w:style w:type="paragraph" w:customStyle="1" w:styleId="2703">
    <w:name w:val="表格文本 五号 居中 单倍行距 Char Char"/>
    <w:basedOn w:val="1"/>
    <w:semiHidden/>
    <w:qFormat/>
    <w:uiPriority w:val="0"/>
    <w:pPr>
      <w:keepNext/>
      <w:adjustRightInd w:val="0"/>
      <w:snapToGrid w:val="0"/>
      <w:jc w:val="left"/>
      <w:textAlignment w:val="baseline"/>
    </w:pPr>
    <w:rPr>
      <w:rFonts w:ascii="Calibri" w:hAnsi="Calibri" w:cs="宋体"/>
      <w:szCs w:val="21"/>
    </w:rPr>
  </w:style>
  <w:style w:type="paragraph" w:customStyle="1" w:styleId="2704">
    <w:name w:val="课题申报正文"/>
    <w:basedOn w:val="1"/>
    <w:qFormat/>
    <w:uiPriority w:val="99"/>
    <w:pPr>
      <w:spacing w:line="400" w:lineRule="exact"/>
      <w:ind w:right="57" w:firstLine="200" w:firstLineChars="200"/>
    </w:pPr>
    <w:rPr>
      <w:rFonts w:ascii="Calibri" w:hAnsi="Calibri" w:cs="Calibri"/>
      <w:sz w:val="24"/>
      <w:szCs w:val="20"/>
    </w:rPr>
  </w:style>
  <w:style w:type="paragraph" w:customStyle="1" w:styleId="2705">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Calibri" w:eastAsia="黑体" w:cs="Calibri"/>
      <w:sz w:val="52"/>
      <w:lang w:val="en-US" w:eastAsia="zh-CN" w:bidi="ar-SA"/>
    </w:rPr>
  </w:style>
  <w:style w:type="paragraph" w:customStyle="1" w:styleId="2706">
    <w:name w:val="正文（首行缩进）"/>
    <w:basedOn w:val="36"/>
    <w:qFormat/>
    <w:uiPriority w:val="0"/>
    <w:pPr>
      <w:widowControl w:val="0"/>
      <w:snapToGrid/>
      <w:spacing w:before="0" w:after="0" w:line="300" w:lineRule="auto"/>
      <w:ind w:right="0" w:firstLine="200" w:firstLineChars="200"/>
    </w:pPr>
    <w:rPr>
      <w:rFonts w:ascii="Calibri" w:hAnsi="Calibri" w:cs="Calibri"/>
      <w:sz w:val="21"/>
      <w:szCs w:val="24"/>
      <w:lang w:val="en-US"/>
    </w:rPr>
  </w:style>
  <w:style w:type="paragraph" w:customStyle="1" w:styleId="2707">
    <w:name w:val="xl173"/>
    <w:basedOn w:val="1"/>
    <w:qFormat/>
    <w:uiPriority w:val="99"/>
    <w:pPr>
      <w:widowControl/>
      <w:spacing w:before="100" w:beforeAutospacing="1" w:after="100" w:afterAutospacing="1"/>
      <w:jc w:val="center"/>
      <w:textAlignment w:val="center"/>
    </w:pPr>
    <w:rPr>
      <w:rFonts w:ascii="Arial Unicode MS" w:hAnsi="Arial Unicode MS" w:cs="Calibri"/>
      <w:kern w:val="0"/>
    </w:rPr>
  </w:style>
  <w:style w:type="paragraph" w:customStyle="1" w:styleId="2708">
    <w:name w:val="样式一"/>
    <w:basedOn w:val="1"/>
    <w:qFormat/>
    <w:uiPriority w:val="99"/>
    <w:pPr>
      <w:spacing w:before="50" w:beforeLines="50" w:after="50" w:afterLines="50" w:line="300" w:lineRule="auto"/>
    </w:pPr>
    <w:rPr>
      <w:rFonts w:ascii="Calibri" w:hAnsi="Calibri" w:eastAsia="黑体" w:cs="Calibri"/>
      <w:sz w:val="28"/>
    </w:rPr>
  </w:style>
  <w:style w:type="paragraph" w:customStyle="1" w:styleId="2709">
    <w:name w:val="表的正文"/>
    <w:basedOn w:val="1"/>
    <w:qFormat/>
    <w:uiPriority w:val="99"/>
    <w:pPr>
      <w:spacing w:line="400" w:lineRule="atLeast"/>
      <w:ind w:left="100" w:leftChars="100" w:right="100" w:rightChars="100" w:firstLine="482"/>
    </w:pPr>
    <w:rPr>
      <w:rFonts w:hint="eastAsia" w:ascii="仿宋_GB2312" w:hAnsi="宋体" w:eastAsia="仿宋_GB2312" w:cs="Calibri"/>
      <w:sz w:val="24"/>
      <w:szCs w:val="20"/>
    </w:rPr>
  </w:style>
  <w:style w:type="paragraph" w:customStyle="1" w:styleId="2710">
    <w:name w:val="pt9"/>
    <w:basedOn w:val="1"/>
    <w:semiHidden/>
    <w:qFormat/>
    <w:uiPriority w:val="0"/>
    <w:pPr>
      <w:widowControl/>
      <w:spacing w:before="100" w:beforeAutospacing="1" w:after="100" w:afterAutospacing="1"/>
      <w:jc w:val="left"/>
    </w:pPr>
    <w:rPr>
      <w:rFonts w:ascii="Calibri" w:hAnsi="Calibri" w:cs="Calibri"/>
      <w:color w:val="000000"/>
      <w:kern w:val="0"/>
      <w:sz w:val="18"/>
      <w:szCs w:val="18"/>
    </w:rPr>
  </w:style>
  <w:style w:type="paragraph" w:customStyle="1" w:styleId="2711">
    <w:name w:val="xl131"/>
    <w:basedOn w:val="1"/>
    <w:qFormat/>
    <w:uiPriority w:val="99"/>
    <w:pPr>
      <w:widowControl/>
      <w:pBdr>
        <w:left w:val="single" w:color="auto" w:sz="4" w:space="0"/>
        <w:right w:val="single" w:color="auto" w:sz="8" w:space="0"/>
      </w:pBdr>
      <w:spacing w:before="100" w:beforeAutospacing="1" w:after="100" w:afterAutospacing="1"/>
      <w:jc w:val="left"/>
    </w:pPr>
    <w:rPr>
      <w:rFonts w:ascii="Arial Unicode MS" w:hAnsi="Arial Unicode MS" w:cs="Calibri"/>
      <w:kern w:val="0"/>
    </w:rPr>
  </w:style>
  <w:style w:type="paragraph" w:customStyle="1" w:styleId="2712">
    <w:name w:val="表、图名宋旭峰"/>
    <w:basedOn w:val="1"/>
    <w:qFormat/>
    <w:uiPriority w:val="0"/>
    <w:pPr>
      <w:spacing w:before="120" w:beforeLines="50" w:line="360" w:lineRule="auto"/>
      <w:jc w:val="center"/>
    </w:pPr>
    <w:rPr>
      <w:rFonts w:ascii="黑体" w:hAnsi="宋体" w:eastAsia="黑体" w:cs="Calibri"/>
      <w:snapToGrid w:val="0"/>
      <w:kern w:val="0"/>
      <w:szCs w:val="21"/>
    </w:rPr>
  </w:style>
  <w:style w:type="paragraph" w:customStyle="1" w:styleId="2713">
    <w:name w:val="reader-word-layer reader-word-s1-0"/>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714">
    <w:name w:val="Char Char1 Char Char Char Char Char Char2"/>
    <w:basedOn w:val="1"/>
    <w:semiHidden/>
    <w:qFormat/>
    <w:uiPriority w:val="0"/>
    <w:rPr>
      <w:rFonts w:ascii="Calibri" w:hAnsi="Calibri" w:cs="Calibri"/>
    </w:rPr>
  </w:style>
  <w:style w:type="paragraph" w:customStyle="1" w:styleId="2715">
    <w:name w:val="样式 报告书表格 + 小五 底端: (单实线 自动设置  0.75 磅 行宽)"/>
    <w:basedOn w:val="1"/>
    <w:qFormat/>
    <w:uiPriority w:val="0"/>
    <w:pPr>
      <w:adjustRightInd w:val="0"/>
      <w:spacing w:line="400" w:lineRule="exact"/>
      <w:jc w:val="center"/>
      <w:textAlignment w:val="baseline"/>
    </w:pPr>
    <w:rPr>
      <w:rFonts w:ascii="Calibri" w:hAnsi="Calibri" w:eastAsia="仿宋_GB2312" w:cs="宋体"/>
      <w:kern w:val="0"/>
      <w:sz w:val="18"/>
      <w:szCs w:val="18"/>
    </w:rPr>
  </w:style>
  <w:style w:type="paragraph" w:customStyle="1" w:styleId="2716">
    <w:name w:val="xl191"/>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717">
    <w:name w:val="font25"/>
    <w:basedOn w:val="1"/>
    <w:semiHidden/>
    <w:qFormat/>
    <w:uiPriority w:val="0"/>
    <w:pPr>
      <w:widowControl/>
      <w:spacing w:before="100" w:beforeAutospacing="1" w:after="100" w:afterAutospacing="1"/>
      <w:jc w:val="left"/>
    </w:pPr>
    <w:rPr>
      <w:rFonts w:ascii="宋体" w:hAnsi="宋体" w:cs="宋体"/>
      <w:color w:val="333399"/>
      <w:kern w:val="0"/>
      <w:sz w:val="18"/>
      <w:szCs w:val="18"/>
    </w:rPr>
  </w:style>
  <w:style w:type="paragraph" w:customStyle="1" w:styleId="2718">
    <w:name w:val="style4"/>
    <w:basedOn w:val="1"/>
    <w:semiHidden/>
    <w:qFormat/>
    <w:uiPriority w:val="0"/>
    <w:pPr>
      <w:widowControl/>
      <w:spacing w:before="100" w:beforeAutospacing="1" w:after="100" w:afterAutospacing="1"/>
      <w:jc w:val="left"/>
    </w:pPr>
    <w:rPr>
      <w:rFonts w:ascii="宋体" w:hAnsi="宋体" w:cs="宋体"/>
      <w:color w:val="636466"/>
      <w:kern w:val="0"/>
      <w:sz w:val="24"/>
    </w:rPr>
  </w:style>
  <w:style w:type="paragraph" w:customStyle="1" w:styleId="2719">
    <w:name w:val="InstÀÀll1"/>
    <w:qFormat/>
    <w:uiPriority w:val="99"/>
    <w:pPr>
      <w:tabs>
        <w:tab w:val="left" w:pos="-720"/>
      </w:tabs>
      <w:suppressAutoHyphens/>
      <w:jc w:val="both"/>
    </w:pPr>
    <w:rPr>
      <w:rFonts w:ascii="Courier" w:hAnsi="Courier" w:eastAsia="宋体" w:cs="Calibri"/>
      <w:spacing w:val="-3"/>
      <w:sz w:val="24"/>
      <w:lang w:val="en-US" w:eastAsia="sv-SE" w:bidi="ar-SA"/>
    </w:rPr>
  </w:style>
  <w:style w:type="paragraph" w:customStyle="1" w:styleId="2720">
    <w:name w:val="CM108"/>
    <w:basedOn w:val="1"/>
    <w:next w:val="1"/>
    <w:qFormat/>
    <w:uiPriority w:val="99"/>
    <w:pPr>
      <w:autoSpaceDE w:val="0"/>
      <w:autoSpaceDN w:val="0"/>
      <w:adjustRightInd w:val="0"/>
      <w:spacing w:after="55"/>
      <w:jc w:val="left"/>
    </w:pPr>
    <w:rPr>
      <w:rFonts w:ascii="Calibri" w:hAnsi="Calibri" w:cs="Calibri"/>
      <w:kern w:val="0"/>
      <w:sz w:val="24"/>
    </w:rPr>
  </w:style>
  <w:style w:type="paragraph" w:customStyle="1" w:styleId="2721">
    <w:name w:val="样式 标题 2节 + 段前: 1 行 段后: 0.5 行1"/>
    <w:basedOn w:val="1"/>
    <w:qFormat/>
    <w:uiPriority w:val="99"/>
    <w:pPr>
      <w:tabs>
        <w:tab w:val="left" w:pos="720"/>
      </w:tabs>
    </w:pPr>
    <w:rPr>
      <w:rFonts w:ascii="Calibri" w:hAnsi="Calibri" w:cs="Calibri"/>
    </w:rPr>
  </w:style>
  <w:style w:type="paragraph" w:customStyle="1" w:styleId="2722">
    <w:name w:val="文本正式"/>
    <w:basedOn w:val="1"/>
    <w:semiHidden/>
    <w:qFormat/>
    <w:uiPriority w:val="0"/>
    <w:pPr>
      <w:spacing w:line="360" w:lineRule="auto"/>
      <w:ind w:firstLine="480" w:firstLineChars="200"/>
    </w:pPr>
    <w:rPr>
      <w:rFonts w:ascii="Calibri" w:hAnsi="Calibri" w:cs="Calibri"/>
      <w:sz w:val="24"/>
      <w:szCs w:val="20"/>
    </w:rPr>
  </w:style>
  <w:style w:type="paragraph" w:customStyle="1" w:styleId="2723">
    <w:name w:val="Company Name"/>
    <w:basedOn w:val="1"/>
    <w:next w:val="1"/>
    <w:semiHidden/>
    <w:qFormat/>
    <w:uiPriority w:val="0"/>
    <w:pPr>
      <w:widowControl/>
      <w:tabs>
        <w:tab w:val="left" w:pos="2160"/>
        <w:tab w:val="right" w:pos="6480"/>
      </w:tabs>
      <w:spacing w:before="220" w:after="40" w:line="220" w:lineRule="atLeast"/>
      <w:ind w:right="-360"/>
      <w:jc w:val="left"/>
    </w:pPr>
    <w:rPr>
      <w:rFonts w:ascii="@黑体" w:hAnsi="@黑体" w:eastAsia="黑体" w:cs="Calibri"/>
      <w:kern w:val="0"/>
      <w:sz w:val="20"/>
      <w:szCs w:val="20"/>
    </w:rPr>
  </w:style>
  <w:style w:type="paragraph" w:customStyle="1" w:styleId="2724">
    <w:name w:val="xl116"/>
    <w:basedOn w:val="1"/>
    <w:qFormat/>
    <w:uiPriority w:val="0"/>
    <w:pPr>
      <w:widowControl/>
      <w:pBdr>
        <w:bottom w:val="single" w:color="auto" w:sz="8" w:space="0"/>
      </w:pBdr>
      <w:spacing w:before="100" w:beforeAutospacing="1" w:after="100" w:afterAutospacing="1"/>
      <w:jc w:val="left"/>
    </w:pPr>
    <w:rPr>
      <w:rFonts w:ascii="Arial Unicode MS" w:hAnsi="Arial Unicode MS" w:cs="Calibri"/>
      <w:kern w:val="0"/>
      <w:sz w:val="16"/>
      <w:szCs w:val="16"/>
    </w:rPr>
  </w:style>
  <w:style w:type="paragraph" w:customStyle="1" w:styleId="2725">
    <w:name w:val="Pa10"/>
    <w:basedOn w:val="1"/>
    <w:next w:val="1"/>
    <w:semiHidden/>
    <w:qFormat/>
    <w:uiPriority w:val="0"/>
    <w:pPr>
      <w:autoSpaceDE w:val="0"/>
      <w:autoSpaceDN w:val="0"/>
      <w:adjustRightInd w:val="0"/>
      <w:spacing w:before="60" w:after="60" w:line="211" w:lineRule="atLeast"/>
      <w:jc w:val="left"/>
    </w:pPr>
    <w:rPr>
      <w:rFonts w:ascii="Wingdings" w:hAnsi="Wingdings" w:cs="Calibri"/>
      <w:kern w:val="0"/>
      <w:sz w:val="24"/>
    </w:rPr>
  </w:style>
  <w:style w:type="paragraph" w:customStyle="1" w:styleId="2726">
    <w:name w:val="ENUM"/>
    <w:basedOn w:val="1"/>
    <w:qFormat/>
    <w:uiPriority w:val="99"/>
    <w:pPr>
      <w:widowControl/>
      <w:tabs>
        <w:tab w:val="left" w:pos="840"/>
        <w:tab w:val="left" w:pos="1418"/>
      </w:tabs>
      <w:spacing w:before="60" w:after="60"/>
      <w:ind w:left="1418" w:hanging="284" w:firstLineChars="200"/>
    </w:pPr>
    <w:rPr>
      <w:rFonts w:ascii="Arial" w:hAnsi="Arial" w:cs="Calibri"/>
      <w:kern w:val="0"/>
      <w:sz w:val="22"/>
      <w:szCs w:val="20"/>
      <w:lang w:val="en-GB"/>
    </w:rPr>
  </w:style>
  <w:style w:type="paragraph" w:customStyle="1" w:styleId="2727">
    <w:name w:val="标题三"/>
    <w:basedOn w:val="5"/>
    <w:next w:val="1"/>
    <w:semiHidden/>
    <w:qFormat/>
    <w:uiPriority w:val="0"/>
    <w:pPr>
      <w:keepLines w:val="0"/>
      <w:numPr>
        <w:ilvl w:val="0"/>
        <w:numId w:val="0"/>
      </w:numPr>
      <w:autoSpaceDE w:val="0"/>
      <w:autoSpaceDN w:val="0"/>
      <w:adjustRightInd w:val="0"/>
      <w:spacing w:before="0" w:after="0" w:line="360" w:lineRule="auto"/>
      <w:ind w:firstLine="482"/>
      <w:textAlignment w:val="baseline"/>
    </w:pPr>
    <w:rPr>
      <w:rFonts w:ascii="黑体" w:cs="Calibri"/>
      <w:b w:val="0"/>
      <w:bCs w:val="0"/>
      <w:kern w:val="0"/>
      <w:sz w:val="24"/>
      <w:szCs w:val="24"/>
      <w:lang w:val="en-US"/>
    </w:rPr>
  </w:style>
  <w:style w:type="paragraph" w:customStyle="1" w:styleId="2728">
    <w:name w:val="Char Char Char Char Char Char Char Char Char Char Char Char Char Char Char Char Char Char Char Char Char Char Char Char Char Char Char Char Char Char Char Char Char Char Char Char Char Char Char Char Char Char2"/>
    <w:basedOn w:val="1"/>
    <w:qFormat/>
    <w:uiPriority w:val="99"/>
    <w:rPr>
      <w:rFonts w:ascii="Calibri" w:hAnsi="Calibri" w:cs="Calibri"/>
    </w:rPr>
  </w:style>
  <w:style w:type="paragraph" w:customStyle="1" w:styleId="2729">
    <w:name w:val="Char2 Char Char Char Char Char Char Char Char Char Char Char1 Char Char Char Char Char Char Char1"/>
    <w:basedOn w:val="1"/>
    <w:qFormat/>
    <w:uiPriority w:val="99"/>
    <w:rPr>
      <w:rFonts w:ascii="Calibri" w:hAnsi="Calibri" w:cs="Calibri"/>
      <w:sz w:val="24"/>
    </w:rPr>
  </w:style>
  <w:style w:type="paragraph" w:customStyle="1" w:styleId="2730">
    <w:name w:val="样式 样式 首行缩进 + 四号 首行缩进:  2 字符 + 首行缩进:  2 字符"/>
    <w:basedOn w:val="1"/>
    <w:qFormat/>
    <w:uiPriority w:val="99"/>
    <w:pPr>
      <w:snapToGrid w:val="0"/>
      <w:spacing w:line="360" w:lineRule="auto"/>
      <w:ind w:firstLine="560" w:firstLineChars="200"/>
      <w:jc w:val="left"/>
    </w:pPr>
    <w:rPr>
      <w:rFonts w:ascii="仿宋_GB2312" w:hAnsi="Calibri" w:eastAsia="仿宋_GB2312" w:cs="宋体"/>
      <w:sz w:val="28"/>
      <w:szCs w:val="20"/>
      <w:lang w:val="en-GB"/>
    </w:rPr>
  </w:style>
  <w:style w:type="paragraph" w:customStyle="1" w:styleId="2731">
    <w:name w:val="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2732">
    <w:name w:val="主要条文"/>
    <w:basedOn w:val="1"/>
    <w:qFormat/>
    <w:uiPriority w:val="0"/>
    <w:pPr>
      <w:numPr>
        <w:ilvl w:val="0"/>
        <w:numId w:val="13"/>
      </w:numPr>
      <w:tabs>
        <w:tab w:val="left" w:pos="1260"/>
      </w:tabs>
    </w:pPr>
    <w:rPr>
      <w:rFonts w:ascii="Calibri" w:hAnsi="Calibri" w:cs="Calibri"/>
      <w:sz w:val="24"/>
    </w:rPr>
  </w:style>
  <w:style w:type="paragraph" w:customStyle="1" w:styleId="2733">
    <w:name w:val="样式 标题 2第一章 标题 2Heading 2 HiddenHeading 2 CCBSheading 2H2h2...3"/>
    <w:basedOn w:val="4"/>
    <w:qFormat/>
    <w:uiPriority w:val="0"/>
    <w:pPr>
      <w:numPr>
        <w:ilvl w:val="0"/>
        <w:numId w:val="0"/>
      </w:numPr>
      <w:adjustRightInd w:val="0"/>
      <w:spacing w:before="120" w:after="120" w:line="500" w:lineRule="exact"/>
    </w:pPr>
    <w:rPr>
      <w:rFonts w:ascii="Times New Roman" w:hAnsi="Times New Roman" w:eastAsia="仿宋_GB2312" w:cs="宋体"/>
      <w:b w:val="0"/>
      <w:szCs w:val="20"/>
      <w:lang w:val="en-US"/>
    </w:rPr>
  </w:style>
  <w:style w:type="paragraph" w:customStyle="1" w:styleId="2734">
    <w:name w:val="标题ab"/>
    <w:basedOn w:val="1"/>
    <w:next w:val="86"/>
    <w:qFormat/>
    <w:uiPriority w:val="99"/>
    <w:pPr>
      <w:spacing w:line="1500" w:lineRule="exact"/>
      <w:jc w:val="center"/>
    </w:pPr>
    <w:rPr>
      <w:rFonts w:ascii="宋体" w:hAnsi="宋体" w:cs="Calibri"/>
      <w:b/>
      <w:color w:val="000000"/>
      <w:sz w:val="44"/>
    </w:rPr>
  </w:style>
  <w:style w:type="paragraph" w:customStyle="1" w:styleId="2735">
    <w:name w:val="Char32"/>
    <w:basedOn w:val="1"/>
    <w:qFormat/>
    <w:uiPriority w:val="0"/>
    <w:pPr>
      <w:spacing w:line="240" w:lineRule="exact"/>
      <w:ind w:firstLine="200" w:firstLineChars="200"/>
    </w:pPr>
    <w:rPr>
      <w:rFonts w:ascii="Calibri" w:hAnsi="Calibri" w:cs="Calibri"/>
      <w:sz w:val="28"/>
      <w:szCs w:val="28"/>
    </w:rPr>
  </w:style>
  <w:style w:type="paragraph" w:customStyle="1" w:styleId="2736">
    <w:name w:val="1 Char Char Char Char Char Char Char Char"/>
    <w:basedOn w:val="1"/>
    <w:qFormat/>
    <w:uiPriority w:val="99"/>
    <w:rPr>
      <w:rFonts w:ascii="Calibri" w:hAnsi="Calibri" w:cs="Calibri"/>
      <w:sz w:val="24"/>
    </w:rPr>
  </w:style>
  <w:style w:type="paragraph" w:customStyle="1" w:styleId="2737">
    <w:name w:val="段落"/>
    <w:basedOn w:val="1"/>
    <w:qFormat/>
    <w:uiPriority w:val="99"/>
    <w:pPr>
      <w:spacing w:line="580" w:lineRule="exact"/>
      <w:ind w:firstLine="200" w:firstLineChars="200"/>
    </w:pPr>
    <w:rPr>
      <w:rFonts w:ascii="Calibri" w:hAnsi="Calibri" w:cs="Calibri"/>
      <w:spacing w:val="6"/>
      <w:sz w:val="28"/>
      <w:szCs w:val="28"/>
    </w:rPr>
  </w:style>
  <w:style w:type="paragraph" w:customStyle="1" w:styleId="2738">
    <w:name w:val="BGWZ2"/>
    <w:basedOn w:val="1"/>
    <w:semiHidden/>
    <w:qFormat/>
    <w:uiPriority w:val="0"/>
    <w:pPr>
      <w:snapToGrid w:val="0"/>
      <w:spacing w:line="300" w:lineRule="exact"/>
      <w:jc w:val="center"/>
    </w:pPr>
    <w:rPr>
      <w:rFonts w:ascii="Calibri" w:hAnsi="Calibri" w:cs="Calibri"/>
      <w:snapToGrid w:val="0"/>
      <w:kern w:val="0"/>
      <w:sz w:val="18"/>
      <w:szCs w:val="21"/>
      <w:lang w:eastAsia="zh-TW"/>
    </w:rPr>
  </w:style>
  <w:style w:type="paragraph" w:customStyle="1" w:styleId="2739">
    <w:name w:val="样式 标题 1 + (中文) 宋体 小三 行距: 多倍行距 1.35 字行"/>
    <w:basedOn w:val="3"/>
    <w:qFormat/>
    <w:uiPriority w:val="0"/>
    <w:pPr>
      <w:keepLines/>
      <w:tabs>
        <w:tab w:val="left" w:pos="432"/>
      </w:tabs>
      <w:overflowPunct/>
      <w:adjustRightInd w:val="0"/>
      <w:spacing w:before="468" w:beforeLines="150" w:after="468" w:afterLines="150" w:line="480" w:lineRule="exact"/>
    </w:pPr>
    <w:rPr>
      <w:rFonts w:ascii="楷体_GB2312" w:hAnsi="宋体" w:eastAsia="楷体_GB2312"/>
      <w:b w:val="0"/>
      <w:color w:val="auto"/>
    </w:rPr>
  </w:style>
  <w:style w:type="paragraph" w:customStyle="1" w:styleId="2740">
    <w:name w:val="xl170"/>
    <w:basedOn w:val="1"/>
    <w:qFormat/>
    <w:uiPriority w:val="99"/>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cs="Calibri"/>
      <w:kern w:val="0"/>
    </w:rPr>
  </w:style>
  <w:style w:type="paragraph" w:customStyle="1" w:styleId="2741">
    <w:name w:val="xl55"/>
    <w:basedOn w:val="1"/>
    <w:qFormat/>
    <w:uiPriority w:val="99"/>
    <w:pPr>
      <w:widowControl/>
      <w:pBdr>
        <w:bottom w:val="single" w:color="auto" w:sz="12" w:space="0"/>
      </w:pBdr>
      <w:spacing w:before="100" w:beforeAutospacing="1" w:after="100" w:afterAutospacing="1"/>
      <w:jc w:val="left"/>
    </w:pPr>
    <w:rPr>
      <w:rFonts w:ascii="Arial Unicode MS" w:hAnsi="Arial Unicode MS" w:cs="Calibri"/>
      <w:kern w:val="0"/>
      <w:sz w:val="12"/>
      <w:szCs w:val="12"/>
    </w:rPr>
  </w:style>
  <w:style w:type="paragraph" w:customStyle="1" w:styleId="2742">
    <w:name w:val="清單段落"/>
    <w:basedOn w:val="1"/>
    <w:qFormat/>
    <w:uiPriority w:val="99"/>
    <w:pPr>
      <w:ind w:left="480" w:leftChars="200"/>
      <w:jc w:val="left"/>
    </w:pPr>
    <w:rPr>
      <w:rFonts w:ascii="Calibri" w:hAnsi="Calibri" w:eastAsia="PMingLiU" w:cs="Calibri"/>
      <w:sz w:val="24"/>
      <w:szCs w:val="22"/>
      <w:lang w:eastAsia="zh-TW"/>
    </w:rPr>
  </w:style>
  <w:style w:type="paragraph" w:customStyle="1" w:styleId="2743">
    <w:name w:val="xl264"/>
    <w:basedOn w:val="1"/>
    <w:semiHidden/>
    <w:qFormat/>
    <w:uiPriority w:val="0"/>
    <w:pPr>
      <w:widowControl/>
      <w:pBdr>
        <w:left w:val="single" w:color="auto" w:sz="8" w:space="0"/>
        <w:right w:val="single" w:color="auto" w:sz="12" w:space="0"/>
      </w:pBdr>
      <w:spacing w:before="100" w:beforeAutospacing="1" w:after="100" w:afterAutospacing="1"/>
      <w:jc w:val="center"/>
    </w:pPr>
    <w:rPr>
      <w:rFonts w:ascii="Calibri" w:hAnsi="Calibri" w:cs="Calibri"/>
      <w:color w:val="00CCFF"/>
      <w:kern w:val="0"/>
      <w:sz w:val="18"/>
      <w:szCs w:val="18"/>
    </w:rPr>
  </w:style>
  <w:style w:type="paragraph" w:customStyle="1" w:styleId="2744">
    <w:name w:val="mp"/>
    <w:basedOn w:val="1"/>
    <w:qFormat/>
    <w:uiPriority w:val="99"/>
    <w:pPr>
      <w:widowControl/>
      <w:spacing w:before="100" w:beforeAutospacing="1" w:after="100" w:afterAutospacing="1" w:line="400" w:lineRule="atLeast"/>
      <w:ind w:firstLine="360"/>
    </w:pPr>
    <w:rPr>
      <w:rFonts w:ascii="ˎ̥" w:hAnsi="ˎ̥" w:cs="宋体"/>
      <w:color w:val="454D63"/>
      <w:kern w:val="0"/>
      <w:sz w:val="24"/>
    </w:rPr>
  </w:style>
  <w:style w:type="paragraph" w:customStyle="1" w:styleId="2745">
    <w:name w:val="xl227"/>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746">
    <w:name w:val="样式 样式 标题 3 + (西文) Times New Roman (中文) 宋体 小四 加粗 + 黑色"/>
    <w:semiHidden/>
    <w:qFormat/>
    <w:uiPriority w:val="0"/>
    <w:pPr>
      <w:tabs>
        <w:tab w:val="left" w:pos="0"/>
        <w:tab w:val="left" w:pos="1021"/>
      </w:tabs>
      <w:spacing w:before="260" w:after="260"/>
    </w:pPr>
    <w:rPr>
      <w:rFonts w:ascii="Times New Roman" w:hAnsi="Times New Roman" w:eastAsia="宋体" w:cs="Calibri"/>
      <w:color w:val="000000"/>
      <w:lang w:val="en-US" w:eastAsia="zh-CN" w:bidi="ar-SA"/>
    </w:rPr>
  </w:style>
  <w:style w:type="paragraph" w:customStyle="1" w:styleId="2747">
    <w:name w:val="正文文本 22"/>
    <w:basedOn w:val="1"/>
    <w:qFormat/>
    <w:uiPriority w:val="0"/>
    <w:pPr>
      <w:autoSpaceDE w:val="0"/>
      <w:autoSpaceDN w:val="0"/>
      <w:adjustRightInd w:val="0"/>
      <w:spacing w:line="360" w:lineRule="atLeast"/>
      <w:ind w:firstLine="425"/>
    </w:pPr>
    <w:rPr>
      <w:rFonts w:ascii="宋体" w:hAnsi="Tms Rmn" w:cs="Calibri"/>
      <w:kern w:val="0"/>
      <w:sz w:val="28"/>
      <w:szCs w:val="20"/>
    </w:rPr>
  </w:style>
  <w:style w:type="paragraph" w:customStyle="1" w:styleId="2748">
    <w:name w:val="xl60"/>
    <w:basedOn w:val="1"/>
    <w:qFormat/>
    <w:uiPriority w:val="0"/>
    <w:pPr>
      <w:widowControl/>
      <w:spacing w:before="100" w:beforeAutospacing="1" w:after="100" w:afterAutospacing="1"/>
      <w:jc w:val="center"/>
      <w:textAlignment w:val="center"/>
    </w:pPr>
    <w:rPr>
      <w:rFonts w:ascii="Arial Unicode MS" w:hAnsi="Arial Unicode MS" w:cs="Calibri"/>
      <w:kern w:val="0"/>
      <w:sz w:val="12"/>
      <w:szCs w:val="12"/>
    </w:rPr>
  </w:style>
  <w:style w:type="paragraph" w:customStyle="1" w:styleId="2749">
    <w:name w:val="表体宋旭峰"/>
    <w:basedOn w:val="1"/>
    <w:qFormat/>
    <w:uiPriority w:val="0"/>
    <w:pPr>
      <w:overflowPunct w:val="0"/>
      <w:spacing w:line="320" w:lineRule="exact"/>
      <w:jc w:val="center"/>
      <w:textAlignment w:val="baseline"/>
    </w:pPr>
    <w:rPr>
      <w:rFonts w:ascii="楷体_GB2312" w:hAnsi="Calibri" w:eastAsia="楷体_GB2312" w:cs="Courier New"/>
      <w:snapToGrid w:val="0"/>
      <w:spacing w:val="-20"/>
      <w:kern w:val="0"/>
      <w:szCs w:val="21"/>
    </w:rPr>
  </w:style>
  <w:style w:type="paragraph" w:customStyle="1" w:styleId="2750">
    <w:name w:val="reader-word-layer reader-word-s1-29"/>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751">
    <w:name w:val="8说明(治)"/>
    <w:basedOn w:val="1"/>
    <w:semiHidden/>
    <w:qFormat/>
    <w:uiPriority w:val="0"/>
    <w:pPr>
      <w:ind w:firstLine="480" w:firstLineChars="200"/>
    </w:pPr>
    <w:rPr>
      <w:rFonts w:ascii="仿宋_GB2312" w:hAnsi="宋体" w:eastAsia="仿宋_GB2312" w:cs="Calibri"/>
      <w:color w:val="3366FF"/>
      <w:sz w:val="24"/>
      <w:szCs w:val="20"/>
    </w:rPr>
  </w:style>
  <w:style w:type="paragraph" w:customStyle="1" w:styleId="2752">
    <w:name w:val="博士论文正文"/>
    <w:basedOn w:val="1"/>
    <w:qFormat/>
    <w:uiPriority w:val="99"/>
    <w:pPr>
      <w:spacing w:line="360" w:lineRule="auto"/>
      <w:ind w:firstLine="200" w:firstLineChars="200"/>
    </w:pPr>
    <w:rPr>
      <w:rFonts w:ascii="Calibri" w:hAnsi="Calibri" w:cs="Calibri"/>
      <w:sz w:val="24"/>
    </w:rPr>
  </w:style>
  <w:style w:type="paragraph" w:customStyle="1" w:styleId="2753">
    <w:name w:val="001"/>
    <w:basedOn w:val="1"/>
    <w:qFormat/>
    <w:uiPriority w:val="99"/>
    <w:pPr>
      <w:spacing w:line="360" w:lineRule="auto"/>
    </w:pPr>
    <w:rPr>
      <w:rFonts w:ascii="Calibri" w:hAnsi="Calibri" w:eastAsia="华文中宋" w:cs="Calibri"/>
      <w:sz w:val="28"/>
      <w:szCs w:val="28"/>
    </w:rPr>
  </w:style>
  <w:style w:type="paragraph" w:customStyle="1" w:styleId="2754">
    <w:name w:val="Char Char2 Char Char Char Char Char Char5"/>
    <w:basedOn w:val="1"/>
    <w:semiHidden/>
    <w:qFormat/>
    <w:uiPriority w:val="0"/>
    <w:pPr>
      <w:spacing w:line="480" w:lineRule="exact"/>
    </w:pPr>
    <w:rPr>
      <w:rFonts w:ascii="Calibri" w:hAnsi="Calibri" w:cs="Calibri"/>
      <w:sz w:val="22"/>
    </w:rPr>
  </w:style>
  <w:style w:type="paragraph" w:customStyle="1" w:styleId="2755">
    <w:name w:val="Char6 Char Char Char1"/>
    <w:basedOn w:val="1"/>
    <w:semiHidden/>
    <w:qFormat/>
    <w:uiPriority w:val="0"/>
    <w:rPr>
      <w:rFonts w:ascii="Calibri" w:hAnsi="Calibri" w:cs="Calibri"/>
      <w:szCs w:val="21"/>
    </w:rPr>
  </w:style>
  <w:style w:type="paragraph" w:customStyle="1" w:styleId="2756">
    <w:name w:val="xl243"/>
    <w:basedOn w:val="1"/>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2757">
    <w:name w:val="xl166"/>
    <w:basedOn w:val="1"/>
    <w:qFormat/>
    <w:uiPriority w:val="99"/>
    <w:pPr>
      <w:widowControl/>
      <w:pBdr>
        <w:left w:val="single" w:color="auto" w:sz="12" w:space="0"/>
        <w:bottom w:val="single" w:color="auto" w:sz="12" w:space="0"/>
      </w:pBdr>
      <w:spacing w:before="100" w:beforeAutospacing="1" w:after="100" w:afterAutospacing="1"/>
      <w:jc w:val="center"/>
      <w:textAlignment w:val="center"/>
    </w:pPr>
    <w:rPr>
      <w:rFonts w:ascii="Arial Unicode MS" w:hAnsi="Arial Unicode MS" w:cs="Calibri"/>
      <w:kern w:val="0"/>
    </w:rPr>
  </w:style>
  <w:style w:type="paragraph" w:customStyle="1" w:styleId="2758">
    <w:name w:val="Job Title"/>
    <w:next w:val="2096"/>
    <w:semiHidden/>
    <w:qFormat/>
    <w:uiPriority w:val="0"/>
    <w:pPr>
      <w:spacing w:after="40" w:line="220" w:lineRule="atLeast"/>
    </w:pPr>
    <w:rPr>
      <w:rFonts w:ascii="Tahoma" w:hAnsi="Tahoma" w:eastAsia="黑体" w:cs="Calibri"/>
      <w:b/>
      <w:spacing w:val="-10"/>
      <w:lang w:val="en-US" w:eastAsia="zh-CN" w:bidi="ar-SA"/>
    </w:rPr>
  </w:style>
  <w:style w:type="paragraph" w:customStyle="1" w:styleId="2759">
    <w:name w:val="样式 样式 首行缩进:  2 字符1 + 首行缩进:  2 字符"/>
    <w:basedOn w:val="1"/>
    <w:qFormat/>
    <w:uiPriority w:val="99"/>
    <w:pPr>
      <w:spacing w:line="480" w:lineRule="exact"/>
      <w:ind w:firstLine="200" w:firstLineChars="200"/>
    </w:pPr>
    <w:rPr>
      <w:rFonts w:ascii="Calibri" w:hAnsi="Calibri" w:eastAsia="楷体_GB2312" w:cs="Calibri"/>
      <w:sz w:val="24"/>
      <w:szCs w:val="20"/>
    </w:rPr>
  </w:style>
  <w:style w:type="paragraph" w:customStyle="1" w:styleId="2760">
    <w:name w:val="Char Char Char Char Char Char1 Char Char Char Char Char Char Char1"/>
    <w:basedOn w:val="1"/>
    <w:semiHidden/>
    <w:qFormat/>
    <w:uiPriority w:val="0"/>
    <w:pPr>
      <w:widowControl/>
      <w:jc w:val="left"/>
    </w:pPr>
    <w:rPr>
      <w:rFonts w:ascii="Calibri" w:hAnsi="Calibri" w:cs="Calibri"/>
      <w:kern w:val="0"/>
      <w:sz w:val="22"/>
      <w:szCs w:val="22"/>
    </w:rPr>
  </w:style>
  <w:style w:type="paragraph" w:customStyle="1" w:styleId="2761">
    <w:name w:val="xl301"/>
    <w:basedOn w:val="1"/>
    <w:semiHidden/>
    <w:qFormat/>
    <w:uiPriority w:val="0"/>
    <w:pPr>
      <w:widowControl/>
      <w:pBdr>
        <w:bottom w:val="single" w:color="auto" w:sz="8" w:space="0"/>
        <w:right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2762">
    <w:name w:val="表格01"/>
    <w:basedOn w:val="1"/>
    <w:semiHidden/>
    <w:qFormat/>
    <w:uiPriority w:val="0"/>
    <w:pPr>
      <w:adjustRightInd w:val="0"/>
      <w:snapToGrid w:val="0"/>
      <w:jc w:val="center"/>
    </w:pPr>
    <w:rPr>
      <w:rFonts w:ascii="@黑体" w:hAnsi="@黑体" w:eastAsia="黑体" w:cs="Calibri"/>
      <w:sz w:val="24"/>
      <w:szCs w:val="20"/>
    </w:rPr>
  </w:style>
  <w:style w:type="paragraph" w:customStyle="1" w:styleId="2763">
    <w:name w:val="样式 标题 3条标题1.1.1h3H3level_3PIM 3Level 3 HeadHeading 3 - ol..."/>
    <w:basedOn w:val="5"/>
    <w:qFormat/>
    <w:uiPriority w:val="99"/>
    <w:pPr>
      <w:numPr>
        <w:ilvl w:val="0"/>
        <w:numId w:val="0"/>
      </w:numPr>
      <w:tabs>
        <w:tab w:val="left" w:pos="425"/>
        <w:tab w:val="left" w:pos="720"/>
      </w:tabs>
      <w:adjustRightInd w:val="0"/>
      <w:spacing w:before="0" w:after="20" w:afterLines="20" w:line="360" w:lineRule="auto"/>
      <w:ind w:left="720" w:hanging="720"/>
    </w:pPr>
    <w:rPr>
      <w:rFonts w:ascii="宋体" w:hAnsi="Arial Black" w:cs="Calibri"/>
      <w:b w:val="0"/>
      <w:bCs w:val="0"/>
      <w:kern w:val="21"/>
      <w:sz w:val="24"/>
      <w:szCs w:val="20"/>
      <w:lang w:val="en-US"/>
    </w:rPr>
  </w:style>
  <w:style w:type="paragraph" w:customStyle="1" w:styleId="2764">
    <w:name w:val="Char Char1 Char1"/>
    <w:basedOn w:val="1"/>
    <w:qFormat/>
    <w:uiPriority w:val="99"/>
    <w:pPr>
      <w:widowControl/>
      <w:spacing w:after="160" w:line="240" w:lineRule="exact"/>
      <w:jc w:val="left"/>
    </w:pPr>
    <w:rPr>
      <w:rFonts w:ascii="Calibri" w:hAnsi="Calibri" w:cs="Calibri"/>
      <w:szCs w:val="20"/>
    </w:rPr>
  </w:style>
  <w:style w:type="paragraph" w:customStyle="1" w:styleId="2765">
    <w:name w:val="BL_BasicText"/>
    <w:basedOn w:val="1"/>
    <w:semiHidden/>
    <w:qFormat/>
    <w:uiPriority w:val="0"/>
    <w:pPr>
      <w:widowControl/>
      <w:adjustRightInd w:val="0"/>
      <w:snapToGrid w:val="0"/>
      <w:jc w:val="left"/>
    </w:pPr>
    <w:rPr>
      <w:rFonts w:ascii="黑体" w:hAnsi="黑体" w:eastAsia="黑体" w:cs="Calibri"/>
      <w:kern w:val="0"/>
      <w:sz w:val="24"/>
      <w:szCs w:val="20"/>
      <w:lang w:eastAsia="en-US"/>
    </w:rPr>
  </w:style>
  <w:style w:type="paragraph" w:customStyle="1" w:styleId="2766">
    <w:name w:val="xl182"/>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Calibri" w:hAnsi="Calibri" w:cs="Calibri"/>
      <w:kern w:val="0"/>
      <w:sz w:val="16"/>
      <w:szCs w:val="16"/>
    </w:rPr>
  </w:style>
  <w:style w:type="paragraph" w:customStyle="1" w:styleId="2767">
    <w:name w:val="Char Char Char Char Char Char Char Char Char Char Char Char Char Char Char Char Char Char Char Char Char Char Char Char Char Char Char Char Char Char Char Char Char Char Char Char Char Char Char Char Char Char4"/>
    <w:basedOn w:val="1"/>
    <w:qFormat/>
    <w:uiPriority w:val="99"/>
    <w:rPr>
      <w:rFonts w:ascii="Calibri" w:hAnsi="Calibri" w:cs="Calibri"/>
    </w:rPr>
  </w:style>
  <w:style w:type="paragraph" w:customStyle="1" w:styleId="2768">
    <w:name w:val="纯文本12"/>
    <w:basedOn w:val="1"/>
    <w:qFormat/>
    <w:uiPriority w:val="99"/>
    <w:pPr>
      <w:adjustRightInd w:val="0"/>
      <w:textAlignment w:val="baseline"/>
    </w:pPr>
    <w:rPr>
      <w:rFonts w:ascii="宋体" w:hAnsi="Courier New" w:cs="Calibri"/>
      <w:szCs w:val="20"/>
    </w:rPr>
  </w:style>
  <w:style w:type="paragraph" w:customStyle="1" w:styleId="2769">
    <w:name w:val="第一标题"/>
    <w:basedOn w:val="1"/>
    <w:semiHidden/>
    <w:qFormat/>
    <w:uiPriority w:val="0"/>
    <w:pPr>
      <w:jc w:val="center"/>
    </w:pPr>
    <w:rPr>
      <w:rFonts w:ascii="Calibri" w:hAnsi="Calibri" w:cs="宋体"/>
      <w:sz w:val="44"/>
      <w:szCs w:val="20"/>
    </w:rPr>
  </w:style>
  <w:style w:type="paragraph" w:customStyle="1" w:styleId="2770">
    <w:name w:val="Char9"/>
    <w:basedOn w:val="1"/>
    <w:qFormat/>
    <w:uiPriority w:val="0"/>
    <w:rPr>
      <w:rFonts w:ascii="宋体" w:hAnsi="Calibri" w:cs="Calibri"/>
      <w:sz w:val="24"/>
    </w:rPr>
  </w:style>
  <w:style w:type="paragraph" w:customStyle="1" w:styleId="2771">
    <w:name w:val="表标"/>
    <w:basedOn w:val="1"/>
    <w:next w:val="1"/>
    <w:qFormat/>
    <w:uiPriority w:val="99"/>
    <w:pPr>
      <w:adjustRightInd w:val="0"/>
      <w:snapToGrid w:val="0"/>
      <w:spacing w:line="320" w:lineRule="exact"/>
      <w:ind w:right="315" w:rightChars="150"/>
      <w:jc w:val="center"/>
    </w:pPr>
    <w:rPr>
      <w:rFonts w:ascii="黑体" w:hAnsi="Calibri" w:eastAsia="黑体" w:cs="Calibri"/>
      <w:kern w:val="0"/>
      <w:sz w:val="24"/>
      <w:szCs w:val="20"/>
    </w:rPr>
  </w:style>
  <w:style w:type="paragraph" w:customStyle="1" w:styleId="2772">
    <w:name w:val="xl251"/>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773">
    <w:name w:val="font16"/>
    <w:basedOn w:val="1"/>
    <w:qFormat/>
    <w:uiPriority w:val="0"/>
    <w:pPr>
      <w:widowControl/>
      <w:spacing w:before="100" w:beforeAutospacing="1" w:after="100" w:afterAutospacing="1"/>
      <w:jc w:val="left"/>
    </w:pPr>
    <w:rPr>
      <w:rFonts w:ascii="宋体" w:hAnsi="宋体" w:cs="宋体"/>
      <w:color w:val="FF6600"/>
      <w:kern w:val="0"/>
      <w:sz w:val="18"/>
      <w:szCs w:val="18"/>
    </w:rPr>
  </w:style>
  <w:style w:type="paragraph" w:customStyle="1" w:styleId="2774">
    <w:name w:val="xl150"/>
    <w:basedOn w:val="1"/>
    <w:qFormat/>
    <w:uiPriority w:val="99"/>
    <w:pPr>
      <w:widowControl/>
      <w:pBdr>
        <w:bottom w:val="single" w:color="auto" w:sz="8" w:space="0"/>
      </w:pBdr>
      <w:spacing w:before="100" w:beforeAutospacing="1" w:after="100" w:afterAutospacing="1"/>
      <w:jc w:val="left"/>
    </w:pPr>
    <w:rPr>
      <w:rFonts w:ascii="Arial Unicode MS" w:hAnsi="Arial Unicode MS" w:cs="Calibri"/>
      <w:kern w:val="0"/>
      <w:sz w:val="16"/>
      <w:szCs w:val="16"/>
    </w:rPr>
  </w:style>
  <w:style w:type="paragraph" w:customStyle="1" w:styleId="2775">
    <w:name w:val="标题 B"/>
    <w:basedOn w:val="4"/>
    <w:qFormat/>
    <w:uiPriority w:val="99"/>
    <w:pPr>
      <w:keepLines w:val="0"/>
      <w:numPr>
        <w:ilvl w:val="0"/>
        <w:numId w:val="0"/>
      </w:numPr>
      <w:adjustRightInd w:val="0"/>
      <w:spacing w:before="840" w:after="240" w:line="400" w:lineRule="exact"/>
      <w:jc w:val="center"/>
      <w:textAlignment w:val="baseline"/>
      <w:outlineLvl w:val="9"/>
    </w:pPr>
    <w:rPr>
      <w:rFonts w:ascii="Arial Rounded MT Bold" w:hAnsi="Arial Rounded MT Bold" w:eastAsia="宋体"/>
      <w:bCs w:val="0"/>
      <w:spacing w:val="8"/>
      <w:kern w:val="0"/>
      <w:sz w:val="32"/>
      <w:szCs w:val="20"/>
      <w:lang w:val="en-US"/>
    </w:rPr>
  </w:style>
  <w:style w:type="paragraph" w:customStyle="1" w:styleId="2776">
    <w:name w:val="册除格式 Char"/>
    <w:qFormat/>
    <w:uiPriority w:val="99"/>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777">
    <w:name w:val="默认段落字体 Para Char Char Char1 Char Char Char Char Char Char Char Char Char Char"/>
    <w:basedOn w:val="1"/>
    <w:qFormat/>
    <w:uiPriority w:val="99"/>
    <w:rPr>
      <w:rFonts w:ascii="Calibri" w:hAnsi="Calibri" w:cs="Calibri"/>
      <w:sz w:val="28"/>
    </w:rPr>
  </w:style>
  <w:style w:type="paragraph" w:customStyle="1" w:styleId="2778">
    <w:name w:val="puce"/>
    <w:basedOn w:val="1"/>
    <w:qFormat/>
    <w:uiPriority w:val="0"/>
    <w:pPr>
      <w:widowControl/>
      <w:tabs>
        <w:tab w:val="left" w:pos="1319"/>
      </w:tabs>
      <w:adjustRightInd w:val="0"/>
      <w:snapToGrid w:val="0"/>
      <w:spacing w:before="120" w:line="300" w:lineRule="auto"/>
      <w:ind w:left="1319" w:hanging="360"/>
    </w:pPr>
    <w:rPr>
      <w:rFonts w:ascii="Arial" w:hAnsi="Arial" w:cs="Calibri"/>
      <w:kern w:val="0"/>
      <w:sz w:val="24"/>
      <w:szCs w:val="20"/>
    </w:rPr>
  </w:style>
  <w:style w:type="paragraph" w:customStyle="1" w:styleId="2779">
    <w:name w:val="xl185"/>
    <w:basedOn w:val="1"/>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cs="Calibri"/>
      <w:kern w:val="0"/>
      <w:sz w:val="12"/>
      <w:szCs w:val="12"/>
    </w:rPr>
  </w:style>
  <w:style w:type="paragraph" w:customStyle="1" w:styleId="2780">
    <w:name w:val="标准符号 行距1倍"/>
    <w:basedOn w:val="1"/>
    <w:qFormat/>
    <w:uiPriority w:val="99"/>
    <w:pPr>
      <w:tabs>
        <w:tab w:val="left" w:pos="900"/>
      </w:tabs>
      <w:adjustRightInd w:val="0"/>
      <w:snapToGrid w:val="0"/>
      <w:spacing w:line="480" w:lineRule="exact"/>
      <w:ind w:left="902" w:hanging="362"/>
      <w:textAlignment w:val="center"/>
    </w:pPr>
    <w:rPr>
      <w:rFonts w:ascii="Calibri" w:hAnsi="Calibri" w:cs="宋体"/>
      <w:kern w:val="0"/>
      <w:sz w:val="24"/>
    </w:rPr>
  </w:style>
  <w:style w:type="paragraph" w:customStyle="1" w:styleId="2781">
    <w:name w:val="样式 样式 正文1 + 段前: 0.1 行 + 段前: 0.1 行"/>
    <w:basedOn w:val="1"/>
    <w:semiHidden/>
    <w:qFormat/>
    <w:uiPriority w:val="0"/>
    <w:pPr>
      <w:snapToGrid w:val="0"/>
      <w:spacing w:before="24" w:beforeLines="10" w:line="440" w:lineRule="atLeast"/>
      <w:ind w:firstLine="567"/>
    </w:pPr>
    <w:rPr>
      <w:rFonts w:ascii="Calibri" w:hAnsi="Calibri" w:cs="Calibri"/>
      <w:sz w:val="24"/>
      <w:szCs w:val="20"/>
    </w:rPr>
  </w:style>
  <w:style w:type="paragraph" w:customStyle="1" w:styleId="2782">
    <w:name w:val="Char6 Char Char Char1 Char Char1"/>
    <w:basedOn w:val="1"/>
    <w:semiHidden/>
    <w:qFormat/>
    <w:uiPriority w:val="0"/>
    <w:rPr>
      <w:rFonts w:ascii="Calibri" w:hAnsi="Calibri" w:cs="Calibri"/>
      <w:szCs w:val="21"/>
    </w:rPr>
  </w:style>
  <w:style w:type="paragraph" w:customStyle="1" w:styleId="2783">
    <w:name w:val="样式 标题 1 + 左侧:  2 字符"/>
    <w:basedOn w:val="3"/>
    <w:next w:val="1"/>
    <w:qFormat/>
    <w:uiPriority w:val="99"/>
    <w:pPr>
      <w:keepLines/>
      <w:numPr>
        <w:ilvl w:val="0"/>
        <w:numId w:val="14"/>
      </w:numPr>
      <w:overflowPunct/>
      <w:adjustRightInd w:val="0"/>
      <w:snapToGrid/>
      <w:spacing w:before="100" w:after="100" w:line="480" w:lineRule="auto"/>
    </w:pPr>
    <w:rPr>
      <w:rFonts w:eastAsia="宋体"/>
      <w:b w:val="0"/>
      <w:bCs w:val="0"/>
      <w:color w:val="auto"/>
      <w:sz w:val="24"/>
      <w:szCs w:val="24"/>
    </w:rPr>
  </w:style>
  <w:style w:type="paragraph" w:customStyle="1" w:styleId="2784">
    <w:name w:val="a"/>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24"/>
    </w:rPr>
  </w:style>
  <w:style w:type="paragraph" w:customStyle="1" w:styleId="2785">
    <w:name w:val="xl137"/>
    <w:basedOn w:val="1"/>
    <w:qFormat/>
    <w:uiPriority w:val="99"/>
    <w:pPr>
      <w:widowControl/>
      <w:pBdr>
        <w:bottom w:val="single" w:color="auto" w:sz="8" w:space="0"/>
      </w:pBdr>
      <w:spacing w:before="100" w:beforeAutospacing="1" w:after="100" w:afterAutospacing="1"/>
      <w:jc w:val="left"/>
    </w:pPr>
    <w:rPr>
      <w:rFonts w:ascii="Arial Unicode MS" w:hAnsi="Arial Unicode MS" w:cs="Calibri"/>
      <w:kern w:val="0"/>
      <w:sz w:val="12"/>
      <w:szCs w:val="12"/>
    </w:rPr>
  </w:style>
  <w:style w:type="paragraph" w:customStyle="1" w:styleId="2786">
    <w:name w:val="font30"/>
    <w:basedOn w:val="1"/>
    <w:semiHidden/>
    <w:qFormat/>
    <w:uiPriority w:val="0"/>
    <w:pPr>
      <w:widowControl/>
      <w:spacing w:before="100" w:beforeAutospacing="1" w:after="100" w:afterAutospacing="1"/>
      <w:jc w:val="left"/>
    </w:pPr>
    <w:rPr>
      <w:rFonts w:ascii="Calibri" w:hAnsi="Calibri" w:cs="Calibri"/>
      <w:kern w:val="0"/>
      <w:sz w:val="15"/>
      <w:szCs w:val="15"/>
    </w:rPr>
  </w:style>
  <w:style w:type="paragraph" w:customStyle="1" w:styleId="2787">
    <w:name w:val="表格题目"/>
    <w:basedOn w:val="1"/>
    <w:qFormat/>
    <w:uiPriority w:val="0"/>
    <w:pPr>
      <w:snapToGrid w:val="0"/>
      <w:spacing w:before="120" w:after="60" w:line="300" w:lineRule="auto"/>
      <w:ind w:firstLine="482"/>
      <w:jc w:val="center"/>
    </w:pPr>
    <w:rPr>
      <w:rFonts w:ascii="@黑体" w:hAnsi="@黑体" w:eastAsia="黑体" w:cs="Calibri"/>
      <w:b/>
      <w:color w:val="000000"/>
      <w:sz w:val="24"/>
      <w:szCs w:val="20"/>
    </w:rPr>
  </w:style>
  <w:style w:type="paragraph" w:customStyle="1" w:styleId="2788">
    <w:name w:val="表格（大）"/>
    <w:basedOn w:val="1"/>
    <w:qFormat/>
    <w:uiPriority w:val="99"/>
    <w:pPr>
      <w:spacing w:line="360" w:lineRule="exact"/>
      <w:jc w:val="center"/>
    </w:pPr>
    <w:rPr>
      <w:rFonts w:ascii="Calibri" w:hAnsi="Calibri" w:eastAsia="仿宋_GB2312" w:cs="Calibri"/>
    </w:rPr>
  </w:style>
  <w:style w:type="paragraph" w:customStyle="1" w:styleId="2789">
    <w:name w:val="密级编号"/>
    <w:basedOn w:val="1"/>
    <w:semiHidden/>
    <w:qFormat/>
    <w:uiPriority w:val="0"/>
    <w:pPr>
      <w:adjustRightInd w:val="0"/>
      <w:spacing w:line="360" w:lineRule="auto"/>
      <w:jc w:val="center"/>
      <w:textAlignment w:val="baseline"/>
    </w:pPr>
    <w:rPr>
      <w:rFonts w:ascii="Tahoma" w:hAnsi="@黑体" w:eastAsia="Tahoma" w:cs="Calibri"/>
      <w:kern w:val="0"/>
      <w:sz w:val="24"/>
    </w:rPr>
  </w:style>
  <w:style w:type="paragraph" w:customStyle="1" w:styleId="2790">
    <w:name w:val="样式 四号 首行缩进:  2 字符 行距: 2 倍行距"/>
    <w:basedOn w:val="1"/>
    <w:qFormat/>
    <w:uiPriority w:val="99"/>
    <w:pPr>
      <w:snapToGrid w:val="0"/>
      <w:spacing w:line="360" w:lineRule="auto"/>
      <w:ind w:firstLine="200" w:firstLineChars="200"/>
    </w:pPr>
    <w:rPr>
      <w:rFonts w:ascii="Calibri" w:hAnsi="Calibri" w:cs="宋体"/>
      <w:sz w:val="28"/>
      <w:szCs w:val="20"/>
    </w:rPr>
  </w:style>
  <w:style w:type="paragraph" w:customStyle="1" w:styleId="2791">
    <w:name w:val="公示内容"/>
    <w:basedOn w:val="1"/>
    <w:semiHidden/>
    <w:qFormat/>
    <w:uiPriority w:val="0"/>
    <w:pPr>
      <w:ind w:firstLine="437" w:firstLineChars="182"/>
      <w:jc w:val="left"/>
    </w:pPr>
    <w:rPr>
      <w:rFonts w:ascii="Calibri" w:hAnsi="宋体" w:cs="宋体"/>
      <w:sz w:val="24"/>
      <w:szCs w:val="20"/>
    </w:rPr>
  </w:style>
  <w:style w:type="paragraph" w:customStyle="1" w:styleId="2792">
    <w:name w:val="默认段落字体 Para Char Char Char1 Char1"/>
    <w:basedOn w:val="1"/>
    <w:qFormat/>
    <w:uiPriority w:val="99"/>
    <w:rPr>
      <w:rFonts w:ascii="Calibri" w:hAnsi="Calibri" w:cs="Calibri"/>
      <w:sz w:val="24"/>
    </w:rPr>
  </w:style>
  <w:style w:type="paragraph" w:customStyle="1" w:styleId="2793">
    <w:name w:val="四级标题1.1.1.1"/>
    <w:basedOn w:val="1"/>
    <w:next w:val="1"/>
    <w:semiHidden/>
    <w:qFormat/>
    <w:uiPriority w:val="0"/>
    <w:pPr>
      <w:keepNext/>
      <w:keepLines/>
      <w:widowControl/>
      <w:adjustRightInd w:val="0"/>
      <w:spacing w:before="40" w:after="40" w:line="360" w:lineRule="auto"/>
      <w:ind w:firstLine="200" w:firstLineChars="200"/>
      <w:textAlignment w:val="baseline"/>
      <w:outlineLvl w:val="3"/>
    </w:pPr>
    <w:rPr>
      <w:rFonts w:ascii="Calibri" w:hAnsi="Calibri" w:eastAsia="仿宋_GB2312" w:cs="宋体"/>
      <w:b/>
      <w:kern w:val="0"/>
      <w:sz w:val="24"/>
      <w:szCs w:val="28"/>
    </w:rPr>
  </w:style>
  <w:style w:type="paragraph" w:customStyle="1" w:styleId="2794">
    <w:name w:val="Char Char Char Char Char Char Char Char Char Char Char Char1 Char Char Char Char Char Char Char Char Char Char Char Char1"/>
    <w:basedOn w:val="1"/>
    <w:semiHidden/>
    <w:qFormat/>
    <w:uiPriority w:val="0"/>
    <w:pPr>
      <w:spacing w:line="240" w:lineRule="exact"/>
      <w:ind w:firstLine="200" w:firstLineChars="200"/>
    </w:pPr>
    <w:rPr>
      <w:rFonts w:ascii="Calibri" w:hAnsi="Calibri" w:cs="Calibri"/>
      <w:sz w:val="28"/>
      <w:szCs w:val="28"/>
    </w:rPr>
  </w:style>
  <w:style w:type="paragraph" w:customStyle="1" w:styleId="2795">
    <w:name w:val="xl51"/>
    <w:basedOn w:val="1"/>
    <w:qFormat/>
    <w:uiPriority w:val="0"/>
    <w:pPr>
      <w:widowControl/>
      <w:pBdr>
        <w:left w:val="single" w:color="auto" w:sz="4" w:space="0"/>
        <w:bottom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796">
    <w:name w:val="样式 标题 2正式H2（一）Underrubrik1prop2Heading 2 HiddenHeading 2 ...1"/>
    <w:basedOn w:val="4"/>
    <w:semiHidden/>
    <w:qFormat/>
    <w:uiPriority w:val="0"/>
    <w:pPr>
      <w:numPr>
        <w:ilvl w:val="0"/>
        <w:numId w:val="0"/>
      </w:numPr>
      <w:tabs>
        <w:tab w:val="left" w:pos="0"/>
      </w:tabs>
      <w:adjustRightInd w:val="0"/>
      <w:snapToGrid w:val="0"/>
      <w:spacing w:before="120" w:after="120"/>
      <w:ind w:firstLine="200" w:firstLineChars="200"/>
    </w:pPr>
    <w:rPr>
      <w:rFonts w:ascii="Times New Roman" w:hAnsi="Times New Roman" w:eastAsia="宋体"/>
      <w:b w:val="0"/>
      <w:snapToGrid w:val="0"/>
      <w:spacing w:val="4"/>
      <w:kern w:val="0"/>
      <w:szCs w:val="24"/>
      <w:lang w:val="en-US"/>
    </w:rPr>
  </w:style>
  <w:style w:type="paragraph" w:customStyle="1" w:styleId="2797">
    <w:name w:val="页脚 Char Char"/>
    <w:basedOn w:val="1"/>
    <w:qFormat/>
    <w:uiPriority w:val="0"/>
    <w:pPr>
      <w:tabs>
        <w:tab w:val="left" w:pos="4149"/>
        <w:tab w:val="left" w:pos="8016"/>
      </w:tabs>
      <w:spacing w:line="351" w:lineRule="atLeast"/>
      <w:ind w:firstLine="419"/>
      <w:jc w:val="left"/>
    </w:pPr>
    <w:rPr>
      <w:rFonts w:hint="eastAsia" w:ascii="Calibri" w:hAnsi="Calibri" w:cs="Calibri"/>
      <w:sz w:val="18"/>
      <w:szCs w:val="20"/>
    </w:rPr>
  </w:style>
  <w:style w:type="paragraph" w:customStyle="1" w:styleId="2798">
    <w:name w:val="册除格式 Char Char"/>
    <w:semiHidden/>
    <w:qFormat/>
    <w:uiPriority w:val="0"/>
    <w:pPr>
      <w:spacing w:line="360" w:lineRule="auto"/>
      <w:ind w:firstLine="482"/>
    </w:pPr>
    <w:rPr>
      <w:rFonts w:ascii="黑体" w:hAnsi="Arial" w:eastAsia="宋体" w:cs="Arial"/>
      <w:snapToGrid w:val="0"/>
      <w:spacing w:val="4"/>
      <w:kern w:val="18"/>
      <w:sz w:val="24"/>
      <w:szCs w:val="28"/>
      <w:lang w:val="en-US" w:eastAsia="zh-CN" w:bidi="ar-SA"/>
    </w:rPr>
  </w:style>
  <w:style w:type="paragraph" w:customStyle="1" w:styleId="2799">
    <w:name w:val="样式 宋体 小四 左 段前: 6 磅 段后: 6 磅 行距: 1.5 倍行距2"/>
    <w:basedOn w:val="1"/>
    <w:qFormat/>
    <w:uiPriority w:val="99"/>
    <w:pPr>
      <w:spacing w:line="300" w:lineRule="exact"/>
      <w:jc w:val="center"/>
    </w:pPr>
    <w:rPr>
      <w:rFonts w:ascii="Calibri" w:hAnsi="Calibri" w:cs="Calibri"/>
      <w:szCs w:val="21"/>
    </w:rPr>
  </w:style>
  <w:style w:type="paragraph" w:customStyle="1" w:styleId="2800">
    <w:name w:val="Char Char Char Char Char Char Char Char Char Char Char Char Char Char Char Char Char3"/>
    <w:basedOn w:val="1"/>
    <w:semiHidden/>
    <w:qFormat/>
    <w:uiPriority w:val="0"/>
    <w:rPr>
      <w:rFonts w:ascii="Calibri" w:hAnsi="Calibri" w:cs="Calibri"/>
      <w:sz w:val="24"/>
    </w:rPr>
  </w:style>
  <w:style w:type="paragraph" w:customStyle="1" w:styleId="2801">
    <w:name w:val="reader-word-layer reader-word-s1-2"/>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802">
    <w:name w:val="little"/>
    <w:basedOn w:val="1"/>
    <w:qFormat/>
    <w:uiPriority w:val="0"/>
    <w:pPr>
      <w:widowControl/>
      <w:spacing w:before="100" w:beforeAutospacing="1" w:after="100" w:afterAutospacing="1"/>
      <w:jc w:val="left"/>
    </w:pPr>
    <w:rPr>
      <w:rFonts w:ascii="宋体" w:hAnsi="宋体" w:cs="宋体"/>
      <w:kern w:val="0"/>
      <w:sz w:val="24"/>
    </w:rPr>
  </w:style>
  <w:style w:type="paragraph" w:customStyle="1" w:styleId="2803">
    <w:name w:val="Char4 Char Char Char Char Char Char"/>
    <w:basedOn w:val="1"/>
    <w:qFormat/>
    <w:uiPriority w:val="99"/>
    <w:rPr>
      <w:rFonts w:ascii="Calibri" w:hAnsi="Calibri" w:cs="Calibri"/>
      <w:sz w:val="24"/>
    </w:rPr>
  </w:style>
  <w:style w:type="paragraph" w:customStyle="1" w:styleId="2804">
    <w:name w:val="字元 字元3 字元"/>
    <w:basedOn w:val="1"/>
    <w:next w:val="1"/>
    <w:semiHidden/>
    <w:qFormat/>
    <w:uiPriority w:val="0"/>
    <w:pPr>
      <w:spacing w:line="360" w:lineRule="auto"/>
      <w:ind w:firstLine="200" w:firstLineChars="200"/>
    </w:pPr>
    <w:rPr>
      <w:rFonts w:ascii="Calibri" w:hAnsi="Calibri" w:cs="Calibri"/>
      <w:szCs w:val="20"/>
    </w:rPr>
  </w:style>
  <w:style w:type="paragraph" w:customStyle="1" w:styleId="2805">
    <w:name w:val="xl216"/>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2806">
    <w:name w:val="xl189"/>
    <w:basedOn w:val="1"/>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cs="Calibri"/>
      <w:kern w:val="0"/>
    </w:rPr>
  </w:style>
  <w:style w:type="paragraph" w:customStyle="1" w:styleId="2807">
    <w:name w:val="表格文本 五号 居中 单倍行距 Char"/>
    <w:basedOn w:val="1"/>
    <w:semiHidden/>
    <w:qFormat/>
    <w:uiPriority w:val="0"/>
    <w:pPr>
      <w:keepNext/>
      <w:adjustRightInd w:val="0"/>
      <w:snapToGrid w:val="0"/>
      <w:jc w:val="center"/>
      <w:textAlignment w:val="baseline"/>
    </w:pPr>
    <w:rPr>
      <w:rFonts w:ascii="Calibri" w:hAnsi="Calibri" w:cs="宋体"/>
    </w:rPr>
  </w:style>
  <w:style w:type="paragraph" w:customStyle="1" w:styleId="2808">
    <w:name w:val="Char Char Char Char1 Char Char Char Char Char Char Char Char Char1"/>
    <w:basedOn w:val="1"/>
    <w:semiHidden/>
    <w:qFormat/>
    <w:uiPriority w:val="0"/>
    <w:pPr>
      <w:ind w:firstLine="200" w:firstLineChars="200"/>
    </w:pPr>
    <w:rPr>
      <w:rFonts w:ascii="@黑体" w:hAnsi="@黑体" w:eastAsia="黑体" w:cs="Calibri"/>
      <w:sz w:val="28"/>
      <w:szCs w:val="28"/>
    </w:rPr>
  </w:style>
  <w:style w:type="paragraph" w:customStyle="1" w:styleId="2809">
    <w:name w:val="默认段落字体 Para Char Char Char Char Char Char Char Char Char Char Char Char Char Char Char"/>
    <w:basedOn w:val="28"/>
    <w:qFormat/>
    <w:uiPriority w:val="99"/>
    <w:pPr>
      <w:shd w:val="clear" w:color="auto" w:fill="000080"/>
    </w:pPr>
    <w:rPr>
      <w:rFonts w:ascii="Tahoma" w:hAnsi="Tahoma" w:cs="Calibri"/>
      <w:sz w:val="24"/>
      <w:szCs w:val="24"/>
    </w:rPr>
  </w:style>
  <w:style w:type="paragraph" w:customStyle="1" w:styleId="2810">
    <w:name w:val="正文21"/>
    <w:qFormat/>
    <w:uiPriority w:val="0"/>
    <w:pPr>
      <w:widowControl w:val="0"/>
      <w:tabs>
        <w:tab w:val="left" w:pos="567"/>
      </w:tabs>
      <w:adjustRightInd w:val="0"/>
      <w:spacing w:line="360" w:lineRule="atLeast"/>
      <w:jc w:val="both"/>
      <w:textAlignment w:val="baseline"/>
    </w:pPr>
    <w:rPr>
      <w:rFonts w:ascii="Calibri" w:hAnsi="Courier" w:eastAsia="PMingLiU" w:cs="Calibri"/>
      <w:sz w:val="24"/>
      <w:lang w:val="en-US" w:eastAsia="zh-TW" w:bidi="ar-SA"/>
    </w:rPr>
  </w:style>
  <w:style w:type="paragraph" w:customStyle="1" w:styleId="2811">
    <w:name w:val="Char Char Char Char Char Char Char Char Char Char3"/>
    <w:basedOn w:val="1"/>
    <w:qFormat/>
    <w:uiPriority w:val="99"/>
    <w:rPr>
      <w:rFonts w:ascii="黑体" w:hAnsi="黑体" w:eastAsia="黑体" w:cs="Calibri"/>
      <w:b/>
      <w:spacing w:val="10"/>
      <w:sz w:val="28"/>
      <w:szCs w:val="20"/>
    </w:rPr>
  </w:style>
  <w:style w:type="paragraph" w:customStyle="1" w:styleId="2812">
    <w:name w:val="1item"/>
    <w:basedOn w:val="1"/>
    <w:semiHidden/>
    <w:qFormat/>
    <w:uiPriority w:val="0"/>
    <w:pPr>
      <w:widowControl/>
      <w:spacing w:before="100" w:beforeAutospacing="1" w:after="100" w:afterAutospacing="1"/>
      <w:ind w:firstLine="440"/>
      <w:jc w:val="left"/>
    </w:pPr>
    <w:rPr>
      <w:rFonts w:ascii="Arial Unicode MS" w:hAnsi="Arial Unicode MS" w:cs="宋体"/>
      <w:kern w:val="0"/>
      <w:sz w:val="24"/>
    </w:rPr>
  </w:style>
  <w:style w:type="paragraph" w:customStyle="1" w:styleId="2813">
    <w:name w:val="节标"/>
    <w:basedOn w:val="1"/>
    <w:qFormat/>
    <w:uiPriority w:val="99"/>
    <w:pPr>
      <w:widowControl/>
      <w:autoSpaceDE w:val="0"/>
      <w:autoSpaceDN w:val="0"/>
      <w:adjustRightInd w:val="0"/>
      <w:spacing w:line="480" w:lineRule="exact"/>
      <w:ind w:firstLine="567"/>
      <w:jc w:val="center"/>
      <w:textAlignment w:val="bottom"/>
    </w:pPr>
    <w:rPr>
      <w:rFonts w:ascii="Calibri" w:hAnsi="Calibri" w:cs="Calibri"/>
      <w:b/>
      <w:kern w:val="0"/>
      <w:sz w:val="30"/>
      <w:szCs w:val="28"/>
    </w:rPr>
  </w:style>
  <w:style w:type="paragraph" w:customStyle="1" w:styleId="2814">
    <w:name w:val="样式 楷体_GB2312 居中"/>
    <w:basedOn w:val="1"/>
    <w:qFormat/>
    <w:uiPriority w:val="99"/>
    <w:pPr>
      <w:spacing w:line="360" w:lineRule="auto"/>
      <w:jc w:val="center"/>
    </w:pPr>
    <w:rPr>
      <w:rFonts w:ascii="楷体_GB2312" w:hAnsi="Calibri" w:eastAsia="楷体_GB2312" w:cs="Calibri"/>
      <w:szCs w:val="20"/>
      <w:lang w:bidi="ar-OM"/>
    </w:rPr>
  </w:style>
  <w:style w:type="paragraph" w:customStyle="1" w:styleId="2815">
    <w:name w:val="Char Char1 Char Char Char Char Char Char"/>
    <w:basedOn w:val="1"/>
    <w:qFormat/>
    <w:uiPriority w:val="0"/>
    <w:rPr>
      <w:rFonts w:ascii="Calibri" w:hAnsi="Calibri" w:cs="Calibri"/>
    </w:rPr>
  </w:style>
  <w:style w:type="paragraph" w:customStyle="1" w:styleId="2816">
    <w:name w:val="小4黑居中行1"/>
    <w:qFormat/>
    <w:uiPriority w:val="0"/>
    <w:pPr>
      <w:spacing w:line="360" w:lineRule="auto"/>
      <w:jc w:val="center"/>
    </w:pPr>
    <w:rPr>
      <w:rFonts w:ascii="Calibri" w:hAnsi="Calibri" w:eastAsia="宋体" w:cs="Calibri"/>
      <w:kern w:val="2"/>
      <w:sz w:val="21"/>
      <w:lang w:val="en-US" w:eastAsia="zh-CN" w:bidi="ar-SA"/>
    </w:rPr>
  </w:style>
  <w:style w:type="paragraph" w:customStyle="1" w:styleId="2817">
    <w:name w:val="样式 正文缩进正文缩进 Char正文缩进1 Char正文缩进1正文（首行缩进两字） Char正文缩进 Char Cha..."/>
    <w:basedOn w:val="23"/>
    <w:qFormat/>
    <w:uiPriority w:val="99"/>
    <w:pPr>
      <w:adjustRightInd/>
      <w:snapToGrid/>
      <w:spacing w:before="156" w:beforeLines="50" w:line="360" w:lineRule="auto"/>
      <w:ind w:firstLine="567" w:firstLineChars="0"/>
      <w:jc w:val="left"/>
    </w:pPr>
    <w:rPr>
      <w:rFonts w:ascii="Calibri" w:hAnsi="Calibri" w:eastAsia="宋体" w:cs="Calibri"/>
      <w:sz w:val="24"/>
      <w:lang w:val="en-US"/>
    </w:rPr>
  </w:style>
  <w:style w:type="paragraph" w:customStyle="1" w:styleId="2818">
    <w:name w:val="源程序"/>
    <w:qFormat/>
    <w:uiPriority w:val="99"/>
    <w:pPr>
      <w:widowControl w:val="0"/>
      <w:kinsoku w:val="0"/>
      <w:wordWrap w:val="0"/>
      <w:overflowPunct w:val="0"/>
      <w:autoSpaceDE w:val="0"/>
      <w:autoSpaceDN w:val="0"/>
      <w:adjustRightInd w:val="0"/>
      <w:ind w:left="482"/>
    </w:pPr>
    <w:rPr>
      <w:rFonts w:ascii="Courier New" w:hAnsi="Courier New" w:eastAsia="仿宋_GB2312" w:cs="Calibri"/>
      <w:snapToGrid w:val="0"/>
      <w:sz w:val="24"/>
      <w:lang w:val="en-US" w:eastAsia="zh-CN" w:bidi="ar-SA"/>
    </w:rPr>
  </w:style>
  <w:style w:type="paragraph" w:customStyle="1" w:styleId="2819">
    <w:name w:val="内部地址姓名"/>
    <w:basedOn w:val="1"/>
    <w:qFormat/>
    <w:uiPriority w:val="99"/>
    <w:pPr>
      <w:autoSpaceDE w:val="0"/>
      <w:autoSpaceDN w:val="0"/>
      <w:ind w:firstLine="200" w:firstLineChars="200"/>
    </w:pPr>
    <w:rPr>
      <w:rFonts w:ascii="宋体" w:hAnsi="Calibri" w:cs="宋体"/>
      <w:szCs w:val="21"/>
      <w:lang w:val="zh-CN"/>
    </w:rPr>
  </w:style>
  <w:style w:type="paragraph" w:customStyle="1" w:styleId="2820">
    <w:name w:val="xl339"/>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821">
    <w:name w:val="样式 标准文本 首行缩进:2 字符 行距1倍 + 首行缩进:  2 字符"/>
    <w:semiHidden/>
    <w:qFormat/>
    <w:uiPriority w:val="0"/>
    <w:rPr>
      <w:rFonts w:ascii="Times New Roman" w:hAnsi="Times New Roman" w:eastAsia="宋体" w:cs="Calibri"/>
      <w:lang w:val="en-US" w:eastAsia="zh-CN" w:bidi="ar-SA"/>
    </w:rPr>
  </w:style>
  <w:style w:type="paragraph" w:customStyle="1" w:styleId="2822">
    <w:name w:val="标准文本 首行缩进:2 字符 行距1倍"/>
    <w:basedOn w:val="1"/>
    <w:qFormat/>
    <w:uiPriority w:val="99"/>
    <w:pPr>
      <w:adjustRightInd w:val="0"/>
      <w:snapToGrid w:val="0"/>
      <w:spacing w:line="480" w:lineRule="exact"/>
      <w:ind w:firstLine="482" w:firstLineChars="200"/>
      <w:jc w:val="center"/>
      <w:textAlignment w:val="center"/>
    </w:pPr>
    <w:rPr>
      <w:rFonts w:ascii="宋体" w:hAnsi="宋体" w:cs="宋体"/>
      <w:b/>
      <w:sz w:val="24"/>
      <w:szCs w:val="20"/>
    </w:rPr>
  </w:style>
  <w:style w:type="paragraph" w:customStyle="1" w:styleId="2823">
    <w:name w:val="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2824">
    <w:name w:val="List Paragraph1"/>
    <w:basedOn w:val="1"/>
    <w:qFormat/>
    <w:uiPriority w:val="0"/>
    <w:pPr>
      <w:ind w:firstLine="420" w:firstLineChars="200"/>
    </w:pPr>
    <w:rPr>
      <w:rFonts w:ascii="Calibri" w:hAnsi="Calibri" w:cs="Calibri"/>
      <w:szCs w:val="22"/>
    </w:rPr>
  </w:style>
  <w:style w:type="paragraph" w:customStyle="1" w:styleId="2825">
    <w:name w:val="标题zl"/>
    <w:basedOn w:val="9"/>
    <w:qFormat/>
    <w:uiPriority w:val="99"/>
    <w:pPr>
      <w:keepNext/>
      <w:keepLines/>
      <w:widowControl w:val="0"/>
      <w:numPr>
        <w:ilvl w:val="0"/>
        <w:numId w:val="0"/>
      </w:numPr>
      <w:pBdr>
        <w:bottom w:val="none" w:color="auto" w:sz="0" w:space="0"/>
      </w:pBdr>
      <w:adjustRightInd/>
      <w:snapToGrid/>
      <w:spacing w:after="64" w:line="320" w:lineRule="auto"/>
      <w:jc w:val="both"/>
    </w:pPr>
    <w:rPr>
      <w:rFonts w:ascii="宋体" w:hAnsi="宋体" w:cs="Calibri"/>
      <w:b w:val="0"/>
      <w:kern w:val="2"/>
      <w:sz w:val="28"/>
      <w:szCs w:val="24"/>
      <w:lang w:val="en-US" w:eastAsia="zh-CN" w:bidi="ar-SA"/>
    </w:rPr>
  </w:style>
  <w:style w:type="paragraph" w:customStyle="1" w:styleId="2826">
    <w:name w:val="Char Char Char Char Char Char Char Char Char Char Char Char Char Char Char Char1"/>
    <w:basedOn w:val="1"/>
    <w:qFormat/>
    <w:uiPriority w:val="99"/>
    <w:rPr>
      <w:rFonts w:ascii="Calibri" w:hAnsi="Calibri" w:cs="Calibri"/>
    </w:rPr>
  </w:style>
  <w:style w:type="paragraph" w:customStyle="1" w:styleId="2827">
    <w:name w:val="样式10"/>
    <w:basedOn w:val="3"/>
    <w:qFormat/>
    <w:uiPriority w:val="0"/>
    <w:pPr>
      <w:keepLines/>
      <w:overflowPunct/>
      <w:adjustRightInd w:val="0"/>
      <w:snapToGrid/>
      <w:spacing w:before="240" w:beforeLines="100" w:after="240" w:afterLines="100" w:line="520" w:lineRule="exact"/>
      <w:ind w:left="0" w:firstLine="0"/>
    </w:pPr>
    <w:rPr>
      <w:rFonts w:eastAsia="宋体"/>
      <w:b w:val="0"/>
      <w:color w:val="FF0000"/>
    </w:rPr>
  </w:style>
  <w:style w:type="paragraph" w:customStyle="1" w:styleId="2828">
    <w:name w:val="样式 列表"/>
    <w:basedOn w:val="67"/>
    <w:qFormat/>
    <w:uiPriority w:val="99"/>
    <w:pPr>
      <w:spacing w:line="280" w:lineRule="exact"/>
      <w:ind w:firstLine="0" w:firstLineChars="0"/>
    </w:pPr>
    <w:rPr>
      <w:rFonts w:ascii="Times New Roman" w:hAnsi="Times New Roman" w:eastAsia="方正仿宋_GBK" w:cs="宋体"/>
      <w:sz w:val="21"/>
    </w:rPr>
  </w:style>
  <w:style w:type="paragraph" w:customStyle="1" w:styleId="2829">
    <w:name w:val="责任表文"/>
    <w:basedOn w:val="1"/>
    <w:semiHidden/>
    <w:qFormat/>
    <w:uiPriority w:val="0"/>
    <w:pPr>
      <w:adjustRightInd w:val="0"/>
      <w:spacing w:line="420" w:lineRule="auto"/>
      <w:jc w:val="left"/>
      <w:textAlignment w:val="baseline"/>
    </w:pPr>
    <w:rPr>
      <w:rFonts w:ascii="Tahoma" w:hAnsi="@黑体" w:eastAsia="Tahoma" w:cs="Calibri"/>
      <w:b/>
      <w:kern w:val="24"/>
      <w:sz w:val="36"/>
      <w:szCs w:val="20"/>
    </w:rPr>
  </w:style>
  <w:style w:type="paragraph" w:customStyle="1" w:styleId="2830">
    <w:name w:val="日期13"/>
    <w:basedOn w:val="1"/>
    <w:next w:val="1"/>
    <w:semiHidden/>
    <w:qFormat/>
    <w:uiPriority w:val="0"/>
    <w:pPr>
      <w:adjustRightInd w:val="0"/>
      <w:jc w:val="left"/>
      <w:textAlignment w:val="baseline"/>
    </w:pPr>
    <w:rPr>
      <w:rFonts w:ascii="宋体" w:hAnsi="Calibri" w:cs="Calibri"/>
      <w:spacing w:val="24"/>
      <w:kern w:val="24"/>
      <w:sz w:val="24"/>
      <w:szCs w:val="20"/>
    </w:rPr>
  </w:style>
  <w:style w:type="paragraph" w:customStyle="1" w:styleId="2831">
    <w:name w:val="Char Char Char Char Char Char Char Char Char1 Char Char Char"/>
    <w:basedOn w:val="1"/>
    <w:qFormat/>
    <w:uiPriority w:val="99"/>
    <w:rPr>
      <w:rFonts w:ascii="Calibri" w:hAnsi="Calibri" w:cs="Calibri"/>
      <w:sz w:val="24"/>
    </w:rPr>
  </w:style>
  <w:style w:type="paragraph" w:customStyle="1" w:styleId="2832">
    <w:name w:val="样式 仿宋_GB2312 四号 首行缩进:  1.01 厘米"/>
    <w:basedOn w:val="1"/>
    <w:semiHidden/>
    <w:qFormat/>
    <w:uiPriority w:val="0"/>
    <w:pPr>
      <w:ind w:firstLine="573"/>
    </w:pPr>
    <w:rPr>
      <w:rFonts w:ascii="Calibri" w:hAnsi="Calibri" w:eastAsia="仿宋_GB2312" w:cs="Calibri"/>
      <w:sz w:val="28"/>
      <w:szCs w:val="28"/>
    </w:rPr>
  </w:style>
  <w:style w:type="paragraph" w:customStyle="1" w:styleId="2833">
    <w:name w:val="Char Char Char1 Char Char Char Char Char Char Char Char Char Char Char Char Char Char Char Char1"/>
    <w:basedOn w:val="1"/>
    <w:qFormat/>
    <w:uiPriority w:val="99"/>
    <w:pPr>
      <w:spacing w:line="360" w:lineRule="auto"/>
      <w:ind w:firstLine="200" w:firstLineChars="200"/>
    </w:pPr>
    <w:rPr>
      <w:rFonts w:ascii="宋体" w:hAnsi="宋体" w:cs="宋体"/>
      <w:sz w:val="24"/>
      <w:szCs w:val="21"/>
    </w:rPr>
  </w:style>
  <w:style w:type="paragraph" w:customStyle="1" w:styleId="2834">
    <w:name w:val="Char Char Char Char Char Char Char Char Char Char Char Char 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2835">
    <w:name w:val="证书编号"/>
    <w:basedOn w:val="1"/>
    <w:semiHidden/>
    <w:qFormat/>
    <w:uiPriority w:val="0"/>
    <w:pPr>
      <w:jc w:val="center"/>
    </w:pPr>
    <w:rPr>
      <w:rFonts w:ascii="Calibri" w:hAnsi="Calibri" w:cs="宋体"/>
      <w:sz w:val="28"/>
      <w:szCs w:val="20"/>
    </w:rPr>
  </w:style>
  <w:style w:type="paragraph" w:customStyle="1" w:styleId="2836">
    <w:name w:val="Bullet"/>
    <w:basedOn w:val="1"/>
    <w:qFormat/>
    <w:uiPriority w:val="0"/>
    <w:pPr>
      <w:widowControl/>
      <w:numPr>
        <w:ilvl w:val="0"/>
        <w:numId w:val="15"/>
      </w:numPr>
      <w:tabs>
        <w:tab w:val="left" w:pos="2040"/>
      </w:tabs>
      <w:spacing w:after="60" w:line="300" w:lineRule="atLeast"/>
    </w:pPr>
    <w:rPr>
      <w:rFonts w:ascii="Calibri" w:hAnsi="Calibri" w:cs="Calibri"/>
      <w:kern w:val="0"/>
      <w:sz w:val="22"/>
    </w:rPr>
  </w:style>
  <w:style w:type="paragraph" w:customStyle="1" w:styleId="2837">
    <w:name w:val="Char3 Char Char Char Char Char Char1"/>
    <w:basedOn w:val="1"/>
    <w:qFormat/>
    <w:uiPriority w:val="99"/>
    <w:rPr>
      <w:rFonts w:ascii="Calibri" w:hAnsi="Calibri" w:cs="Calibri"/>
      <w:szCs w:val="21"/>
    </w:rPr>
  </w:style>
  <w:style w:type="paragraph" w:customStyle="1" w:styleId="2838">
    <w:name w:val="表内5S"/>
    <w:basedOn w:val="1"/>
    <w:semiHidden/>
    <w:qFormat/>
    <w:uiPriority w:val="0"/>
    <w:pPr>
      <w:spacing w:line="300" w:lineRule="atLeast"/>
      <w:jc w:val="center"/>
    </w:pPr>
    <w:rPr>
      <w:rFonts w:ascii="Calibri" w:hAnsi="Calibri" w:eastAsia="方正宋三简体" w:cs="Calibri"/>
      <w:szCs w:val="20"/>
    </w:rPr>
  </w:style>
  <w:style w:type="paragraph" w:customStyle="1" w:styleId="2839">
    <w:name w:val="图编号"/>
    <w:basedOn w:val="208"/>
    <w:qFormat/>
    <w:uiPriority w:val="99"/>
    <w:pPr>
      <w:tabs>
        <w:tab w:val="left" w:pos="763"/>
        <w:tab w:val="left" w:pos="1440"/>
      </w:tabs>
      <w:adjustRightInd/>
      <w:snapToGrid/>
      <w:spacing w:before="300" w:after="300"/>
      <w:ind w:left="400" w:leftChars="400" w:hanging="200" w:hangingChars="200"/>
      <w:jc w:val="left"/>
    </w:pPr>
    <w:rPr>
      <w:rFonts w:ascii="Times New Roman" w:hAnsi="Times New Roman" w:eastAsia="宋体" w:cs="Calibri"/>
      <w:b/>
      <w:kern w:val="0"/>
      <w:szCs w:val="20"/>
      <w:lang w:val="en-US" w:eastAsia="zh-CN" w:bidi="ar-SA"/>
    </w:rPr>
  </w:style>
  <w:style w:type="paragraph" w:customStyle="1" w:styleId="2840">
    <w:name w:val="表格新"/>
    <w:basedOn w:val="1"/>
    <w:semiHidden/>
    <w:qFormat/>
    <w:uiPriority w:val="0"/>
    <w:pPr>
      <w:tabs>
        <w:tab w:val="left" w:pos="360"/>
      </w:tabs>
      <w:adjustRightInd w:val="0"/>
      <w:snapToGrid w:val="0"/>
      <w:jc w:val="center"/>
      <w:outlineLvl w:val="2"/>
    </w:pPr>
    <w:rPr>
      <w:rFonts w:ascii="宋体" w:hAnsi="宋体" w:cs="Calibri"/>
      <w:kern w:val="0"/>
      <w:szCs w:val="21"/>
    </w:rPr>
  </w:style>
  <w:style w:type="paragraph" w:customStyle="1" w:styleId="2841">
    <w:name w:val="xl112"/>
    <w:basedOn w:val="1"/>
    <w:qFormat/>
    <w:uiPriority w:val="0"/>
    <w:pPr>
      <w:widowControl/>
      <w:pBdr>
        <w:right w:val="single" w:color="auto" w:sz="8" w:space="0"/>
      </w:pBdr>
      <w:spacing w:before="100" w:beforeAutospacing="1" w:after="100" w:afterAutospacing="1"/>
      <w:jc w:val="left"/>
    </w:pPr>
    <w:rPr>
      <w:rFonts w:ascii="Arial Unicode MS" w:hAnsi="Arial Unicode MS" w:cs="Calibri"/>
      <w:kern w:val="0"/>
      <w:sz w:val="16"/>
      <w:szCs w:val="16"/>
    </w:rPr>
  </w:style>
  <w:style w:type="paragraph" w:customStyle="1" w:styleId="2842">
    <w:name w:val="xl146"/>
    <w:basedOn w:val="1"/>
    <w:qFormat/>
    <w:uiPriority w:val="99"/>
    <w:pPr>
      <w:widowControl/>
      <w:spacing w:before="100" w:beforeAutospacing="1" w:after="100" w:afterAutospacing="1"/>
      <w:jc w:val="left"/>
    </w:pPr>
    <w:rPr>
      <w:rFonts w:ascii="Arial Unicode MS" w:hAnsi="Arial Unicode MS" w:cs="Calibri"/>
      <w:kern w:val="0"/>
      <w:sz w:val="16"/>
      <w:szCs w:val="16"/>
    </w:rPr>
  </w:style>
  <w:style w:type="paragraph" w:customStyle="1" w:styleId="2843">
    <w:name w:val="标题002"/>
    <w:basedOn w:val="1"/>
    <w:qFormat/>
    <w:uiPriority w:val="99"/>
    <w:pPr>
      <w:spacing w:before="160" w:line="480" w:lineRule="exact"/>
      <w:outlineLvl w:val="1"/>
    </w:pPr>
    <w:rPr>
      <w:rFonts w:ascii="Calibri" w:hAnsi="Calibri" w:cs="Calibri"/>
      <w:b/>
      <w:sz w:val="28"/>
      <w:szCs w:val="20"/>
    </w:rPr>
  </w:style>
  <w:style w:type="paragraph" w:customStyle="1" w:styleId="2844">
    <w:name w:val="T表头"/>
    <w:basedOn w:val="314"/>
    <w:next w:val="314"/>
    <w:qFormat/>
    <w:uiPriority w:val="99"/>
    <w:pPr>
      <w:tabs>
        <w:tab w:val="left" w:pos="315"/>
      </w:tabs>
      <w:spacing w:after="0" w:line="360" w:lineRule="auto"/>
      <w:ind w:left="1855" w:hanging="720"/>
    </w:pPr>
    <w:rPr>
      <w:rFonts w:ascii="黑体" w:hAnsi="Calibri" w:eastAsia="黑体" w:cs="Times New Roman"/>
      <w:color w:val="auto"/>
      <w:kern w:val="2"/>
    </w:rPr>
  </w:style>
  <w:style w:type="paragraph" w:customStyle="1" w:styleId="2845">
    <w:name w:val="Char Char Char Char Char Char Char Char Char Char Char Char Char"/>
    <w:basedOn w:val="1"/>
    <w:qFormat/>
    <w:uiPriority w:val="0"/>
    <w:rPr>
      <w:rFonts w:ascii="Calibri" w:hAnsi="Calibri" w:cs="Calibri"/>
      <w:sz w:val="24"/>
    </w:rPr>
  </w:style>
  <w:style w:type="paragraph" w:customStyle="1" w:styleId="2846">
    <w:name w:val="正文缩进41"/>
    <w:basedOn w:val="1"/>
    <w:semiHidden/>
    <w:qFormat/>
    <w:uiPriority w:val="0"/>
    <w:pPr>
      <w:spacing w:line="500" w:lineRule="exact"/>
      <w:ind w:firstLine="560" w:firstLineChars="200"/>
    </w:pPr>
    <w:rPr>
      <w:rFonts w:ascii="仿宋_GB2312" w:hAnsi="Calibri" w:eastAsia="仿宋_GB2312" w:cs="Calibri"/>
      <w:sz w:val="28"/>
    </w:rPr>
  </w:style>
  <w:style w:type="paragraph" w:customStyle="1" w:styleId="2847">
    <w:name w:val="段落-首行缩进:  0.74 厘米 行距: 1.5 倍行距"/>
    <w:basedOn w:val="1"/>
    <w:semiHidden/>
    <w:qFormat/>
    <w:uiPriority w:val="0"/>
    <w:pPr>
      <w:tabs>
        <w:tab w:val="left" w:pos="2801"/>
      </w:tabs>
      <w:snapToGrid w:val="0"/>
      <w:spacing w:line="300" w:lineRule="auto"/>
    </w:pPr>
    <w:rPr>
      <w:rFonts w:ascii="宋体" w:hAnsi="宋体" w:cs="Calibri"/>
      <w:spacing w:val="-2"/>
      <w:kern w:val="0"/>
      <w:sz w:val="28"/>
      <w:szCs w:val="28"/>
    </w:rPr>
  </w:style>
  <w:style w:type="paragraph" w:customStyle="1" w:styleId="2848">
    <w:name w:val="Char Char Char Char Char Char Char Char1 Char Char Char Char Char Char Char Char Char Char Char Char1 Char"/>
    <w:basedOn w:val="1"/>
    <w:qFormat/>
    <w:uiPriority w:val="99"/>
    <w:rPr>
      <w:rFonts w:ascii="Calibri" w:hAnsi="Calibri" w:cs="Calibri"/>
      <w:sz w:val="24"/>
    </w:rPr>
  </w:style>
  <w:style w:type="paragraph" w:customStyle="1" w:styleId="2849">
    <w:name w:val="正文文字缩进"/>
    <w:basedOn w:val="1"/>
    <w:qFormat/>
    <w:uiPriority w:val="99"/>
    <w:pPr>
      <w:autoSpaceDE w:val="0"/>
      <w:autoSpaceDN w:val="0"/>
      <w:adjustRightInd w:val="0"/>
      <w:snapToGrid w:val="0"/>
      <w:spacing w:line="360" w:lineRule="auto"/>
      <w:ind w:firstLine="540"/>
      <w:jc w:val="left"/>
      <w:textAlignment w:val="baseline"/>
    </w:pPr>
    <w:rPr>
      <w:rFonts w:ascii="宋体" w:hAnsi="Calibri" w:cs="宋体"/>
      <w:kern w:val="0"/>
      <w:sz w:val="24"/>
    </w:rPr>
  </w:style>
  <w:style w:type="paragraph" w:customStyle="1" w:styleId="2850">
    <w:name w:val="表格 Char Char Char Char Char Char Char Char"/>
    <w:basedOn w:val="1"/>
    <w:semiHidden/>
    <w:qFormat/>
    <w:uiPriority w:val="0"/>
    <w:pPr>
      <w:adjustRightInd w:val="0"/>
      <w:snapToGrid w:val="0"/>
      <w:jc w:val="center"/>
    </w:pPr>
    <w:rPr>
      <w:rFonts w:ascii="宋体" w:hAnsi="Calibri" w:cs="Calibri"/>
      <w:snapToGrid w:val="0"/>
      <w:spacing w:val="4"/>
      <w:w w:val="90"/>
      <w:kern w:val="0"/>
      <w:sz w:val="24"/>
    </w:rPr>
  </w:style>
  <w:style w:type="paragraph" w:customStyle="1" w:styleId="2851">
    <w:name w:val="Char Char Char Char Char Char Char Char1"/>
    <w:basedOn w:val="1"/>
    <w:semiHidden/>
    <w:qFormat/>
    <w:uiPriority w:val="0"/>
    <w:rPr>
      <w:rFonts w:ascii="Calibri" w:hAnsi="Calibri" w:cs="Calibri"/>
      <w:sz w:val="24"/>
    </w:rPr>
  </w:style>
  <w:style w:type="paragraph" w:customStyle="1" w:styleId="2852">
    <w:name w:val="Char Char215"/>
    <w:basedOn w:val="1"/>
    <w:semiHidden/>
    <w:qFormat/>
    <w:uiPriority w:val="0"/>
    <w:pPr>
      <w:spacing w:line="240" w:lineRule="exact"/>
      <w:ind w:firstLine="200" w:firstLineChars="200"/>
    </w:pPr>
    <w:rPr>
      <w:rFonts w:ascii="Calibri" w:hAnsi="Calibri" w:cs="Calibri"/>
      <w:sz w:val="28"/>
      <w:szCs w:val="28"/>
    </w:rPr>
  </w:style>
  <w:style w:type="paragraph" w:customStyle="1" w:styleId="2853">
    <w:name w:val="Char Char Char Char Char Char Char Char Char Char Char Char Char Char Char Char Char Char Char Char Char Char Char Char Char Char Char Char Char Char Char Char Char Char Char Char"/>
    <w:basedOn w:val="1"/>
    <w:qFormat/>
    <w:uiPriority w:val="99"/>
    <w:rPr>
      <w:rFonts w:ascii="Calibri" w:hAnsi="Calibri" w:cs="Calibri"/>
      <w:sz w:val="24"/>
    </w:rPr>
  </w:style>
  <w:style w:type="paragraph" w:customStyle="1" w:styleId="2854">
    <w:name w:val="文本123"/>
    <w:basedOn w:val="23"/>
    <w:qFormat/>
    <w:uiPriority w:val="0"/>
    <w:pPr>
      <w:tabs>
        <w:tab w:val="left" w:pos="958"/>
      </w:tabs>
      <w:adjustRightInd/>
      <w:snapToGrid/>
      <w:spacing w:line="460" w:lineRule="exact"/>
      <w:ind w:left="958" w:hanging="420" w:firstLineChars="0"/>
      <w:outlineLvl w:val="7"/>
    </w:pPr>
    <w:rPr>
      <w:rFonts w:ascii="Calibri" w:hAnsi="Calibri" w:eastAsia="宋体" w:cs="Calibri"/>
      <w:sz w:val="24"/>
      <w:lang w:val="en-US"/>
    </w:rPr>
  </w:style>
  <w:style w:type="paragraph" w:customStyle="1" w:styleId="2855">
    <w:name w:val="Char4 Char Char Char3"/>
    <w:basedOn w:val="1"/>
    <w:qFormat/>
    <w:uiPriority w:val="99"/>
    <w:rPr>
      <w:rFonts w:ascii="Calibri" w:hAnsi="Calibri" w:cs="Calibri"/>
      <w:kern w:val="0"/>
      <w:sz w:val="24"/>
    </w:rPr>
  </w:style>
  <w:style w:type="paragraph" w:customStyle="1" w:styleId="2856">
    <w:name w:val="目录3"/>
    <w:basedOn w:val="1"/>
    <w:next w:val="1"/>
    <w:qFormat/>
    <w:uiPriority w:val="0"/>
    <w:pPr>
      <w:widowControl/>
      <w:tabs>
        <w:tab w:val="left" w:leader="dot" w:pos="8503"/>
      </w:tabs>
      <w:spacing w:line="317" w:lineRule="atLeast"/>
      <w:ind w:left="419" w:firstLine="419"/>
      <w:textAlignment w:val="baseline"/>
    </w:pPr>
    <w:rPr>
      <w:rFonts w:ascii="Calibri" w:hAnsi="Calibri" w:cs="Calibri"/>
      <w:color w:val="000000"/>
      <w:kern w:val="0"/>
      <w:szCs w:val="20"/>
      <w:u w:color="000000"/>
    </w:rPr>
  </w:style>
  <w:style w:type="paragraph" w:customStyle="1" w:styleId="2857">
    <w:name w:val="君邦正文"/>
    <w:semiHidden/>
    <w:qFormat/>
    <w:uiPriority w:val="0"/>
    <w:pPr>
      <w:spacing w:after="60" w:line="360" w:lineRule="auto"/>
      <w:ind w:firstLine="480" w:firstLineChars="200"/>
      <w:jc w:val="both"/>
    </w:pPr>
    <w:rPr>
      <w:rFonts w:ascii="@黑体" w:hAnsi="@黑体" w:eastAsia="黑体" w:cs="Calibri"/>
      <w:sz w:val="24"/>
      <w:lang w:val="en-US" w:eastAsia="zh-CN" w:bidi="ar-SA"/>
    </w:rPr>
  </w:style>
  <w:style w:type="paragraph" w:customStyle="1" w:styleId="2858">
    <w:name w:val="Char Char Char Char Char Char Char Char Char Char Char1 Char Char Char Char1"/>
    <w:basedOn w:val="1"/>
    <w:qFormat/>
    <w:uiPriority w:val="99"/>
    <w:rPr>
      <w:rFonts w:ascii="Calibri" w:hAnsi="Calibri" w:cs="Calibri"/>
      <w:sz w:val="24"/>
    </w:rPr>
  </w:style>
  <w:style w:type="paragraph" w:customStyle="1" w:styleId="2859">
    <w:name w:val="Char1 Char Char Char Char Char Char Char Char Char Char Char Char1"/>
    <w:basedOn w:val="1"/>
    <w:next w:val="1"/>
    <w:semiHidden/>
    <w:qFormat/>
    <w:uiPriority w:val="0"/>
    <w:pPr>
      <w:keepNext/>
      <w:keepLines/>
      <w:widowControl/>
      <w:adjustRightInd w:val="0"/>
      <w:spacing w:before="40" w:after="40" w:line="360" w:lineRule="auto"/>
      <w:ind w:firstLine="200" w:firstLineChars="200"/>
      <w:textAlignment w:val="baseline"/>
    </w:pPr>
    <w:rPr>
      <w:rFonts w:ascii="Calibri" w:hAnsi="Calibri" w:cs="宋体"/>
      <w:kern w:val="0"/>
      <w:sz w:val="24"/>
      <w:szCs w:val="28"/>
    </w:rPr>
  </w:style>
  <w:style w:type="paragraph" w:customStyle="1" w:styleId="2860">
    <w:name w:val="xl340"/>
    <w:basedOn w:val="1"/>
    <w:qFormat/>
    <w:uiPriority w:val="0"/>
    <w:pPr>
      <w:widowControl/>
      <w:pBdr>
        <w:left w:val="single" w:color="auto" w:sz="12"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2861">
    <w:name w:val="Char Char Char Char Char Char Char Char1 Char Char Char Char Char Char Char Char Char Char1"/>
    <w:basedOn w:val="1"/>
    <w:qFormat/>
    <w:uiPriority w:val="99"/>
    <w:rPr>
      <w:rFonts w:ascii="Calibri" w:hAnsi="Calibri" w:cs="Calibri"/>
      <w:sz w:val="24"/>
    </w:rPr>
  </w:style>
  <w:style w:type="paragraph" w:customStyle="1" w:styleId="2862">
    <w:name w:val="style2"/>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863">
    <w:name w:val="样式 样式 首行缩进:  2 字符 + 首行缩进:  2 字符"/>
    <w:basedOn w:val="1"/>
    <w:qFormat/>
    <w:uiPriority w:val="99"/>
    <w:pPr>
      <w:spacing w:line="500" w:lineRule="exact"/>
      <w:ind w:firstLine="200" w:firstLineChars="200"/>
    </w:pPr>
    <w:rPr>
      <w:rFonts w:ascii="Calibri" w:hAnsi="Calibri" w:cs="宋体"/>
      <w:spacing w:val="30"/>
      <w:sz w:val="28"/>
      <w:szCs w:val="20"/>
    </w:rPr>
  </w:style>
  <w:style w:type="paragraph" w:customStyle="1" w:styleId="2864">
    <w:name w:val="样式 标题 1"/>
    <w:basedOn w:val="3"/>
    <w:semiHidden/>
    <w:qFormat/>
    <w:uiPriority w:val="0"/>
    <w:pPr>
      <w:keepLines/>
      <w:tabs>
        <w:tab w:val="left" w:pos="432"/>
      </w:tabs>
      <w:overflowPunct/>
      <w:adjustRightInd w:val="0"/>
      <w:snapToGrid/>
      <w:spacing w:after="120" w:line="480" w:lineRule="exact"/>
      <w:textAlignment w:val="baseline"/>
    </w:pPr>
    <w:rPr>
      <w:rFonts w:eastAsia="宋体" w:cs="宋体"/>
      <w:b w:val="0"/>
      <w:color w:val="auto"/>
      <w:sz w:val="28"/>
      <w:szCs w:val="20"/>
    </w:rPr>
  </w:style>
  <w:style w:type="paragraph" w:customStyle="1" w:styleId="2865">
    <w:name w:val="样式4.1.2.1"/>
    <w:basedOn w:val="1"/>
    <w:semiHidden/>
    <w:qFormat/>
    <w:uiPriority w:val="0"/>
    <w:pPr>
      <w:spacing w:before="50" w:beforeLines="50" w:line="360" w:lineRule="auto"/>
    </w:pPr>
    <w:rPr>
      <w:rFonts w:ascii="Calibri" w:hAnsi="Calibri" w:cs="Calibri"/>
      <w:sz w:val="24"/>
    </w:rPr>
  </w:style>
  <w:style w:type="paragraph" w:customStyle="1" w:styleId="2866">
    <w:name w:val="Char Char Char2 Char"/>
    <w:basedOn w:val="1"/>
    <w:qFormat/>
    <w:uiPriority w:val="99"/>
    <w:pPr>
      <w:tabs>
        <w:tab w:val="left" w:pos="360"/>
      </w:tabs>
    </w:pPr>
    <w:rPr>
      <w:rFonts w:ascii="Calibri" w:hAnsi="Calibri" w:cs="Calibri"/>
    </w:rPr>
  </w:style>
  <w:style w:type="paragraph" w:customStyle="1" w:styleId="2867">
    <w:name w:val="表格名称"/>
    <w:basedOn w:val="1"/>
    <w:qFormat/>
    <w:uiPriority w:val="99"/>
    <w:pPr>
      <w:keepLines/>
      <w:tabs>
        <w:tab w:val="left" w:pos="1123"/>
      </w:tabs>
      <w:spacing w:before="48" w:beforeLines="20" w:after="48" w:afterLines="20" w:line="440" w:lineRule="exact"/>
      <w:ind w:firstLine="403"/>
    </w:pPr>
    <w:rPr>
      <w:rFonts w:ascii="Calibri" w:hAnsi="Calibri" w:eastAsia="黑体" w:cs="Calibri"/>
      <w:sz w:val="24"/>
      <w:szCs w:val="20"/>
    </w:rPr>
  </w:style>
  <w:style w:type="paragraph" w:customStyle="1" w:styleId="2868">
    <w:name w:val="样式 样式3.4.1 + 段前: 0.5 行"/>
    <w:basedOn w:val="2426"/>
    <w:semiHidden/>
    <w:qFormat/>
    <w:uiPriority w:val="0"/>
    <w:pPr>
      <w:spacing w:before="156"/>
    </w:pPr>
    <w:rPr>
      <w:rFonts w:ascii="Times New Roman" w:hAnsi="Times New Roman" w:cs="宋体"/>
      <w:bCs/>
      <w:szCs w:val="20"/>
    </w:rPr>
  </w:style>
  <w:style w:type="paragraph" w:customStyle="1" w:styleId="2869">
    <w:name w:val="Char Char Char Char Char Char Char Char Char Char Char1 Char Char Char Char Char Char1"/>
    <w:basedOn w:val="1"/>
    <w:qFormat/>
    <w:uiPriority w:val="99"/>
    <w:rPr>
      <w:rFonts w:ascii="Calibri" w:hAnsi="Calibri" w:cs="Calibri"/>
      <w:sz w:val="24"/>
    </w:rPr>
  </w:style>
  <w:style w:type="paragraph" w:customStyle="1" w:styleId="2870">
    <w:name w:val="Char Char1 Char2"/>
    <w:basedOn w:val="1"/>
    <w:qFormat/>
    <w:uiPriority w:val="0"/>
    <w:pPr>
      <w:widowControl/>
      <w:spacing w:after="160" w:line="240" w:lineRule="exact"/>
      <w:jc w:val="left"/>
    </w:pPr>
    <w:rPr>
      <w:rFonts w:ascii="Calibri" w:hAnsi="Calibri" w:cs="Calibri"/>
      <w:szCs w:val="20"/>
    </w:rPr>
  </w:style>
  <w:style w:type="paragraph" w:customStyle="1" w:styleId="2871">
    <w:name w:val="表后"/>
    <w:basedOn w:val="1"/>
    <w:next w:val="1"/>
    <w:qFormat/>
    <w:uiPriority w:val="99"/>
    <w:pPr>
      <w:adjustRightInd w:val="0"/>
      <w:spacing w:before="120" w:line="360" w:lineRule="auto"/>
      <w:ind w:firstLine="493"/>
      <w:textAlignment w:val="baseline"/>
    </w:pPr>
    <w:rPr>
      <w:rFonts w:ascii="宋体" w:hAnsi="宋体" w:cs="Calibri"/>
      <w:spacing w:val="-2"/>
      <w:kern w:val="0"/>
      <w:sz w:val="24"/>
    </w:rPr>
  </w:style>
  <w:style w:type="paragraph" w:customStyle="1" w:styleId="2872">
    <w:name w:val="11 Char Char Char Char Char Char Char Char Char Char"/>
    <w:basedOn w:val="1"/>
    <w:qFormat/>
    <w:uiPriority w:val="0"/>
    <w:pPr>
      <w:snapToGrid w:val="0"/>
      <w:spacing w:line="360" w:lineRule="auto"/>
      <w:ind w:firstLine="200" w:firstLineChars="200"/>
    </w:pPr>
    <w:rPr>
      <w:rFonts w:ascii="Calibri" w:hAnsi="Calibri" w:eastAsia="仿宋_GB2312" w:cs="Calibri"/>
      <w:sz w:val="24"/>
    </w:rPr>
  </w:style>
  <w:style w:type="paragraph" w:customStyle="1" w:styleId="2873">
    <w:name w:val="Char Char Char Char Char Char 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2874">
    <w:name w:val="节标题单学凯"/>
    <w:basedOn w:val="4"/>
    <w:semiHidden/>
    <w:qFormat/>
    <w:uiPriority w:val="0"/>
    <w:pPr>
      <w:numPr>
        <w:ilvl w:val="0"/>
        <w:numId w:val="0"/>
      </w:numPr>
      <w:adjustRightInd w:val="0"/>
      <w:snapToGrid w:val="0"/>
    </w:pPr>
    <w:rPr>
      <w:rFonts w:ascii="黑体" w:eastAsia="宋体"/>
      <w:b w:val="0"/>
      <w:kern w:val="0"/>
      <w:sz w:val="24"/>
      <w:szCs w:val="28"/>
      <w:lang w:val="en-US"/>
    </w:rPr>
  </w:style>
  <w:style w:type="paragraph" w:customStyle="1" w:styleId="2875">
    <w:name w:val="xl239"/>
    <w:basedOn w:val="1"/>
    <w:semiHidden/>
    <w:qFormat/>
    <w:uiPriority w:val="0"/>
    <w:pPr>
      <w:widowControl/>
      <w:pBdr>
        <w:top w:val="single" w:color="auto" w:sz="12" w:space="0"/>
        <w:left w:val="single" w:color="auto" w:sz="12" w:space="0"/>
        <w:bottom w:val="single" w:color="auto" w:sz="12" w:space="0"/>
      </w:pBdr>
      <w:spacing w:before="100" w:beforeAutospacing="1" w:after="100" w:afterAutospacing="1"/>
      <w:jc w:val="center"/>
    </w:pPr>
    <w:rPr>
      <w:rFonts w:ascii="Calibri" w:hAnsi="Calibri" w:cs="Calibri"/>
      <w:color w:val="FFFF00"/>
      <w:kern w:val="0"/>
      <w:sz w:val="18"/>
      <w:szCs w:val="18"/>
    </w:rPr>
  </w:style>
  <w:style w:type="paragraph" w:customStyle="1" w:styleId="2876">
    <w:name w:val="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2877">
    <w:name w:val="xl308"/>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2878">
    <w:name w:val="xl151"/>
    <w:basedOn w:val="1"/>
    <w:qFormat/>
    <w:uiPriority w:val="99"/>
    <w:pPr>
      <w:widowControl/>
      <w:spacing w:before="100" w:beforeAutospacing="1" w:after="100" w:afterAutospacing="1"/>
      <w:jc w:val="left"/>
    </w:pPr>
    <w:rPr>
      <w:rFonts w:ascii="Calibri" w:hAnsi="Calibri" w:cs="Calibri"/>
      <w:kern w:val="0"/>
      <w:sz w:val="16"/>
      <w:szCs w:val="16"/>
    </w:rPr>
  </w:style>
  <w:style w:type="paragraph" w:customStyle="1" w:styleId="2879">
    <w:name w:val="cardlist-name"/>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2880">
    <w:name w:val="Char4 Char Char Char Char Char Char3"/>
    <w:basedOn w:val="1"/>
    <w:qFormat/>
    <w:uiPriority w:val="99"/>
    <w:rPr>
      <w:rFonts w:ascii="Calibri" w:hAnsi="Calibri" w:cs="Calibri"/>
      <w:sz w:val="24"/>
    </w:rPr>
  </w:style>
  <w:style w:type="paragraph" w:customStyle="1" w:styleId="2881">
    <w:name w:val="Char Char1 Char Char Char Char Char Char Char Char Char Char Char Char Char Char Char Char Char Char"/>
    <w:basedOn w:val="1"/>
    <w:qFormat/>
    <w:uiPriority w:val="99"/>
    <w:pPr>
      <w:spacing w:line="360" w:lineRule="auto"/>
      <w:ind w:firstLine="200" w:firstLineChars="200"/>
    </w:pPr>
    <w:rPr>
      <w:rFonts w:ascii="@黑体" w:hAnsi="@黑体" w:eastAsia="黑体" w:cs="@黑体"/>
      <w:sz w:val="24"/>
    </w:rPr>
  </w:style>
  <w:style w:type="paragraph" w:customStyle="1" w:styleId="2882">
    <w:name w:val="Char Char1 Char Char Char Char Char Char Char Char Char Char Char Char Char Char Char Char Char Char Char Char1 Char1"/>
    <w:basedOn w:val="1"/>
    <w:qFormat/>
    <w:uiPriority w:val="0"/>
    <w:pPr>
      <w:spacing w:line="360" w:lineRule="auto"/>
      <w:ind w:firstLine="200" w:firstLineChars="200"/>
    </w:pPr>
    <w:rPr>
      <w:rFonts w:ascii="Calibri" w:hAnsi="Calibri" w:cs="Calibri"/>
      <w:sz w:val="24"/>
    </w:rPr>
  </w:style>
  <w:style w:type="paragraph" w:customStyle="1" w:styleId="2883">
    <w:name w:val="c"/>
    <w:qFormat/>
    <w:uiPriority w:val="0"/>
    <w:pPr>
      <w:widowControl w:val="0"/>
      <w:autoSpaceDE w:val="0"/>
      <w:autoSpaceDN w:val="0"/>
      <w:adjustRightInd w:val="0"/>
      <w:jc w:val="both"/>
    </w:pPr>
    <w:rPr>
      <w:rFonts w:ascii="Arial" w:hAnsi="Arial" w:eastAsia="宋体" w:cs="Calibri"/>
      <w:sz w:val="24"/>
      <w:lang w:val="en-US" w:eastAsia="zh-CN" w:bidi="ar-SA"/>
    </w:rPr>
  </w:style>
  <w:style w:type="paragraph" w:customStyle="1" w:styleId="2884">
    <w:name w:val="默认段落字体 Para Char Char Char Char Char Char Char Char Char Char Char Char Char Char Char Char Char Char Char Char Char Char Char Char Char Char Char Char1 Char Char Char Char Char"/>
    <w:basedOn w:val="1"/>
    <w:qFormat/>
    <w:uiPriority w:val="99"/>
    <w:rPr>
      <w:rFonts w:ascii="Calibri" w:hAnsi="Calibri" w:cs="Calibri"/>
      <w:sz w:val="24"/>
    </w:rPr>
  </w:style>
  <w:style w:type="paragraph" w:customStyle="1" w:styleId="2885">
    <w:name w:val="我的样式（正文） Char"/>
    <w:basedOn w:val="1"/>
    <w:qFormat/>
    <w:uiPriority w:val="0"/>
    <w:pPr>
      <w:spacing w:line="440" w:lineRule="exact"/>
    </w:pPr>
    <w:rPr>
      <w:rFonts w:ascii="宋体" w:hAnsi="华文楷体" w:cs="Calibri"/>
      <w:sz w:val="28"/>
    </w:rPr>
  </w:style>
  <w:style w:type="paragraph" w:customStyle="1" w:styleId="2886">
    <w:name w:val="Char Char Char1 Char Char Char Char Char Char Char Char Char"/>
    <w:basedOn w:val="1"/>
    <w:qFormat/>
    <w:uiPriority w:val="0"/>
    <w:rPr>
      <w:rFonts w:ascii="Calibri" w:hAnsi="Calibri" w:cs="Calibri"/>
      <w:szCs w:val="21"/>
    </w:rPr>
  </w:style>
  <w:style w:type="paragraph" w:customStyle="1" w:styleId="2887">
    <w:name w:val="样式 黑体 小四 加粗 黑色 居中 行距: 固定值 26 磅"/>
    <w:basedOn w:val="1"/>
    <w:next w:val="47"/>
    <w:semiHidden/>
    <w:qFormat/>
    <w:uiPriority w:val="0"/>
    <w:pPr>
      <w:spacing w:line="520" w:lineRule="exact"/>
      <w:jc w:val="center"/>
    </w:pPr>
    <w:rPr>
      <w:rFonts w:ascii="楷体_GB2312" w:hAnsi="黑体" w:eastAsia="楷体_GB2312" w:cs="宋体"/>
      <w:bCs/>
      <w:color w:val="000000"/>
      <w:sz w:val="28"/>
      <w:szCs w:val="28"/>
    </w:rPr>
  </w:style>
  <w:style w:type="paragraph" w:customStyle="1" w:styleId="2888">
    <w:name w:val="11ft"/>
    <w:basedOn w:val="1"/>
    <w:qFormat/>
    <w:uiPriority w:val="99"/>
    <w:pPr>
      <w:widowControl/>
      <w:spacing w:before="100" w:beforeAutospacing="1" w:after="100" w:afterAutospacing="1"/>
      <w:jc w:val="left"/>
    </w:pPr>
    <w:rPr>
      <w:rFonts w:ascii="Arial Unicode MS" w:hAnsi="Arial Unicode MS" w:eastAsia="Arial Unicode MS" w:cs="Arial Unicode MS"/>
      <w:color w:val="005680"/>
      <w:kern w:val="0"/>
      <w:sz w:val="22"/>
      <w:szCs w:val="22"/>
    </w:rPr>
  </w:style>
  <w:style w:type="paragraph" w:customStyle="1" w:styleId="2889">
    <w:name w:val="正文 1"/>
    <w:basedOn w:val="1"/>
    <w:semiHidden/>
    <w:qFormat/>
    <w:uiPriority w:val="0"/>
    <w:pPr>
      <w:adjustRightInd w:val="0"/>
      <w:spacing w:before="60" w:after="60" w:line="312" w:lineRule="auto"/>
      <w:ind w:firstLine="601"/>
      <w:jc w:val="left"/>
      <w:textAlignment w:val="baseline"/>
    </w:pPr>
    <w:rPr>
      <w:rFonts w:ascii="Calibri" w:hAnsi="Calibri" w:cs="Calibri"/>
      <w:kern w:val="0"/>
      <w:sz w:val="28"/>
      <w:szCs w:val="20"/>
    </w:rPr>
  </w:style>
  <w:style w:type="paragraph" w:customStyle="1" w:styleId="2890">
    <w:name w:val="xl335"/>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2891">
    <w:name w:val="s16qcsl240slmult0nowidct"/>
    <w:semiHidden/>
    <w:qFormat/>
    <w:uiPriority w:val="0"/>
    <w:pPr>
      <w:widowControl w:val="0"/>
      <w:adjustRightInd w:val="0"/>
      <w:textAlignment w:val="baseline"/>
    </w:pPr>
    <w:rPr>
      <w:rFonts w:ascii="Calibri" w:hAnsi="Calibri" w:eastAsia="宋体" w:cs="Calibri"/>
      <w:sz w:val="21"/>
      <w:lang w:val="en-US" w:eastAsia="zh-CN" w:bidi="ar-SA"/>
    </w:rPr>
  </w:style>
  <w:style w:type="paragraph" w:customStyle="1" w:styleId="2892">
    <w:name w:val="样式 (符号) 宋体 首行缩进:  0.85 厘米 行距: 固定值 25 磅"/>
    <w:basedOn w:val="1"/>
    <w:semiHidden/>
    <w:qFormat/>
    <w:uiPriority w:val="0"/>
    <w:pPr>
      <w:spacing w:line="500" w:lineRule="exact"/>
      <w:ind w:firstLine="480"/>
    </w:pPr>
    <w:rPr>
      <w:rFonts w:ascii="Calibri" w:hAnsi="宋体" w:cs="宋体"/>
      <w:sz w:val="24"/>
      <w:szCs w:val="20"/>
    </w:rPr>
  </w:style>
  <w:style w:type="paragraph" w:customStyle="1" w:styleId="2893">
    <w:name w:val="b"/>
    <w:basedOn w:val="1"/>
    <w:qFormat/>
    <w:uiPriority w:val="99"/>
    <w:pPr>
      <w:widowControl/>
      <w:spacing w:before="100" w:beforeAutospacing="1" w:after="100" w:afterAutospacing="1"/>
      <w:jc w:val="left"/>
    </w:pPr>
    <w:rPr>
      <w:rFonts w:ascii="宋体" w:hAnsi="宋体" w:cs="Calibri"/>
      <w:b/>
      <w:bCs/>
      <w:kern w:val="0"/>
      <w:sz w:val="27"/>
      <w:szCs w:val="27"/>
    </w:rPr>
  </w:style>
  <w:style w:type="paragraph" w:customStyle="1" w:styleId="2894">
    <w:name w:val="xl235"/>
    <w:basedOn w:val="1"/>
    <w:semiHidden/>
    <w:qFormat/>
    <w:uiPriority w:val="0"/>
    <w:pPr>
      <w:widowControl/>
      <w:pBdr>
        <w:bottom w:val="single" w:color="auto" w:sz="8" w:space="0"/>
        <w:right w:val="single" w:color="auto" w:sz="12" w:space="0"/>
      </w:pBdr>
      <w:spacing w:before="100" w:beforeAutospacing="1" w:after="100" w:afterAutospacing="1"/>
      <w:jc w:val="center"/>
    </w:pPr>
    <w:rPr>
      <w:rFonts w:ascii="Calibri" w:hAnsi="Calibri" w:cs="Calibri"/>
      <w:color w:val="FFFF00"/>
      <w:kern w:val="0"/>
      <w:sz w:val="18"/>
      <w:szCs w:val="18"/>
    </w:rPr>
  </w:style>
  <w:style w:type="paragraph" w:customStyle="1" w:styleId="2895">
    <w:name w:val="xl274"/>
    <w:basedOn w:val="1"/>
    <w:semiHidden/>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2896">
    <w:name w:val="样式 标题 3H3标题 3 Char Char标题 3 Char条标题1.1.1标题 3zym + 仿宋_GB2312"/>
    <w:basedOn w:val="5"/>
    <w:qFormat/>
    <w:uiPriority w:val="99"/>
    <w:pPr>
      <w:keepLines w:val="0"/>
      <w:numPr>
        <w:ilvl w:val="0"/>
        <w:numId w:val="0"/>
      </w:numPr>
      <w:tabs>
        <w:tab w:val="left" w:pos="2520"/>
      </w:tabs>
      <w:adjustRightInd w:val="0"/>
      <w:snapToGrid w:val="0"/>
      <w:spacing w:before="120" w:beforeLines="50" w:after="120" w:afterLines="50" w:line="360" w:lineRule="auto"/>
      <w:ind w:left="720" w:hanging="720"/>
    </w:pPr>
    <w:rPr>
      <w:rFonts w:ascii="仿宋_GB2312" w:hAnsi="仿宋_GB2312" w:eastAsia="仿宋_GB2312" w:cs="Calibri"/>
      <w:b w:val="0"/>
      <w:bCs w:val="0"/>
      <w:sz w:val="24"/>
      <w:szCs w:val="28"/>
      <w:lang w:val="en-US"/>
    </w:rPr>
  </w:style>
  <w:style w:type="paragraph" w:customStyle="1" w:styleId="2897">
    <w:name w:val="正文文本缩进3"/>
    <w:basedOn w:val="1"/>
    <w:qFormat/>
    <w:uiPriority w:val="99"/>
    <w:pPr>
      <w:spacing w:after="120" w:line="360" w:lineRule="auto"/>
      <w:ind w:left="200" w:leftChars="200" w:firstLine="200" w:firstLineChars="200"/>
    </w:pPr>
    <w:rPr>
      <w:rFonts w:ascii="Calibri" w:hAnsi="Calibri" w:cs="Calibri"/>
      <w:sz w:val="24"/>
    </w:rPr>
  </w:style>
  <w:style w:type="paragraph" w:customStyle="1" w:styleId="2898">
    <w:name w:val="示例"/>
    <w:next w:val="6"/>
    <w:semiHidden/>
    <w:qFormat/>
    <w:uiPriority w:val="0"/>
    <w:pPr>
      <w:tabs>
        <w:tab w:val="left" w:pos="816"/>
      </w:tabs>
      <w:ind w:firstLine="419" w:firstLineChars="233"/>
      <w:jc w:val="both"/>
    </w:pPr>
    <w:rPr>
      <w:rFonts w:ascii="宋体" w:hAnsi="Calibri" w:eastAsia="宋体" w:cs="Calibri"/>
      <w:sz w:val="18"/>
      <w:lang w:val="en-US" w:eastAsia="zh-CN" w:bidi="ar-SA"/>
    </w:rPr>
  </w:style>
  <w:style w:type="paragraph" w:customStyle="1" w:styleId="2899">
    <w:name w:val="样式 标题 1标题 1宋旭峰标题1章节H1h11headingHeader 1st Pageh1 chapte..."/>
    <w:basedOn w:val="3"/>
    <w:qFormat/>
    <w:uiPriority w:val="99"/>
    <w:pPr>
      <w:keepLines/>
      <w:overflowPunct/>
      <w:adjustRightInd w:val="0"/>
      <w:spacing w:before="0" w:after="156" w:line="360" w:lineRule="auto"/>
      <w:ind w:left="0" w:firstLine="0"/>
    </w:pPr>
    <w:rPr>
      <w:rFonts w:eastAsia="宋体"/>
      <w:b w:val="0"/>
      <w:color w:val="auto"/>
      <w:kern w:val="2"/>
      <w:sz w:val="28"/>
    </w:rPr>
  </w:style>
  <w:style w:type="paragraph" w:customStyle="1" w:styleId="2900">
    <w:name w:val="报告名"/>
    <w:basedOn w:val="1"/>
    <w:qFormat/>
    <w:uiPriority w:val="99"/>
    <w:pPr>
      <w:tabs>
        <w:tab w:val="left" w:pos="1727"/>
        <w:tab w:val="left" w:pos="1884"/>
      </w:tabs>
      <w:adjustRightInd w:val="0"/>
      <w:snapToGrid w:val="0"/>
      <w:spacing w:line="360" w:lineRule="auto"/>
      <w:ind w:left="26"/>
      <w:jc w:val="center"/>
      <w:outlineLvl w:val="0"/>
    </w:pPr>
    <w:rPr>
      <w:rFonts w:ascii="文鼎大标宋简" w:hAnsi="宋体" w:eastAsia="文鼎大标宋简" w:cs="Calibri"/>
      <w:sz w:val="56"/>
      <w:szCs w:val="20"/>
    </w:rPr>
  </w:style>
  <w:style w:type="paragraph" w:customStyle="1" w:styleId="2901">
    <w:name w:val="Char Char Char Char Char Char Char Char1 Char Char Char Char Char Char Char Char Char Char Char Char1 Char3"/>
    <w:basedOn w:val="1"/>
    <w:semiHidden/>
    <w:qFormat/>
    <w:uiPriority w:val="0"/>
    <w:pPr>
      <w:widowControl/>
      <w:jc w:val="left"/>
    </w:pPr>
    <w:rPr>
      <w:rFonts w:ascii="Calibri" w:hAnsi="Calibri" w:cs="Calibri"/>
      <w:kern w:val="0"/>
      <w:sz w:val="24"/>
      <w:szCs w:val="22"/>
    </w:rPr>
  </w:style>
  <w:style w:type="paragraph" w:customStyle="1" w:styleId="2902">
    <w:name w:val="Char Char Char Char Char Char Char Char Char Char Char1 Char Char Char Char3"/>
    <w:basedOn w:val="1"/>
    <w:semiHidden/>
    <w:qFormat/>
    <w:uiPriority w:val="0"/>
    <w:rPr>
      <w:rFonts w:ascii="Calibri" w:hAnsi="Calibri" w:cs="Calibri"/>
      <w:sz w:val="24"/>
    </w:rPr>
  </w:style>
  <w:style w:type="paragraph" w:customStyle="1" w:styleId="2903">
    <w:name w:val="xl288"/>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b/>
      <w:bCs/>
      <w:color w:val="993300"/>
      <w:kern w:val="0"/>
      <w:sz w:val="18"/>
      <w:szCs w:val="18"/>
    </w:rPr>
  </w:style>
  <w:style w:type="paragraph" w:customStyle="1" w:styleId="2904">
    <w:name w:val="Address 1"/>
    <w:basedOn w:val="1"/>
    <w:semiHidden/>
    <w:qFormat/>
    <w:uiPriority w:val="0"/>
    <w:pPr>
      <w:widowControl/>
      <w:spacing w:line="200" w:lineRule="atLeast"/>
      <w:jc w:val="left"/>
    </w:pPr>
    <w:rPr>
      <w:rFonts w:ascii="@黑体" w:hAnsi="@黑体" w:eastAsia="黑体" w:cs="Calibri"/>
      <w:kern w:val="0"/>
      <w:sz w:val="16"/>
      <w:szCs w:val="20"/>
    </w:rPr>
  </w:style>
  <w:style w:type="paragraph" w:customStyle="1" w:styleId="2905">
    <w:name w:val="样式 标题 4标题 4 CharbulletblbbPIM 4H4h4Heading Four款标题1.1.1..."/>
    <w:basedOn w:val="6"/>
    <w:semiHidden/>
    <w:qFormat/>
    <w:uiPriority w:val="0"/>
    <w:pPr>
      <w:numPr>
        <w:ilvl w:val="0"/>
        <w:numId w:val="0"/>
      </w:numPr>
      <w:adjustRightInd w:val="0"/>
      <w:spacing w:before="0" w:after="0" w:line="480" w:lineRule="exact"/>
    </w:pPr>
    <w:rPr>
      <w:rFonts w:ascii="宋体" w:hAnsi="宋体" w:eastAsia="宋体" w:cs="Calibri"/>
      <w:b w:val="0"/>
      <w:sz w:val="24"/>
      <w:szCs w:val="28"/>
      <w:lang w:val="en-US"/>
    </w:rPr>
  </w:style>
  <w:style w:type="paragraph" w:customStyle="1" w:styleId="2906">
    <w:name w:val="font24"/>
    <w:basedOn w:val="1"/>
    <w:semiHidden/>
    <w:qFormat/>
    <w:uiPriority w:val="0"/>
    <w:pPr>
      <w:widowControl/>
      <w:spacing w:before="100" w:beforeAutospacing="1" w:after="100" w:afterAutospacing="1"/>
      <w:jc w:val="left"/>
    </w:pPr>
    <w:rPr>
      <w:rFonts w:ascii="Calibri" w:hAnsi="Calibri" w:cs="Calibri"/>
      <w:color w:val="339966"/>
      <w:kern w:val="0"/>
      <w:sz w:val="18"/>
      <w:szCs w:val="18"/>
    </w:rPr>
  </w:style>
  <w:style w:type="paragraph" w:customStyle="1" w:styleId="2907">
    <w:name w:val="book1_1"/>
    <w:basedOn w:val="4"/>
    <w:qFormat/>
    <w:uiPriority w:val="0"/>
    <w:pPr>
      <w:keepNext w:val="0"/>
      <w:numPr>
        <w:ilvl w:val="0"/>
        <w:numId w:val="0"/>
      </w:numPr>
      <w:tabs>
        <w:tab w:val="left" w:pos="622"/>
        <w:tab w:val="left" w:pos="720"/>
      </w:tabs>
      <w:adjustRightInd w:val="0"/>
      <w:spacing w:before="156" w:beforeLines="50" w:after="156" w:afterLines="50" w:line="480" w:lineRule="exact"/>
    </w:pPr>
    <w:rPr>
      <w:rFonts w:eastAsia="宋体"/>
      <w:sz w:val="24"/>
      <w:szCs w:val="24"/>
      <w:shd w:val="pct10" w:color="auto" w:fill="FFFFFF"/>
      <w:lang w:val="en-US"/>
    </w:rPr>
  </w:style>
  <w:style w:type="paragraph" w:customStyle="1" w:styleId="2908">
    <w:name w:val="Char Char Char Char Char Char Char Char Char Char Char Char Char Char Char1"/>
    <w:basedOn w:val="1"/>
    <w:qFormat/>
    <w:uiPriority w:val="99"/>
    <w:rPr>
      <w:rFonts w:ascii="Calibri" w:hAnsi="Calibri" w:cs="Calibri"/>
      <w:sz w:val="24"/>
    </w:rPr>
  </w:style>
  <w:style w:type="paragraph" w:customStyle="1" w:styleId="2909">
    <w:name w:val="样式 标题 3 + 黑色"/>
    <w:basedOn w:val="5"/>
    <w:semiHidden/>
    <w:qFormat/>
    <w:uiPriority w:val="0"/>
    <w:pPr>
      <w:numPr>
        <w:ilvl w:val="0"/>
        <w:numId w:val="0"/>
      </w:numPr>
      <w:tabs>
        <w:tab w:val="left" w:pos="720"/>
      </w:tabs>
      <w:adjustRightInd w:val="0"/>
      <w:spacing w:before="0" w:after="0" w:line="360" w:lineRule="auto"/>
      <w:ind w:left="567" w:hanging="567"/>
      <w:textAlignment w:val="baseline"/>
    </w:pPr>
    <w:rPr>
      <w:rFonts w:cs="Calibri"/>
      <w:b w:val="0"/>
      <w:color w:val="000000"/>
      <w:kern w:val="0"/>
      <w:sz w:val="24"/>
      <w:szCs w:val="28"/>
      <w:lang w:val="en-US"/>
    </w:rPr>
  </w:style>
  <w:style w:type="paragraph" w:customStyle="1" w:styleId="2910">
    <w:name w:val="Char Char Char1 Char Char Char Char Char Char Char Char Char3"/>
    <w:basedOn w:val="1"/>
    <w:semiHidden/>
    <w:qFormat/>
    <w:uiPriority w:val="0"/>
    <w:rPr>
      <w:rFonts w:ascii="Calibri" w:hAnsi="Calibri" w:cs="Calibri"/>
      <w:szCs w:val="21"/>
    </w:rPr>
  </w:style>
  <w:style w:type="paragraph" w:customStyle="1" w:styleId="2911">
    <w:name w:val="表格文本 小五 居中"/>
    <w:basedOn w:val="1"/>
    <w:qFormat/>
    <w:uiPriority w:val="99"/>
    <w:pPr>
      <w:adjustRightInd w:val="0"/>
      <w:snapToGrid w:val="0"/>
      <w:spacing w:line="360" w:lineRule="exact"/>
      <w:jc w:val="center"/>
    </w:pPr>
    <w:rPr>
      <w:rFonts w:ascii="Calibri" w:hAnsi="Calibri" w:cs="宋体"/>
      <w:spacing w:val="-16"/>
      <w:szCs w:val="21"/>
    </w:rPr>
  </w:style>
  <w:style w:type="paragraph" w:customStyle="1" w:styleId="2912">
    <w:name w:val="正文样式1"/>
    <w:basedOn w:val="1"/>
    <w:qFormat/>
    <w:uiPriority w:val="0"/>
    <w:pPr>
      <w:adjustRightInd w:val="0"/>
      <w:spacing w:line="400" w:lineRule="atLeast"/>
      <w:ind w:firstLine="454"/>
      <w:textAlignment w:val="baseline"/>
    </w:pPr>
    <w:rPr>
      <w:rFonts w:ascii="Calibri" w:hAnsi="Calibri" w:cs="Calibri"/>
      <w:b/>
      <w:kern w:val="24"/>
      <w:sz w:val="24"/>
      <w:szCs w:val="20"/>
    </w:rPr>
  </w:style>
  <w:style w:type="paragraph" w:customStyle="1" w:styleId="2913">
    <w:name w:val="Char Char Char2 Char Char Char Char Char Char Char Char Char Char"/>
    <w:basedOn w:val="1"/>
    <w:semiHidden/>
    <w:qFormat/>
    <w:uiPriority w:val="0"/>
    <w:rPr>
      <w:rFonts w:ascii="Calibri" w:hAnsi="Calibri" w:cs="Calibri"/>
      <w:szCs w:val="21"/>
    </w:rPr>
  </w:style>
  <w:style w:type="paragraph" w:customStyle="1" w:styleId="2914">
    <w:name w:val="样式 列表 + 四号 首行缩进:  0.85 厘米"/>
    <w:basedOn w:val="67"/>
    <w:qFormat/>
    <w:uiPriority w:val="99"/>
    <w:pPr>
      <w:snapToGrid w:val="0"/>
      <w:spacing w:line="360" w:lineRule="auto"/>
      <w:ind w:firstLine="482" w:firstLineChars="0"/>
      <w:jc w:val="both"/>
    </w:pPr>
    <w:rPr>
      <w:rFonts w:ascii="Times New Roman" w:hAnsi="Times New Roman" w:cs="宋体"/>
      <w:sz w:val="28"/>
    </w:rPr>
  </w:style>
  <w:style w:type="paragraph" w:customStyle="1" w:styleId="2915">
    <w:name w:val="a标题4"/>
    <w:basedOn w:val="1"/>
    <w:semiHidden/>
    <w:qFormat/>
    <w:uiPriority w:val="0"/>
    <w:pPr>
      <w:spacing w:line="360" w:lineRule="auto"/>
    </w:pPr>
    <w:rPr>
      <w:rFonts w:ascii="Calibri" w:hAnsi="Calibri" w:cs="Calibri"/>
      <w:kern w:val="0"/>
      <w:sz w:val="24"/>
    </w:rPr>
  </w:style>
  <w:style w:type="paragraph" w:customStyle="1" w:styleId="2916">
    <w:name w:val="张小雄正文"/>
    <w:basedOn w:val="88"/>
    <w:semiHidden/>
    <w:qFormat/>
    <w:uiPriority w:val="0"/>
    <w:pPr>
      <w:widowControl w:val="0"/>
      <w:adjustRightInd w:val="0"/>
      <w:spacing w:after="0" w:line="360" w:lineRule="auto"/>
      <w:ind w:firstLine="200" w:firstLineChars="200"/>
      <w:jc w:val="both"/>
      <w:textAlignment w:val="baseline"/>
    </w:pPr>
    <w:rPr>
      <w:rFonts w:hAnsi="Calibri" w:cs="Calibri"/>
      <w:spacing w:val="4"/>
      <w:kern w:val="21"/>
      <w:sz w:val="24"/>
      <w:szCs w:val="24"/>
    </w:rPr>
  </w:style>
  <w:style w:type="paragraph" w:customStyle="1" w:styleId="2917">
    <w:name w:val="Char1 Char Char Char Char Char"/>
    <w:basedOn w:val="1"/>
    <w:qFormat/>
    <w:uiPriority w:val="0"/>
    <w:rPr>
      <w:rFonts w:ascii="Calibri" w:hAnsi="Calibri" w:cs="Calibri"/>
      <w:szCs w:val="20"/>
    </w:rPr>
  </w:style>
  <w:style w:type="paragraph" w:customStyle="1" w:styleId="2918">
    <w:name w:val="正文首行缩进 Char Char"/>
    <w:basedOn w:val="1"/>
    <w:qFormat/>
    <w:uiPriority w:val="0"/>
    <w:pPr>
      <w:spacing w:line="606" w:lineRule="atLeast"/>
      <w:ind w:firstLine="538"/>
    </w:pPr>
    <w:rPr>
      <w:rFonts w:hint="eastAsia" w:ascii="Calibri" w:hAnsi="Calibri" w:cs="Calibri"/>
      <w:sz w:val="24"/>
      <w:szCs w:val="20"/>
    </w:rPr>
  </w:style>
  <w:style w:type="paragraph" w:customStyle="1" w:styleId="2919">
    <w:name w:val="样式 首行缩进 + 左侧:  1 字符 右侧:  1 字符"/>
    <w:semiHidden/>
    <w:qFormat/>
    <w:uiPriority w:val="0"/>
    <w:pPr>
      <w:tabs>
        <w:tab w:val="left" w:pos="9128"/>
      </w:tabs>
      <w:adjustRightInd w:val="0"/>
      <w:snapToGrid w:val="0"/>
      <w:spacing w:line="500" w:lineRule="exact"/>
      <w:ind w:right="-7" w:firstLine="630" w:firstLineChars="225"/>
    </w:pPr>
    <w:rPr>
      <w:rFonts w:ascii="宋体" w:hAnsi="Times New Roman" w:eastAsia="宋体" w:cs="宋体"/>
      <w:sz w:val="28"/>
      <w:lang w:val="en-US" w:eastAsia="zh-CN" w:bidi="ar-SA"/>
    </w:rPr>
  </w:style>
  <w:style w:type="paragraph" w:customStyle="1" w:styleId="2920">
    <w:name w:val="Char Char Char Char Char Char Char Char Char Char Char Char Char Char Char Char Char Char Char Char Char Char Char Char Char Char12"/>
    <w:basedOn w:val="1"/>
    <w:semiHidden/>
    <w:qFormat/>
    <w:uiPriority w:val="0"/>
    <w:rPr>
      <w:rFonts w:ascii="Calibri" w:hAnsi="Calibri" w:cs="Calibri"/>
      <w:sz w:val="24"/>
    </w:rPr>
  </w:style>
  <w:style w:type="paragraph" w:customStyle="1" w:styleId="2921">
    <w:name w:val="Char Char Char Char Char Char Char Char Char Char Char Char Char Char Char3"/>
    <w:basedOn w:val="1"/>
    <w:semiHidden/>
    <w:qFormat/>
    <w:uiPriority w:val="0"/>
    <w:rPr>
      <w:rFonts w:ascii="Calibri" w:hAnsi="Calibri" w:cs="Calibri"/>
      <w:sz w:val="24"/>
    </w:rPr>
  </w:style>
  <w:style w:type="paragraph" w:customStyle="1" w:styleId="2922">
    <w:name w:val="样式2.3.1"/>
    <w:basedOn w:val="1"/>
    <w:semiHidden/>
    <w:qFormat/>
    <w:uiPriority w:val="0"/>
    <w:pPr>
      <w:numPr>
        <w:ilvl w:val="2"/>
        <w:numId w:val="15"/>
      </w:numPr>
      <w:tabs>
        <w:tab w:val="left" w:pos="0"/>
      </w:tabs>
      <w:spacing w:before="156" w:beforeLines="50" w:line="360" w:lineRule="auto"/>
      <w:outlineLvl w:val="2"/>
    </w:pPr>
    <w:rPr>
      <w:rFonts w:ascii="Calibri" w:hAnsi="Calibri" w:cs="Calibri"/>
      <w:b/>
      <w:bCs/>
      <w:color w:val="000000"/>
      <w:sz w:val="28"/>
      <w:szCs w:val="28"/>
    </w:rPr>
  </w:style>
  <w:style w:type="paragraph" w:customStyle="1" w:styleId="2923">
    <w:name w:val="国函"/>
    <w:next w:val="1"/>
    <w:semiHidden/>
    <w:qFormat/>
    <w:uiPriority w:val="0"/>
    <w:pPr>
      <w:adjustRightInd w:val="0"/>
      <w:spacing w:after="300"/>
      <w:jc w:val="center"/>
    </w:pPr>
    <w:rPr>
      <w:rFonts w:ascii="Calibri" w:hAnsi="Calibri" w:eastAsia="楷体_GB2312" w:cs="Calibri"/>
      <w:lang w:val="en-US" w:eastAsia="zh-CN" w:bidi="ar-SA"/>
    </w:rPr>
  </w:style>
  <w:style w:type="paragraph" w:customStyle="1" w:styleId="2924">
    <w:name w:val="样式 宋体 首行缩进:  0.93 厘米 段前: 6 磅 段后: 6 磅 行距: 固定值 18 磅"/>
    <w:basedOn w:val="1"/>
    <w:qFormat/>
    <w:uiPriority w:val="0"/>
    <w:pPr>
      <w:snapToGrid w:val="0"/>
      <w:spacing w:before="160" w:after="160" w:line="320" w:lineRule="exact"/>
      <w:ind w:firstLine="482"/>
    </w:pPr>
    <w:rPr>
      <w:rFonts w:ascii="宋体" w:hAnsi="宋体" w:cs="宋体"/>
      <w:sz w:val="24"/>
      <w:szCs w:val="20"/>
    </w:rPr>
  </w:style>
  <w:style w:type="paragraph" w:customStyle="1" w:styleId="2925">
    <w:name w:val="Char Char Char Char14"/>
    <w:basedOn w:val="1"/>
    <w:semiHidden/>
    <w:qFormat/>
    <w:uiPriority w:val="0"/>
    <w:pPr>
      <w:widowControl/>
      <w:jc w:val="left"/>
    </w:pPr>
    <w:rPr>
      <w:rFonts w:ascii="Calibri" w:hAnsi="Calibri" w:cs="Calibri"/>
      <w:kern w:val="0"/>
      <w:sz w:val="22"/>
      <w:szCs w:val="21"/>
    </w:rPr>
  </w:style>
  <w:style w:type="paragraph" w:customStyle="1" w:styleId="2926">
    <w:name w:val="标准符号 行距1.5倍"/>
    <w:basedOn w:val="2284"/>
    <w:semiHidden/>
    <w:qFormat/>
    <w:uiPriority w:val="0"/>
    <w:pPr>
      <w:spacing w:line="240" w:lineRule="auto"/>
      <w:ind w:firstLine="0" w:firstLineChars="0"/>
    </w:pPr>
    <w:rPr>
      <w:kern w:val="0"/>
    </w:rPr>
  </w:style>
  <w:style w:type="paragraph" w:customStyle="1" w:styleId="2927">
    <w:name w:val="ZW Char Char Char"/>
    <w:basedOn w:val="1"/>
    <w:qFormat/>
    <w:uiPriority w:val="0"/>
    <w:pPr>
      <w:spacing w:before="20" w:beforeLines="20"/>
      <w:ind w:firstLine="200" w:firstLineChars="200"/>
    </w:pPr>
    <w:rPr>
      <w:rFonts w:ascii="Calibri" w:hAnsi="Calibri" w:cs="Calibri"/>
      <w:sz w:val="24"/>
    </w:rPr>
  </w:style>
  <w:style w:type="paragraph" w:customStyle="1" w:styleId="2928">
    <w:name w:val="样式 样式 标题 2节 + (西文) Times New Roman (中文) 宋体 四号 段前: 0.5 行 段后: 0......"/>
    <w:basedOn w:val="1"/>
    <w:qFormat/>
    <w:uiPriority w:val="0"/>
    <w:pPr>
      <w:keepNext/>
      <w:keepLines/>
      <w:tabs>
        <w:tab w:val="left" w:pos="720"/>
      </w:tabs>
      <w:adjustRightInd w:val="0"/>
      <w:snapToGrid w:val="0"/>
      <w:spacing w:before="280" w:beforeLines="90" w:after="280" w:afterLines="90"/>
      <w:ind w:left="397" w:hanging="397"/>
      <w:outlineLvl w:val="1"/>
    </w:pPr>
    <w:rPr>
      <w:rFonts w:ascii="楷体_GB2312" w:hAnsi="Calibri" w:eastAsia="楷体_GB2312" w:cs="Calibri"/>
      <w:b/>
      <w:bCs/>
      <w:sz w:val="28"/>
      <w:szCs w:val="28"/>
    </w:rPr>
  </w:style>
  <w:style w:type="paragraph" w:customStyle="1" w:styleId="2929">
    <w:name w:val="列项——"/>
    <w:semiHidden/>
    <w:qFormat/>
    <w:uiPriority w:val="0"/>
    <w:pPr>
      <w:widowControl w:val="0"/>
      <w:tabs>
        <w:tab w:val="left" w:pos="854"/>
      </w:tabs>
      <w:ind w:left="840" w:leftChars="200" w:hanging="420" w:hangingChars="200"/>
      <w:jc w:val="both"/>
    </w:pPr>
    <w:rPr>
      <w:rFonts w:ascii="宋体" w:hAnsi="Calibri" w:eastAsia="宋体" w:cs="Calibri"/>
      <w:sz w:val="21"/>
      <w:lang w:val="en-US" w:eastAsia="zh-CN" w:bidi="ar-SA"/>
    </w:rPr>
  </w:style>
  <w:style w:type="paragraph" w:customStyle="1" w:styleId="2930">
    <w:name w:val="xl34"/>
    <w:basedOn w:val="1"/>
    <w:qFormat/>
    <w:uiPriority w:val="0"/>
    <w:pPr>
      <w:widowControl/>
      <w:pBdr>
        <w:left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2931">
    <w:name w:val="框图-1"/>
    <w:basedOn w:val="1"/>
    <w:qFormat/>
    <w:uiPriority w:val="0"/>
    <w:pPr>
      <w:jc w:val="center"/>
    </w:pPr>
    <w:rPr>
      <w:rFonts w:ascii="Calibri" w:hAnsi="Calibri" w:eastAsia="仿宋_GB2312" w:cs="宋体"/>
      <w:snapToGrid w:val="0"/>
      <w:kern w:val="0"/>
      <w:szCs w:val="20"/>
    </w:rPr>
  </w:style>
  <w:style w:type="paragraph" w:customStyle="1" w:styleId="2932">
    <w:name w:val="head"/>
    <w:basedOn w:val="1"/>
    <w:next w:val="1"/>
    <w:qFormat/>
    <w:uiPriority w:val="99"/>
    <w:pPr>
      <w:keepNext/>
      <w:keepLines/>
      <w:adjustRightInd w:val="0"/>
      <w:snapToGrid w:val="0"/>
      <w:spacing w:before="260" w:after="260" w:line="312" w:lineRule="auto"/>
      <w:jc w:val="left"/>
      <w:outlineLvl w:val="2"/>
    </w:pPr>
    <w:rPr>
      <w:rFonts w:ascii="仿宋_GB2312" w:hAnsi="Calibri" w:eastAsia="仿宋_GB2312" w:cs="Calibri"/>
      <w:sz w:val="28"/>
      <w:szCs w:val="20"/>
    </w:rPr>
  </w:style>
  <w:style w:type="paragraph" w:customStyle="1" w:styleId="2933">
    <w:name w:val="样式 标题2.2"/>
    <w:semiHidden/>
    <w:qFormat/>
    <w:uiPriority w:val="0"/>
    <w:pPr>
      <w:spacing w:before="50"/>
      <w:outlineLvl w:val="2"/>
    </w:pPr>
    <w:rPr>
      <w:rFonts w:ascii="Times New Roman" w:hAnsi="Times New Roman" w:eastAsia="宋体" w:cs="Calibri"/>
      <w:kern w:val="2"/>
      <w:lang w:val="en-US" w:eastAsia="zh-CN" w:bidi="ar-SA"/>
    </w:rPr>
  </w:style>
  <w:style w:type="paragraph" w:customStyle="1" w:styleId="2934">
    <w:name w:val="标题3  2.6.1"/>
    <w:basedOn w:val="4"/>
    <w:semiHidden/>
    <w:qFormat/>
    <w:uiPriority w:val="0"/>
    <w:pPr>
      <w:numPr>
        <w:ilvl w:val="0"/>
        <w:numId w:val="0"/>
      </w:numPr>
      <w:adjustRightInd w:val="0"/>
      <w:spacing w:before="260" w:beforeLines="50"/>
    </w:pPr>
    <w:rPr>
      <w:rFonts w:ascii="Times New Roman" w:hAnsi="Times New Roman" w:eastAsia="宋体" w:cs="宋体"/>
      <w:b w:val="0"/>
      <w:kern w:val="0"/>
      <w:szCs w:val="20"/>
      <w:lang w:val="en-US"/>
    </w:rPr>
  </w:style>
  <w:style w:type="paragraph" w:customStyle="1" w:styleId="2935">
    <w:name w:val="xl201"/>
    <w:basedOn w:val="1"/>
    <w:semiHidden/>
    <w:qFormat/>
    <w:uiPriority w:val="0"/>
    <w:pPr>
      <w:widowControl/>
      <w:pBdr>
        <w:top w:val="single" w:color="auto" w:sz="12" w:space="0"/>
        <w:right w:val="single" w:color="auto" w:sz="8" w:space="0"/>
      </w:pBdr>
      <w:spacing w:before="100" w:beforeAutospacing="1" w:after="100" w:afterAutospacing="1"/>
      <w:jc w:val="center"/>
    </w:pPr>
    <w:rPr>
      <w:rFonts w:ascii="宋体" w:hAnsi="宋体" w:cs="宋体"/>
      <w:color w:val="0000FF"/>
      <w:kern w:val="0"/>
      <w:sz w:val="18"/>
      <w:szCs w:val="18"/>
    </w:rPr>
  </w:style>
  <w:style w:type="paragraph" w:customStyle="1" w:styleId="2936">
    <w:name w:val="Char Char Char Char Char Char Char Char Char Char Char Char Char Char Char Char Char1 Char"/>
    <w:basedOn w:val="1"/>
    <w:semiHidden/>
    <w:qFormat/>
    <w:uiPriority w:val="0"/>
    <w:rPr>
      <w:rFonts w:ascii="Calibri" w:hAnsi="Calibri" w:cs="Calibri"/>
      <w:sz w:val="24"/>
    </w:rPr>
  </w:style>
  <w:style w:type="paragraph" w:customStyle="1" w:styleId="2937">
    <w:name w:val="xl188"/>
    <w:basedOn w:val="1"/>
    <w:qFormat/>
    <w:uiPriority w:val="99"/>
    <w:pPr>
      <w:widowControl/>
      <w:spacing w:before="100" w:beforeAutospacing="1" w:after="100" w:afterAutospacing="1"/>
      <w:jc w:val="left"/>
      <w:textAlignment w:val="center"/>
    </w:pPr>
    <w:rPr>
      <w:rFonts w:ascii="Calibri" w:hAnsi="Calibri" w:cs="Calibri"/>
      <w:kern w:val="0"/>
      <w:sz w:val="12"/>
      <w:szCs w:val="12"/>
    </w:rPr>
  </w:style>
  <w:style w:type="paragraph" w:customStyle="1" w:styleId="2938">
    <w:name w:val="Char Char Char1 Char Char Char Char Char Char Char Char Char Char Char Char Char Char Char Char Char Char Char Char Char Char"/>
    <w:basedOn w:val="1"/>
    <w:qFormat/>
    <w:uiPriority w:val="0"/>
    <w:rPr>
      <w:rFonts w:ascii="Calibri" w:hAnsi="Calibri" w:cs="Calibri"/>
      <w:szCs w:val="21"/>
    </w:rPr>
  </w:style>
  <w:style w:type="paragraph" w:customStyle="1" w:styleId="2939">
    <w:name w:val="222"/>
    <w:basedOn w:val="1"/>
    <w:qFormat/>
    <w:uiPriority w:val="99"/>
    <w:pPr>
      <w:spacing w:beforeLines="50" w:after="160"/>
      <w:jc w:val="center"/>
    </w:pPr>
    <w:rPr>
      <w:rFonts w:ascii="宋体" w:hAnsi="宋体" w:cs="Calibri"/>
      <w:b/>
      <w:bCs/>
      <w:sz w:val="44"/>
      <w:szCs w:val="36"/>
    </w:rPr>
  </w:style>
  <w:style w:type="paragraph" w:customStyle="1" w:styleId="2940">
    <w:name w:val="Z标题-0"/>
    <w:basedOn w:val="86"/>
    <w:semiHidden/>
    <w:qFormat/>
    <w:uiPriority w:val="0"/>
    <w:pPr>
      <w:widowControl w:val="0"/>
      <w:adjustRightInd/>
      <w:snapToGrid/>
      <w:spacing w:before="0" w:after="0" w:line="240" w:lineRule="auto"/>
      <w:ind w:right="2319" w:firstLine="0" w:firstLineChars="0"/>
      <w:jc w:val="right"/>
    </w:pPr>
    <w:rPr>
      <w:rFonts w:ascii="宋体" w:hAnsi="Times New Roman" w:cs="Calibri"/>
      <w:b w:val="0"/>
      <w:bCs w:val="0"/>
      <w:color w:val="000000"/>
      <w:kern w:val="2"/>
      <w:szCs w:val="20"/>
      <w:lang w:val="en-US" w:eastAsia="zh-CN" w:bidi="ar-SA"/>
    </w:rPr>
  </w:style>
  <w:style w:type="paragraph" w:customStyle="1" w:styleId="2941">
    <w:name w:val="Char Char Char1 Char Char Char Char Char Char Char Char Char Char Char Char Char Char Char1 Char Char Char Char Char Char Char Char Char Char Char Char Char Char Char Char Char1"/>
    <w:basedOn w:val="1"/>
    <w:semiHidden/>
    <w:qFormat/>
    <w:uiPriority w:val="0"/>
    <w:rPr>
      <w:rFonts w:ascii="Calibri" w:hAnsi="Calibri" w:cs="Calibri"/>
      <w:szCs w:val="21"/>
    </w:rPr>
  </w:style>
  <w:style w:type="paragraph" w:customStyle="1" w:styleId="2942">
    <w:name w:val="Char Char Char Char Char Char Char Char Char 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2943">
    <w:name w:val="layer2"/>
    <w:basedOn w:val="1"/>
    <w:next w:val="23"/>
    <w:semiHidden/>
    <w:qFormat/>
    <w:uiPriority w:val="0"/>
    <w:pPr>
      <w:tabs>
        <w:tab w:val="left" w:pos="720"/>
      </w:tabs>
      <w:spacing w:before="120" w:after="120" w:line="300" w:lineRule="auto"/>
      <w:ind w:left="567" w:hanging="567"/>
    </w:pPr>
    <w:rPr>
      <w:rFonts w:ascii="Calibri" w:hAnsi="Calibri" w:eastAsia="黑体" w:cs="Calibri"/>
      <w:sz w:val="36"/>
      <w:szCs w:val="20"/>
    </w:rPr>
  </w:style>
  <w:style w:type="paragraph" w:customStyle="1" w:styleId="2944">
    <w:name w:val="xl136"/>
    <w:basedOn w:val="1"/>
    <w:qFormat/>
    <w:uiPriority w:val="99"/>
    <w:pPr>
      <w:widowControl/>
      <w:spacing w:before="100" w:beforeAutospacing="1" w:after="100" w:afterAutospacing="1"/>
      <w:jc w:val="left"/>
    </w:pPr>
    <w:rPr>
      <w:rFonts w:ascii="Arial Unicode MS" w:hAnsi="Arial Unicode MS" w:cs="Calibri"/>
      <w:kern w:val="0"/>
      <w:sz w:val="12"/>
      <w:szCs w:val="12"/>
    </w:rPr>
  </w:style>
  <w:style w:type="paragraph" w:customStyle="1" w:styleId="2945">
    <w:name w:val="表格的文字"/>
    <w:basedOn w:val="1"/>
    <w:link w:val="2946"/>
    <w:qFormat/>
    <w:uiPriority w:val="0"/>
    <w:pPr>
      <w:spacing w:line="300" w:lineRule="exact"/>
      <w:jc w:val="center"/>
    </w:pPr>
    <w:rPr>
      <w:rFonts w:ascii="仿宋_GB2312" w:hAnsi="Calibri" w:eastAsia="仿宋_GB2312" w:cs="Calibri"/>
      <w:bCs/>
      <w:szCs w:val="20"/>
    </w:rPr>
  </w:style>
  <w:style w:type="character" w:customStyle="1" w:styleId="2946">
    <w:name w:val="表格的文字 Char Char"/>
    <w:link w:val="2945"/>
    <w:qFormat/>
    <w:uiPriority w:val="0"/>
    <w:rPr>
      <w:rFonts w:ascii="仿宋_GB2312" w:hAnsi="Calibri" w:eastAsia="仿宋_GB2312" w:cs="Calibri"/>
      <w:bCs/>
      <w:kern w:val="2"/>
      <w:sz w:val="21"/>
    </w:rPr>
  </w:style>
  <w:style w:type="paragraph" w:customStyle="1" w:styleId="2947">
    <w:name w:val="Char2 Char Char Char3"/>
    <w:basedOn w:val="1"/>
    <w:qFormat/>
    <w:uiPriority w:val="99"/>
    <w:pPr>
      <w:tabs>
        <w:tab w:val="left" w:pos="0"/>
      </w:tabs>
      <w:spacing w:line="560" w:lineRule="exact"/>
      <w:ind w:firstLine="200" w:firstLineChars="200"/>
    </w:pPr>
    <w:rPr>
      <w:rFonts w:ascii="Calibri" w:hAnsi="Calibri" w:eastAsia="仿宋_GB2312" w:cs="Calibri"/>
      <w:spacing w:val="12"/>
      <w:sz w:val="24"/>
      <w:szCs w:val="28"/>
    </w:rPr>
  </w:style>
  <w:style w:type="paragraph" w:customStyle="1" w:styleId="2948">
    <w:name w:val="样式 样式 列表 + 左侧:  0 厘米 悬挂缩进: 5.85 字符 + 行距: 固定值 24 磅"/>
    <w:basedOn w:val="2305"/>
    <w:qFormat/>
    <w:uiPriority w:val="99"/>
    <w:pPr>
      <w:framePr w:hSpace="180" w:wrap="around" w:vAnchor="text" w:hAnchor="margin" w:y="202"/>
      <w:ind w:left="-55" w:leftChars="-26"/>
      <w:jc w:val="both"/>
    </w:pPr>
  </w:style>
  <w:style w:type="paragraph" w:customStyle="1" w:styleId="2949">
    <w:name w:val="样式 +正文 + 宋体 小四 首行缩进:  2 字符 行距: 固定值 25 磅"/>
    <w:basedOn w:val="1917"/>
    <w:semiHidden/>
    <w:qFormat/>
    <w:uiPriority w:val="0"/>
    <w:pPr>
      <w:spacing w:line="500" w:lineRule="exact"/>
      <w:ind w:firstLine="480"/>
    </w:pPr>
    <w:rPr>
      <w:rFonts w:ascii="宋体" w:hAnsi="宋体" w:cs="宋体"/>
      <w:sz w:val="24"/>
      <w:szCs w:val="20"/>
    </w:rPr>
  </w:style>
  <w:style w:type="paragraph" w:customStyle="1" w:styleId="2950">
    <w:name w:val="?2"/>
    <w:basedOn w:val="1"/>
    <w:next w:val="1"/>
    <w:semiHidden/>
    <w:qFormat/>
    <w:uiPriority w:val="0"/>
    <w:pPr>
      <w:autoSpaceDE w:val="0"/>
      <w:autoSpaceDN w:val="0"/>
      <w:adjustRightInd w:val="0"/>
      <w:jc w:val="left"/>
    </w:pPr>
    <w:rPr>
      <w:rFonts w:ascii="五" w:hAnsi="Calibri" w:eastAsia="五" w:cs="Calibri"/>
      <w:kern w:val="0"/>
      <w:sz w:val="20"/>
    </w:rPr>
  </w:style>
  <w:style w:type="paragraph" w:customStyle="1" w:styleId="2951">
    <w:name w:val="Char Char Char Char Char Char Char Char Char Char Char Char Char1 Char Char Char Char Char Char Char Char Char Char Char Char Char"/>
    <w:basedOn w:val="1"/>
    <w:qFormat/>
    <w:uiPriority w:val="0"/>
    <w:pPr>
      <w:adjustRightInd w:val="0"/>
      <w:spacing w:line="360" w:lineRule="auto"/>
    </w:pPr>
    <w:rPr>
      <w:rFonts w:ascii="Calibri" w:hAnsi="Calibri" w:cs="Calibri"/>
      <w:kern w:val="0"/>
      <w:sz w:val="24"/>
      <w:szCs w:val="20"/>
    </w:rPr>
  </w:style>
  <w:style w:type="paragraph" w:customStyle="1" w:styleId="2952">
    <w:name w:val="样式 图号 + 宋体"/>
    <w:basedOn w:val="2507"/>
    <w:semiHidden/>
    <w:qFormat/>
    <w:uiPriority w:val="0"/>
    <w:pPr>
      <w:ind w:firstLine="200" w:firstLineChars="200"/>
    </w:pPr>
    <w:rPr>
      <w:rFonts w:ascii="宋体" w:hAnsi="宋体"/>
    </w:rPr>
  </w:style>
  <w:style w:type="paragraph" w:customStyle="1" w:styleId="2953">
    <w:name w:val="样式 标准文本 首行缩进:2 字符 行距1.5倍 + 首行缩进:  2 字符2"/>
    <w:basedOn w:val="2284"/>
    <w:semiHidden/>
    <w:qFormat/>
    <w:uiPriority w:val="0"/>
    <w:pPr>
      <w:spacing w:line="240" w:lineRule="auto"/>
    </w:pPr>
    <w:rPr>
      <w:szCs w:val="20"/>
    </w:rPr>
  </w:style>
  <w:style w:type="paragraph" w:customStyle="1" w:styleId="2954">
    <w:name w:val="Char Char Char Char Char Char Char Char Char Char Char Char Char Char Char Char Char Char Char Char Char Char Char Char Char Char Char"/>
    <w:basedOn w:val="1"/>
    <w:semiHidden/>
    <w:qFormat/>
    <w:uiPriority w:val="0"/>
    <w:pPr>
      <w:spacing w:line="240" w:lineRule="exact"/>
      <w:ind w:firstLine="200" w:firstLineChars="200"/>
    </w:pPr>
    <w:rPr>
      <w:rFonts w:ascii="Calibri" w:hAnsi="Calibri" w:cs="Calibri"/>
      <w:sz w:val="28"/>
      <w:szCs w:val="28"/>
    </w:rPr>
  </w:style>
  <w:style w:type="paragraph" w:customStyle="1" w:styleId="2955">
    <w:name w:val="Char Char Char1 Char Char Char1 Char Char Char1 Char"/>
    <w:basedOn w:val="1"/>
    <w:qFormat/>
    <w:uiPriority w:val="0"/>
    <w:pPr>
      <w:spacing w:line="400" w:lineRule="exact"/>
      <w:ind w:firstLine="200" w:firstLineChars="200"/>
    </w:pPr>
    <w:rPr>
      <w:rFonts w:ascii="Calibri" w:hAnsi="Calibri" w:cs="Calibri"/>
      <w:sz w:val="28"/>
      <w:szCs w:val="28"/>
    </w:rPr>
  </w:style>
  <w:style w:type="paragraph" w:customStyle="1" w:styleId="2956">
    <w:name w:val="Char Char Char2 Char Char Char Char Char Char Char Char Char Char1"/>
    <w:basedOn w:val="1"/>
    <w:semiHidden/>
    <w:qFormat/>
    <w:uiPriority w:val="0"/>
    <w:rPr>
      <w:rFonts w:ascii="Calibri" w:hAnsi="Calibri" w:cs="Calibri"/>
      <w:szCs w:val="21"/>
    </w:rPr>
  </w:style>
  <w:style w:type="paragraph" w:customStyle="1" w:styleId="2957">
    <w:name w:val="款"/>
    <w:basedOn w:val="1"/>
    <w:qFormat/>
    <w:uiPriority w:val="99"/>
    <w:pPr>
      <w:spacing w:line="360" w:lineRule="auto"/>
    </w:pPr>
    <w:rPr>
      <w:rFonts w:ascii="Calibri" w:hAnsi="Calibri" w:cs="Calibri"/>
      <w:szCs w:val="20"/>
    </w:rPr>
  </w:style>
  <w:style w:type="paragraph" w:customStyle="1" w:styleId="2958">
    <w:name w:val="Char8"/>
    <w:basedOn w:val="1"/>
    <w:qFormat/>
    <w:uiPriority w:val="0"/>
    <w:pPr>
      <w:autoSpaceDE w:val="0"/>
      <w:autoSpaceDN w:val="0"/>
      <w:adjustRightInd w:val="0"/>
      <w:snapToGrid w:val="0"/>
      <w:spacing w:before="50" w:after="50" w:line="360" w:lineRule="auto"/>
      <w:ind w:firstLine="560" w:firstLineChars="200"/>
    </w:pPr>
    <w:rPr>
      <w:rFonts w:ascii="Calibri" w:hAnsi="Calibri" w:eastAsia="仿宋_GB2312" w:cs="Calibri"/>
      <w:color w:val="000000"/>
      <w:sz w:val="24"/>
      <w:szCs w:val="20"/>
    </w:rPr>
  </w:style>
  <w:style w:type="paragraph" w:customStyle="1" w:styleId="2959">
    <w:name w:val="ENFI表体"/>
    <w:basedOn w:val="1"/>
    <w:semiHidden/>
    <w:qFormat/>
    <w:uiPriority w:val="0"/>
    <w:pPr>
      <w:widowControl/>
      <w:adjustRightInd w:val="0"/>
      <w:snapToGrid w:val="0"/>
      <w:spacing w:line="240" w:lineRule="atLeast"/>
      <w:ind w:firstLine="560" w:firstLineChars="200"/>
      <w:jc w:val="center"/>
    </w:pPr>
    <w:rPr>
      <w:rFonts w:ascii="宋体" w:hAnsi="Calibri" w:eastAsia="仿宋_GB2312" w:cs="宋体"/>
      <w:kern w:val="0"/>
      <w:sz w:val="24"/>
    </w:rPr>
  </w:style>
  <w:style w:type="paragraph" w:customStyle="1" w:styleId="2960">
    <w:name w:val="ABCD"/>
    <w:basedOn w:val="1"/>
    <w:semiHidden/>
    <w:qFormat/>
    <w:uiPriority w:val="0"/>
    <w:pPr>
      <w:tabs>
        <w:tab w:val="left" w:pos="840"/>
      </w:tabs>
      <w:ind w:left="840" w:firstLine="67"/>
    </w:pPr>
    <w:rPr>
      <w:rFonts w:ascii="Calibri" w:hAnsi="Calibri" w:cs="Calibri"/>
      <w:sz w:val="28"/>
    </w:rPr>
  </w:style>
  <w:style w:type="paragraph" w:customStyle="1" w:styleId="2961">
    <w:name w:val="Char Char Char Char Char Char Char Char Char Char Char1 Char Char Char Char Char Char13"/>
    <w:basedOn w:val="1"/>
    <w:semiHidden/>
    <w:qFormat/>
    <w:uiPriority w:val="0"/>
    <w:rPr>
      <w:rFonts w:ascii="Calibri" w:hAnsi="Calibri" w:cs="Calibri"/>
      <w:sz w:val="24"/>
    </w:rPr>
  </w:style>
  <w:style w:type="paragraph" w:customStyle="1" w:styleId="2962">
    <w:name w:val="Char1 Char Char Char Char Char1"/>
    <w:basedOn w:val="1"/>
    <w:qFormat/>
    <w:uiPriority w:val="99"/>
    <w:rPr>
      <w:rFonts w:ascii="Calibri" w:hAnsi="Calibri" w:cs="Calibri"/>
      <w:szCs w:val="20"/>
    </w:rPr>
  </w:style>
  <w:style w:type="paragraph" w:customStyle="1" w:styleId="2963">
    <w:name w:val="样式 标题 2 + 首行缩进:  2 字符1"/>
    <w:basedOn w:val="4"/>
    <w:qFormat/>
    <w:uiPriority w:val="99"/>
    <w:pPr>
      <w:keepLines w:val="0"/>
      <w:numPr>
        <w:ilvl w:val="0"/>
        <w:numId w:val="0"/>
      </w:numPr>
      <w:adjustRightInd w:val="0"/>
      <w:spacing w:before="312" w:beforeLines="100" w:line="440" w:lineRule="exact"/>
      <w:ind w:firstLine="440" w:firstLineChars="200"/>
    </w:pPr>
    <w:rPr>
      <w:rFonts w:ascii="Times New Roman" w:hAnsi="Times New Roman" w:eastAsia="汉鼎简特宋"/>
      <w:bCs w:val="0"/>
      <w:spacing w:val="-2"/>
      <w:szCs w:val="20"/>
      <w:lang w:val="en-US"/>
    </w:rPr>
  </w:style>
  <w:style w:type="paragraph" w:customStyle="1" w:styleId="2964">
    <w:name w:val="样式 标题 4H4 + 四号"/>
    <w:basedOn w:val="6"/>
    <w:next w:val="36"/>
    <w:qFormat/>
    <w:uiPriority w:val="99"/>
    <w:pPr>
      <w:numPr>
        <w:ilvl w:val="0"/>
        <w:numId w:val="0"/>
      </w:numPr>
      <w:adjustRightInd w:val="0"/>
      <w:spacing w:before="80" w:after="80" w:line="480" w:lineRule="exact"/>
      <w:ind w:left="864" w:hanging="864"/>
    </w:pPr>
    <w:rPr>
      <w:rFonts w:ascii="Times New Roman" w:hAnsi="Times New Roman" w:eastAsia="宋体" w:cs="Calibri"/>
      <w:b w:val="0"/>
      <w:bCs/>
      <w:szCs w:val="28"/>
      <w:lang w:val="en-US"/>
    </w:rPr>
  </w:style>
  <w:style w:type="paragraph" w:customStyle="1" w:styleId="2965">
    <w:name w:val="样式 目录 2 + 首行缩进:  2 字符2"/>
    <w:basedOn w:val="75"/>
    <w:semiHidden/>
    <w:qFormat/>
    <w:uiPriority w:val="0"/>
    <w:pPr>
      <w:widowControl w:val="0"/>
      <w:tabs>
        <w:tab w:val="left" w:pos="1200"/>
        <w:tab w:val="right" w:leader="dot" w:pos="8511"/>
        <w:tab w:val="clear" w:pos="8800"/>
      </w:tabs>
      <w:spacing w:line="360" w:lineRule="exact"/>
      <w:ind w:left="210" w:leftChars="0" w:right="0" w:firstLine="480"/>
    </w:pPr>
    <w:rPr>
      <w:rFonts w:ascii="Calibri" w:hAnsi="Calibri"/>
      <w:b w:val="0"/>
      <w:bCs w:val="0"/>
      <w:kern w:val="2"/>
      <w:szCs w:val="20"/>
    </w:rPr>
  </w:style>
  <w:style w:type="paragraph" w:customStyle="1" w:styleId="2966">
    <w:name w:val="样式 行距: 1.5 倍行距"/>
    <w:basedOn w:val="1"/>
    <w:qFormat/>
    <w:uiPriority w:val="99"/>
    <w:pPr>
      <w:spacing w:line="360" w:lineRule="auto"/>
      <w:ind w:firstLine="480" w:firstLineChars="200"/>
    </w:pPr>
    <w:rPr>
      <w:rFonts w:ascii="宋体" w:hAnsi="宋体" w:cs="Calibri"/>
      <w:color w:val="FF0000"/>
      <w:kern w:val="0"/>
      <w:sz w:val="24"/>
    </w:rPr>
  </w:style>
  <w:style w:type="paragraph" w:customStyle="1" w:styleId="2967">
    <w:name w:val="条(三级)"/>
    <w:basedOn w:val="1"/>
    <w:next w:val="1"/>
    <w:qFormat/>
    <w:uiPriority w:val="99"/>
    <w:pPr>
      <w:keepNext/>
      <w:keepLines/>
      <w:adjustRightInd w:val="0"/>
      <w:snapToGrid w:val="0"/>
      <w:spacing w:before="62" w:beforeLines="20" w:line="460" w:lineRule="exact"/>
      <w:jc w:val="center"/>
      <w:textAlignment w:val="baseline"/>
    </w:pPr>
    <w:rPr>
      <w:rFonts w:ascii="Calibri" w:hAnsi="宋体" w:cs="Calibri"/>
      <w:spacing w:val="3"/>
      <w:kern w:val="24"/>
      <w:sz w:val="24"/>
      <w:szCs w:val="20"/>
    </w:rPr>
  </w:style>
  <w:style w:type="paragraph" w:customStyle="1" w:styleId="2968">
    <w:name w:val="xl105"/>
    <w:basedOn w:val="1"/>
    <w:qFormat/>
    <w:uiPriority w:val="0"/>
    <w:pPr>
      <w:widowControl/>
      <w:spacing w:before="100" w:beforeAutospacing="1" w:after="100" w:afterAutospacing="1"/>
      <w:jc w:val="center"/>
      <w:textAlignment w:val="center"/>
    </w:pPr>
    <w:rPr>
      <w:rFonts w:ascii="Arial Unicode MS" w:hAnsi="Arial Unicode MS" w:cs="Calibri"/>
      <w:kern w:val="0"/>
    </w:rPr>
  </w:style>
  <w:style w:type="paragraph" w:customStyle="1" w:styleId="2969">
    <w:name w:val="Char Char Char Char Char Char Char Char Char1 Char Char Char Char4"/>
    <w:basedOn w:val="1"/>
    <w:qFormat/>
    <w:uiPriority w:val="99"/>
    <w:rPr>
      <w:rFonts w:ascii="Calibri" w:hAnsi="Calibri" w:eastAsia="黑体" w:cs="Calibri"/>
      <w:b/>
      <w:szCs w:val="20"/>
    </w:rPr>
  </w:style>
  <w:style w:type="paragraph" w:customStyle="1" w:styleId="2970">
    <w:name w:val="xl200"/>
    <w:basedOn w:val="1"/>
    <w:semiHidden/>
    <w:qFormat/>
    <w:uiPriority w:val="0"/>
    <w:pPr>
      <w:widowControl/>
      <w:pBdr>
        <w:top w:val="single" w:color="auto" w:sz="12" w:space="0"/>
        <w:left w:val="single" w:color="auto" w:sz="8" w:space="0"/>
        <w:right w:val="single" w:color="auto" w:sz="8" w:space="0"/>
      </w:pBdr>
      <w:spacing w:before="100" w:beforeAutospacing="1" w:after="100" w:afterAutospacing="1"/>
      <w:jc w:val="center"/>
    </w:pPr>
    <w:rPr>
      <w:rFonts w:ascii="宋体" w:hAnsi="宋体" w:cs="宋体"/>
      <w:color w:val="0000FF"/>
      <w:kern w:val="0"/>
      <w:sz w:val="18"/>
      <w:szCs w:val="18"/>
    </w:rPr>
  </w:style>
  <w:style w:type="paragraph" w:customStyle="1" w:styleId="2971">
    <w:name w:val="日期12"/>
    <w:basedOn w:val="1"/>
    <w:next w:val="1"/>
    <w:qFormat/>
    <w:uiPriority w:val="99"/>
    <w:pPr>
      <w:adjustRightInd w:val="0"/>
      <w:jc w:val="left"/>
      <w:textAlignment w:val="baseline"/>
    </w:pPr>
    <w:rPr>
      <w:rFonts w:ascii="宋体" w:hAnsi="Calibri" w:cs="Calibri"/>
      <w:spacing w:val="24"/>
      <w:kern w:val="24"/>
      <w:sz w:val="24"/>
      <w:szCs w:val="20"/>
    </w:rPr>
  </w:style>
  <w:style w:type="paragraph" w:customStyle="1" w:styleId="2972">
    <w:name w:val="ISO标题5"/>
    <w:qFormat/>
    <w:uiPriority w:val="0"/>
    <w:pPr>
      <w:tabs>
        <w:tab w:val="left" w:pos="420"/>
        <w:tab w:val="left" w:pos="1800"/>
      </w:tabs>
      <w:ind w:left="420" w:hanging="420"/>
      <w:outlineLvl w:val="4"/>
    </w:pPr>
    <w:rPr>
      <w:rFonts w:ascii="宋体" w:hAnsi="宋体" w:eastAsia="宋体" w:cs="Calibri"/>
      <w:color w:val="000000"/>
      <w:sz w:val="24"/>
      <w:lang w:val="en-US" w:eastAsia="zh-CN" w:bidi="ar-SA"/>
    </w:rPr>
  </w:style>
  <w:style w:type="paragraph" w:customStyle="1" w:styleId="2973">
    <w:name w:val="正文首行缩进 2 + Times New Roman"/>
    <w:basedOn w:val="1"/>
    <w:link w:val="2974"/>
    <w:qFormat/>
    <w:uiPriority w:val="0"/>
    <w:pPr>
      <w:tabs>
        <w:tab w:val="left" w:pos="0"/>
        <w:tab w:val="left" w:pos="870"/>
        <w:tab w:val="left" w:pos="3150"/>
      </w:tabs>
      <w:autoSpaceDE w:val="0"/>
      <w:autoSpaceDN w:val="0"/>
      <w:spacing w:line="360" w:lineRule="auto"/>
      <w:ind w:firstLine="480" w:firstLineChars="200"/>
    </w:pPr>
    <w:rPr>
      <w:rFonts w:ascii="Calibri" w:hAnsi="宋体" w:cs="Calibri"/>
      <w:kern w:val="0"/>
      <w:sz w:val="24"/>
    </w:rPr>
  </w:style>
  <w:style w:type="character" w:customStyle="1" w:styleId="2974">
    <w:name w:val="正文首行缩进 2 + Times New Roman Char Char"/>
    <w:link w:val="2973"/>
    <w:qFormat/>
    <w:uiPriority w:val="0"/>
    <w:rPr>
      <w:rFonts w:ascii="Calibri" w:hAnsi="宋体" w:cs="Calibri"/>
      <w:sz w:val="24"/>
      <w:szCs w:val="24"/>
    </w:rPr>
  </w:style>
  <w:style w:type="paragraph" w:customStyle="1" w:styleId="2975">
    <w:name w:val="xl168"/>
    <w:basedOn w:val="1"/>
    <w:qFormat/>
    <w:uiPriority w:val="99"/>
    <w:pPr>
      <w:widowControl/>
      <w:pBdr>
        <w:bottom w:val="single" w:color="auto" w:sz="12" w:space="0"/>
        <w:right w:val="single" w:color="auto" w:sz="4" w:space="0"/>
      </w:pBdr>
      <w:spacing w:before="100" w:beforeAutospacing="1" w:after="100" w:afterAutospacing="1"/>
      <w:jc w:val="center"/>
      <w:textAlignment w:val="center"/>
    </w:pPr>
    <w:rPr>
      <w:rFonts w:ascii="Arial Unicode MS" w:hAnsi="Arial Unicode MS" w:cs="Calibri"/>
      <w:kern w:val="0"/>
    </w:rPr>
  </w:style>
  <w:style w:type="paragraph" w:customStyle="1" w:styleId="2976">
    <w:name w:val="Char4 Char Char Char Char Char Char Char Char Char Char Char Char Char Char Char Char Char1 Char Char Char Char2"/>
    <w:basedOn w:val="1"/>
    <w:semiHidden/>
    <w:qFormat/>
    <w:uiPriority w:val="0"/>
    <w:pPr>
      <w:spacing w:line="240" w:lineRule="exact"/>
      <w:ind w:firstLine="200" w:firstLineChars="200"/>
    </w:pPr>
    <w:rPr>
      <w:rFonts w:ascii="Calibri" w:hAnsi="Calibri" w:cs="Calibri"/>
      <w:sz w:val="28"/>
      <w:szCs w:val="28"/>
    </w:rPr>
  </w:style>
  <w:style w:type="paragraph" w:customStyle="1" w:styleId="2977">
    <w:name w:val="Body Text 23"/>
    <w:basedOn w:val="1"/>
    <w:qFormat/>
    <w:uiPriority w:val="99"/>
    <w:pPr>
      <w:adjustRightInd w:val="0"/>
      <w:spacing w:after="120"/>
      <w:ind w:left="420"/>
      <w:textAlignment w:val="baseline"/>
    </w:pPr>
    <w:rPr>
      <w:rFonts w:hint="eastAsia" w:ascii="宋体" w:hAnsi="宋体" w:cs="Calibri"/>
      <w:sz w:val="24"/>
      <w:szCs w:val="20"/>
    </w:rPr>
  </w:style>
  <w:style w:type="paragraph" w:customStyle="1" w:styleId="2978">
    <w:name w:val="Char Char Char Char Char Char Char Char Char Char Char Char Char Char Char Char Char1"/>
    <w:basedOn w:val="1"/>
    <w:qFormat/>
    <w:uiPriority w:val="99"/>
    <w:rPr>
      <w:rFonts w:ascii="Calibri" w:hAnsi="Calibri" w:cs="Calibri"/>
      <w:sz w:val="24"/>
    </w:rPr>
  </w:style>
  <w:style w:type="paragraph" w:customStyle="1" w:styleId="2979">
    <w:name w:val="样式 目录 1 + 首行缩进:  2 字符"/>
    <w:basedOn w:val="60"/>
    <w:semiHidden/>
    <w:qFormat/>
    <w:uiPriority w:val="0"/>
    <w:pPr>
      <w:widowControl w:val="0"/>
      <w:tabs>
        <w:tab w:val="right" w:leader="dot" w:pos="8511"/>
        <w:tab w:val="clear" w:pos="8778"/>
      </w:tabs>
      <w:adjustRightInd w:val="0"/>
      <w:snapToGrid w:val="0"/>
      <w:spacing w:before="120"/>
    </w:pPr>
    <w:rPr>
      <w:rFonts w:ascii="幼圆" w:hAnsi="Calibri" w:eastAsia="幼圆"/>
      <w:b w:val="0"/>
      <w:bCs/>
      <w:caps/>
      <w:kern w:val="2"/>
      <w:sz w:val="20"/>
      <w:szCs w:val="20"/>
    </w:rPr>
  </w:style>
  <w:style w:type="paragraph" w:customStyle="1" w:styleId="2980">
    <w:name w:val="xl195"/>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cs="Calibri"/>
      <w:kern w:val="0"/>
    </w:rPr>
  </w:style>
  <w:style w:type="paragraph" w:customStyle="1" w:styleId="2981">
    <w:name w:val="注×："/>
    <w:qFormat/>
    <w:uiPriority w:val="99"/>
    <w:pPr>
      <w:widowControl w:val="0"/>
      <w:tabs>
        <w:tab w:val="left" w:pos="630"/>
        <w:tab w:val="left" w:pos="1133"/>
      </w:tabs>
      <w:autoSpaceDE w:val="0"/>
      <w:autoSpaceDN w:val="0"/>
      <w:ind w:left="1133" w:hanging="720"/>
      <w:jc w:val="both"/>
    </w:pPr>
    <w:rPr>
      <w:rFonts w:ascii="宋体" w:hAnsi="Calibri" w:eastAsia="宋体" w:cs="Calibri"/>
      <w:sz w:val="18"/>
      <w:lang w:val="en-US" w:eastAsia="zh-CN" w:bidi="ar-SA"/>
    </w:rPr>
  </w:style>
  <w:style w:type="paragraph" w:customStyle="1" w:styleId="2982">
    <w:name w:val="Char Char Char Char Char Char Char Char Char Char Char Char Char Char Char 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2983">
    <w:name w:val="xl179"/>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2984">
    <w:name w:val="正文文本缩进 31"/>
    <w:basedOn w:val="1"/>
    <w:qFormat/>
    <w:uiPriority w:val="99"/>
    <w:pPr>
      <w:adjustRightInd w:val="0"/>
      <w:spacing w:line="480" w:lineRule="exact"/>
      <w:ind w:firstLine="525"/>
      <w:textAlignment w:val="baseline"/>
    </w:pPr>
    <w:rPr>
      <w:rFonts w:ascii="宋体" w:hAnsi="Calibri" w:cs="Calibri"/>
      <w:sz w:val="28"/>
      <w:szCs w:val="20"/>
    </w:rPr>
  </w:style>
  <w:style w:type="paragraph" w:customStyle="1" w:styleId="2985">
    <w:name w:val="纯文本11"/>
    <w:basedOn w:val="1"/>
    <w:qFormat/>
    <w:uiPriority w:val="99"/>
    <w:pPr>
      <w:adjustRightInd w:val="0"/>
      <w:textAlignment w:val="baseline"/>
    </w:pPr>
    <w:rPr>
      <w:rFonts w:ascii="宋体" w:hAnsi="Courier New" w:cs="Calibri"/>
      <w:szCs w:val="20"/>
    </w:rPr>
  </w:style>
  <w:style w:type="paragraph" w:customStyle="1" w:styleId="2986">
    <w:name w:val="WPS Plain"/>
    <w:qFormat/>
    <w:uiPriority w:val="99"/>
    <w:rPr>
      <w:rFonts w:ascii="Calibri" w:hAnsi="Calibri" w:eastAsia="宋体" w:cs="Calibri"/>
      <w:lang w:val="en-US" w:eastAsia="zh-CN" w:bidi="ar-SA"/>
    </w:rPr>
  </w:style>
  <w:style w:type="paragraph" w:customStyle="1" w:styleId="2987">
    <w:name w:val="Char Char Char1 Char Char Char Char Char Char Char Char Char Char Char Char Char Char Char Char Char Char Char Char Char Char1"/>
    <w:basedOn w:val="1"/>
    <w:qFormat/>
    <w:uiPriority w:val="99"/>
    <w:rPr>
      <w:rFonts w:ascii="Calibri" w:hAnsi="Calibri" w:cs="Calibri"/>
      <w:szCs w:val="20"/>
    </w:rPr>
  </w:style>
  <w:style w:type="paragraph" w:customStyle="1" w:styleId="2988">
    <w:name w:val="Char Char Char1 Char Char Char Char Char Char Char Char Char2"/>
    <w:basedOn w:val="1"/>
    <w:semiHidden/>
    <w:qFormat/>
    <w:uiPriority w:val="0"/>
    <w:rPr>
      <w:rFonts w:ascii="Calibri" w:hAnsi="Calibri" w:cs="Calibri"/>
      <w:szCs w:val="21"/>
    </w:rPr>
  </w:style>
  <w:style w:type="paragraph" w:customStyle="1" w:styleId="2989">
    <w:name w:val="默认段落字体 Para Char Char Char Char Char Char Char Char Char Char Char"/>
    <w:basedOn w:val="5"/>
    <w:qFormat/>
    <w:uiPriority w:val="99"/>
    <w:pPr>
      <w:keepNext w:val="0"/>
      <w:keepLines w:val="0"/>
      <w:numPr>
        <w:ilvl w:val="0"/>
        <w:numId w:val="0"/>
      </w:numPr>
      <w:tabs>
        <w:tab w:val="left" w:pos="360"/>
        <w:tab w:val="left" w:pos="900"/>
      </w:tabs>
      <w:adjustRightInd w:val="0"/>
      <w:snapToGrid w:val="0"/>
      <w:spacing w:before="120" w:after="120" w:line="360" w:lineRule="auto"/>
      <w:ind w:left="542" w:leftChars="-12" w:firstLine="200" w:firstLineChars="200"/>
    </w:pPr>
    <w:rPr>
      <w:rFonts w:ascii="楷体_GB2312" w:cs="Calibri"/>
      <w:bCs w:val="0"/>
      <w:snapToGrid w:val="0"/>
      <w:kern w:val="0"/>
      <w:sz w:val="24"/>
      <w:szCs w:val="24"/>
      <w:lang w:val="en-US"/>
    </w:rPr>
  </w:style>
  <w:style w:type="paragraph" w:customStyle="1" w:styleId="2990">
    <w:name w:val="样式 表格文字 + (西文) 宋体 (中文) 华文仿宋 小四 黑色1"/>
    <w:basedOn w:val="208"/>
    <w:qFormat/>
    <w:uiPriority w:val="0"/>
    <w:pPr>
      <w:tabs>
        <w:tab w:val="left" w:pos="560"/>
      </w:tabs>
      <w:overflowPunct w:val="0"/>
      <w:spacing w:line="400" w:lineRule="exact"/>
      <w:ind w:firstLine="0" w:firstLineChars="0"/>
      <w:jc w:val="left"/>
    </w:pPr>
    <w:rPr>
      <w:rFonts w:ascii="Times New Roman" w:hAnsi="宋体" w:eastAsia="宋体" w:cs="宋体"/>
      <w:b/>
      <w:snapToGrid w:val="0"/>
      <w:color w:val="000000"/>
      <w:kern w:val="0"/>
      <w:sz w:val="21"/>
      <w:szCs w:val="21"/>
      <w:lang w:val="en-US" w:eastAsia="zh-CN" w:bidi="ar-SA"/>
    </w:rPr>
  </w:style>
  <w:style w:type="paragraph" w:customStyle="1" w:styleId="2991">
    <w:name w:val="图像样式"/>
    <w:basedOn w:val="1"/>
    <w:semiHidden/>
    <w:qFormat/>
    <w:uiPriority w:val="0"/>
    <w:pPr>
      <w:snapToGrid w:val="0"/>
      <w:spacing w:before="156" w:beforeLines="50" w:after="156" w:afterLines="50"/>
      <w:jc w:val="center"/>
    </w:pPr>
    <w:rPr>
      <w:rFonts w:ascii="@黑体" w:hAnsi="@黑体" w:eastAsia="黑体" w:cs="Calibri"/>
      <w:sz w:val="24"/>
    </w:rPr>
  </w:style>
  <w:style w:type="paragraph" w:customStyle="1" w:styleId="2992">
    <w:name w:val="样式 样式 首行缩进:  2 字符1 + 首行缩进:  2 字符 段前: 0.2 行"/>
    <w:basedOn w:val="1"/>
    <w:qFormat/>
    <w:uiPriority w:val="0"/>
    <w:pPr>
      <w:spacing w:line="440" w:lineRule="exact"/>
      <w:ind w:firstLine="200" w:firstLineChars="200"/>
    </w:pPr>
    <w:rPr>
      <w:rFonts w:ascii="Calibri" w:hAnsi="Calibri" w:cs="Calibri"/>
      <w:sz w:val="24"/>
      <w:szCs w:val="20"/>
    </w:rPr>
  </w:style>
  <w:style w:type="paragraph" w:customStyle="1" w:styleId="2993">
    <w:name w:val="Char Char Char Char Char Char Char Char Char Char Char"/>
    <w:basedOn w:val="1"/>
    <w:qFormat/>
    <w:uiPriority w:val="0"/>
    <w:rPr>
      <w:rFonts w:ascii="Calibri" w:hAnsi="Calibri" w:cs="Calibri"/>
      <w:sz w:val="24"/>
    </w:rPr>
  </w:style>
  <w:style w:type="paragraph" w:customStyle="1" w:styleId="2994">
    <w:name w:val="正文文本缩进 22"/>
    <w:basedOn w:val="1"/>
    <w:qFormat/>
    <w:uiPriority w:val="99"/>
    <w:pPr>
      <w:adjustRightInd w:val="0"/>
      <w:spacing w:line="480" w:lineRule="atLeast"/>
      <w:ind w:firstLine="630"/>
      <w:textAlignment w:val="baseline"/>
    </w:pPr>
    <w:rPr>
      <w:rFonts w:ascii="宋体" w:hAnsi="Calibri" w:cs="Calibri"/>
      <w:sz w:val="28"/>
      <w:szCs w:val="20"/>
    </w:rPr>
  </w:style>
  <w:style w:type="paragraph" w:customStyle="1" w:styleId="2995">
    <w:name w:val="xl44"/>
    <w:basedOn w:val="1"/>
    <w:qFormat/>
    <w:uiPriority w:val="0"/>
    <w:pPr>
      <w:widowControl/>
      <w:pBdr>
        <w:right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2996">
    <w:name w:val="內文1階"/>
    <w:basedOn w:val="1"/>
    <w:qFormat/>
    <w:uiPriority w:val="99"/>
    <w:pPr>
      <w:tabs>
        <w:tab w:val="left" w:pos="604"/>
      </w:tabs>
      <w:ind w:left="604" w:hanging="360"/>
      <w:jc w:val="left"/>
    </w:pPr>
    <w:rPr>
      <w:rFonts w:ascii="Calibri" w:hAnsi="Calibri" w:eastAsia="PMingLiU" w:cs="Calibri"/>
      <w:sz w:val="24"/>
      <w:szCs w:val="20"/>
      <w:lang w:eastAsia="zh-TW"/>
    </w:rPr>
  </w:style>
  <w:style w:type="paragraph" w:customStyle="1" w:styleId="2997">
    <w:name w:val="Style3"/>
    <w:basedOn w:val="3"/>
    <w:next w:val="2186"/>
    <w:qFormat/>
    <w:uiPriority w:val="99"/>
    <w:pPr>
      <w:keepLines/>
      <w:tabs>
        <w:tab w:val="left" w:pos="480"/>
      </w:tabs>
      <w:overflowPunct/>
      <w:adjustRightInd w:val="0"/>
      <w:snapToGrid/>
      <w:spacing w:before="340" w:after="120" w:line="480" w:lineRule="exact"/>
      <w:ind w:left="120" w:firstLine="0"/>
      <w:textAlignment w:val="baseline"/>
    </w:pPr>
    <w:rPr>
      <w:rFonts w:eastAsia="宋体"/>
      <w:b w:val="0"/>
      <w:bCs w:val="0"/>
      <w:color w:val="auto"/>
      <w:sz w:val="44"/>
      <w:szCs w:val="20"/>
    </w:rPr>
  </w:style>
  <w:style w:type="paragraph" w:customStyle="1" w:styleId="2998">
    <w:name w:val="wj12"/>
    <w:basedOn w:val="1"/>
    <w:qFormat/>
    <w:uiPriority w:val="99"/>
    <w:pPr>
      <w:widowControl/>
      <w:spacing w:before="100" w:beforeAutospacing="1" w:after="100" w:afterAutospacing="1"/>
      <w:jc w:val="left"/>
    </w:pPr>
    <w:rPr>
      <w:rFonts w:ascii="宋体" w:hAnsi="宋体" w:cs="宋体"/>
      <w:kern w:val="0"/>
      <w:sz w:val="18"/>
      <w:szCs w:val="18"/>
    </w:rPr>
  </w:style>
  <w:style w:type="paragraph" w:customStyle="1" w:styleId="2999">
    <w:name w:val="样式 标题 1 + (中文) 黑体 四号 居中 段前: 0 磅 段后: 0 磅 行距: 2 倍行距1"/>
    <w:basedOn w:val="3"/>
    <w:qFormat/>
    <w:uiPriority w:val="0"/>
    <w:pPr>
      <w:keepLines/>
      <w:tabs>
        <w:tab w:val="left" w:pos="432"/>
      </w:tabs>
      <w:overflowPunct/>
      <w:adjustRightInd w:val="0"/>
      <w:snapToGrid/>
      <w:spacing w:before="0" w:beforeLines="100" w:after="0" w:afterLines="100" w:line="480" w:lineRule="auto"/>
      <w:jc w:val="center"/>
    </w:pPr>
    <w:rPr>
      <w:rFonts w:ascii="仿宋_GB2312" w:eastAsia="仿宋_GB2312"/>
      <w:b w:val="0"/>
      <w:color w:val="auto"/>
      <w:sz w:val="36"/>
      <w:szCs w:val="36"/>
    </w:rPr>
  </w:style>
  <w:style w:type="paragraph" w:customStyle="1" w:styleId="3000">
    <w:name w:val="Char Char Char Char Char Char Char Char Char1 Char1"/>
    <w:basedOn w:val="1"/>
    <w:qFormat/>
    <w:uiPriority w:val="99"/>
    <w:rPr>
      <w:rFonts w:ascii="Calibri" w:hAnsi="Calibri" w:cs="Calibri"/>
      <w:sz w:val="24"/>
    </w:rPr>
  </w:style>
  <w:style w:type="paragraph" w:customStyle="1" w:styleId="3001">
    <w:name w:val="2.2.1"/>
    <w:basedOn w:val="6"/>
    <w:semiHidden/>
    <w:qFormat/>
    <w:uiPriority w:val="0"/>
    <w:pPr>
      <w:numPr>
        <w:ilvl w:val="0"/>
        <w:numId w:val="0"/>
      </w:numPr>
      <w:tabs>
        <w:tab w:val="left" w:pos="0"/>
      </w:tabs>
      <w:adjustRightInd w:val="0"/>
      <w:spacing w:before="0" w:after="0" w:line="480" w:lineRule="exact"/>
    </w:pPr>
    <w:rPr>
      <w:rFonts w:ascii="宋体" w:eastAsia="宋体" w:cs="Calibri"/>
      <w:bCs/>
      <w:color w:val="000000"/>
      <w:sz w:val="24"/>
      <w:szCs w:val="28"/>
      <w:lang w:val="en-US"/>
    </w:rPr>
  </w:style>
  <w:style w:type="paragraph" w:customStyle="1" w:styleId="3002">
    <w:name w:val="Char Char Char1 Char Char Char Char Char Char Char Char Char Char Char Char Char Char Char Char Char Char Char Char Char Char2"/>
    <w:basedOn w:val="1"/>
    <w:semiHidden/>
    <w:qFormat/>
    <w:uiPriority w:val="0"/>
    <w:rPr>
      <w:rFonts w:ascii="Calibri" w:hAnsi="Calibri" w:cs="Calibri"/>
      <w:szCs w:val="20"/>
    </w:rPr>
  </w:style>
  <w:style w:type="paragraph" w:customStyle="1" w:styleId="3003">
    <w:name w:val="Char4 Char Char Char Char Char Char Char Char Char Char Char Char Char Char Char Char Char1 Char Char Char Char Char Char1 Char Char Char Char Char Char Char Char Char Char Char Char Char Char Char Char Char Char Char1"/>
    <w:basedOn w:val="1"/>
    <w:semiHidden/>
    <w:qFormat/>
    <w:uiPriority w:val="0"/>
    <w:pPr>
      <w:spacing w:line="240" w:lineRule="exact"/>
      <w:ind w:firstLine="200" w:firstLineChars="200"/>
    </w:pPr>
    <w:rPr>
      <w:rFonts w:ascii="Calibri" w:hAnsi="Calibri" w:cs="Calibri"/>
      <w:sz w:val="28"/>
      <w:szCs w:val="28"/>
    </w:rPr>
  </w:style>
  <w:style w:type="paragraph" w:customStyle="1" w:styleId="3004">
    <w:name w:val="xl57"/>
    <w:basedOn w:val="1"/>
    <w:qFormat/>
    <w:uiPriority w:val="0"/>
    <w:pPr>
      <w:widowControl/>
      <w:spacing w:before="100" w:beforeAutospacing="1" w:after="100" w:afterAutospacing="1"/>
      <w:jc w:val="left"/>
    </w:pPr>
    <w:rPr>
      <w:rFonts w:ascii="Arial Unicode MS" w:hAnsi="Arial Unicode MS" w:cs="Calibri"/>
      <w:kern w:val="0"/>
      <w:sz w:val="12"/>
      <w:szCs w:val="12"/>
    </w:rPr>
  </w:style>
  <w:style w:type="paragraph" w:customStyle="1" w:styleId="3005">
    <w:name w:val="样式 标题 3标题 3 正式 + 非加宽量 / 紧缩量"/>
    <w:basedOn w:val="5"/>
    <w:semiHidden/>
    <w:qFormat/>
    <w:uiPriority w:val="0"/>
    <w:pPr>
      <w:numPr>
        <w:ilvl w:val="0"/>
        <w:numId w:val="0"/>
      </w:numPr>
      <w:tabs>
        <w:tab w:val="left" w:pos="0"/>
      </w:tabs>
      <w:adjustRightInd w:val="0"/>
      <w:snapToGrid w:val="0"/>
      <w:spacing w:before="120" w:after="120" w:line="360" w:lineRule="auto"/>
      <w:ind w:firstLine="200" w:firstLineChars="200"/>
    </w:pPr>
    <w:rPr>
      <w:rFonts w:ascii="Arial" w:hAnsi="Arial" w:cs="Calibri"/>
      <w:b w:val="0"/>
      <w:snapToGrid w:val="0"/>
      <w:kern w:val="0"/>
      <w:sz w:val="24"/>
      <w:szCs w:val="28"/>
      <w:lang w:val="en-US"/>
    </w:rPr>
  </w:style>
  <w:style w:type="paragraph" w:customStyle="1" w:styleId="3006">
    <w:name w:val="xl255"/>
    <w:basedOn w:val="1"/>
    <w:semiHidden/>
    <w:qFormat/>
    <w:uiPriority w:val="0"/>
    <w:pPr>
      <w:widowControl/>
      <w:pBdr>
        <w:top w:val="single" w:color="auto" w:sz="12" w:space="0"/>
        <w:bottom w:val="single" w:color="auto" w:sz="12" w:space="0"/>
        <w:right w:val="single" w:color="auto" w:sz="12" w:space="0"/>
      </w:pBdr>
      <w:spacing w:before="100" w:beforeAutospacing="1" w:after="100" w:afterAutospacing="1"/>
      <w:jc w:val="center"/>
    </w:pPr>
    <w:rPr>
      <w:rFonts w:ascii="Calibri" w:hAnsi="Calibri" w:cs="Calibri"/>
      <w:color w:val="00CCFF"/>
      <w:kern w:val="0"/>
      <w:sz w:val="18"/>
      <w:szCs w:val="18"/>
    </w:rPr>
  </w:style>
  <w:style w:type="paragraph" w:customStyle="1" w:styleId="3007">
    <w:name w:val="环评正文1"/>
    <w:basedOn w:val="754"/>
    <w:qFormat/>
    <w:uiPriority w:val="0"/>
    <w:pPr>
      <w:adjustRightInd/>
      <w:snapToGrid/>
      <w:spacing w:line="500" w:lineRule="exact"/>
      <w:ind w:firstLine="0" w:firstLineChars="0"/>
    </w:pPr>
    <w:rPr>
      <w:rFonts w:ascii="仿宋_GB2312" w:hAnsi="Calibri" w:eastAsia="仿宋_GB2312" w:cs="Calibri"/>
      <w:sz w:val="28"/>
      <w:szCs w:val="20"/>
    </w:rPr>
  </w:style>
  <w:style w:type="paragraph" w:customStyle="1" w:styleId="3008">
    <w:name w:val="reader-word-layer reader-word-s5-3"/>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009">
    <w:name w:val="标题06"/>
    <w:basedOn w:val="1"/>
    <w:qFormat/>
    <w:uiPriority w:val="99"/>
    <w:pPr>
      <w:adjustRightInd w:val="0"/>
      <w:spacing w:before="2040" w:line="400" w:lineRule="atLeast"/>
      <w:textAlignment w:val="baseline"/>
    </w:pPr>
    <w:rPr>
      <w:rFonts w:ascii="Calibri" w:hAnsi="Calibri" w:eastAsia="黑体" w:cs="Calibri"/>
      <w:spacing w:val="10"/>
      <w:kern w:val="0"/>
      <w:sz w:val="28"/>
    </w:rPr>
  </w:style>
  <w:style w:type="paragraph" w:customStyle="1" w:styleId="3010">
    <w:name w:val="Char Char Char Char Char Char Char Char Char Char Char Char Char Char Char Char Char Char Char Char Char Char Char Char Char Char11"/>
    <w:basedOn w:val="1"/>
    <w:qFormat/>
    <w:uiPriority w:val="99"/>
    <w:rPr>
      <w:rFonts w:ascii="Calibri" w:hAnsi="Calibri" w:cs="Calibri"/>
      <w:sz w:val="24"/>
    </w:rPr>
  </w:style>
  <w:style w:type="paragraph" w:customStyle="1" w:styleId="3011">
    <w:name w:val="xl161"/>
    <w:basedOn w:val="1"/>
    <w:qFormat/>
    <w:uiPriority w:val="99"/>
    <w:pPr>
      <w:widowControl/>
      <w:spacing w:before="100" w:beforeAutospacing="1" w:after="100" w:afterAutospacing="1"/>
      <w:jc w:val="center"/>
      <w:textAlignment w:val="center"/>
    </w:pPr>
    <w:rPr>
      <w:rFonts w:ascii="Arial Unicode MS" w:hAnsi="Arial Unicode MS" w:cs="Calibri"/>
      <w:kern w:val="0"/>
    </w:rPr>
  </w:style>
  <w:style w:type="paragraph" w:customStyle="1" w:styleId="3012">
    <w:name w:val="标题符"/>
    <w:basedOn w:val="1"/>
    <w:semiHidden/>
    <w:qFormat/>
    <w:uiPriority w:val="0"/>
    <w:pPr>
      <w:tabs>
        <w:tab w:val="left" w:pos="360"/>
      </w:tabs>
      <w:overflowPunct w:val="0"/>
      <w:snapToGrid w:val="0"/>
      <w:spacing w:line="480" w:lineRule="exact"/>
      <w:ind w:firstLine="560" w:firstLineChars="200"/>
    </w:pPr>
    <w:rPr>
      <w:rFonts w:ascii="Arial" w:hAnsi="Arial" w:eastAsia="仿宋_GB2312" w:cs="Calibri"/>
      <w:sz w:val="28"/>
      <w:szCs w:val="20"/>
    </w:rPr>
  </w:style>
  <w:style w:type="paragraph" w:customStyle="1" w:styleId="3013">
    <w:name w:val="文本框文字格式"/>
    <w:basedOn w:val="1"/>
    <w:qFormat/>
    <w:uiPriority w:val="99"/>
    <w:pPr>
      <w:jc w:val="center"/>
    </w:pPr>
    <w:rPr>
      <w:rFonts w:ascii="Calibri" w:hAnsi="Calibri" w:cs="Calibri"/>
      <w:sz w:val="24"/>
    </w:rPr>
  </w:style>
  <w:style w:type="paragraph" w:customStyle="1" w:styleId="3014">
    <w:name w:val="xl298"/>
    <w:basedOn w:val="1"/>
    <w:semiHidden/>
    <w:qFormat/>
    <w:uiPriority w:val="0"/>
    <w:pPr>
      <w:widowControl/>
      <w:pBdr>
        <w:top w:val="single" w:color="auto" w:sz="12" w:space="0"/>
        <w:left w:val="single" w:color="auto" w:sz="12" w:space="0"/>
        <w:bottom w:val="single" w:color="auto" w:sz="12"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015">
    <w:name w:val="xl318"/>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016">
    <w:name w:val="样式 样式 样式 标题 3 + 段前: 0.5 行 段后: 0.5 行 + 段前: 0.5 行 段后: 0.5 行 + 段前: ..."/>
    <w:basedOn w:val="1"/>
    <w:semiHidden/>
    <w:qFormat/>
    <w:uiPriority w:val="0"/>
    <w:pPr>
      <w:keepNext/>
      <w:keepLines/>
      <w:tabs>
        <w:tab w:val="left" w:pos="1740"/>
      </w:tabs>
      <w:adjustRightInd w:val="0"/>
      <w:snapToGrid w:val="0"/>
      <w:spacing w:before="50" w:beforeLines="50" w:after="50" w:afterLines="50" w:line="300" w:lineRule="auto"/>
      <w:ind w:left="1740" w:hanging="420"/>
      <w:outlineLvl w:val="2"/>
    </w:pPr>
    <w:rPr>
      <w:rFonts w:ascii="仿宋_GB2312" w:hAnsi="Calibri" w:eastAsia="仿宋_GB2312" w:cs="宋体"/>
      <w:b/>
      <w:bCs/>
      <w:sz w:val="28"/>
      <w:szCs w:val="20"/>
    </w:rPr>
  </w:style>
  <w:style w:type="paragraph" w:customStyle="1" w:styleId="3017">
    <w:name w:val="字元 字元 字元1"/>
    <w:basedOn w:val="1"/>
    <w:semiHidden/>
    <w:qFormat/>
    <w:uiPriority w:val="0"/>
    <w:rPr>
      <w:rFonts w:ascii="Calibri" w:hAnsi="Calibri" w:cs="Calibri"/>
      <w:szCs w:val="20"/>
    </w:rPr>
  </w:style>
  <w:style w:type="paragraph" w:customStyle="1" w:styleId="3018">
    <w:name w:val="样式 标题 4 + 宋体 非加粗 段前: 0 磅 段后: 0 磅 行距: 1.5 倍行距"/>
    <w:basedOn w:val="6"/>
    <w:semiHidden/>
    <w:qFormat/>
    <w:uiPriority w:val="0"/>
    <w:pPr>
      <w:numPr>
        <w:ilvl w:val="0"/>
        <w:numId w:val="0"/>
      </w:numPr>
      <w:adjustRightInd w:val="0"/>
      <w:spacing w:before="0" w:after="0" w:line="480" w:lineRule="exact"/>
      <w:ind w:firstLine="426" w:firstLineChars="152"/>
    </w:pPr>
    <w:rPr>
      <w:rFonts w:ascii="宋体" w:hAnsi="宋体" w:eastAsia="宋体" w:cs="宋体"/>
      <w:b w:val="0"/>
      <w:kern w:val="0"/>
      <w:lang w:val="en-US"/>
    </w:rPr>
  </w:style>
  <w:style w:type="paragraph" w:customStyle="1" w:styleId="3019">
    <w:name w:val="xl323"/>
    <w:basedOn w:val="1"/>
    <w:semiHidden/>
    <w:qFormat/>
    <w:uiPriority w:val="0"/>
    <w:pPr>
      <w:widowControl/>
      <w:pBdr>
        <w:left w:val="single" w:color="auto" w:sz="8" w:space="0"/>
        <w:right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3020">
    <w:name w:val="p17"/>
    <w:basedOn w:val="1"/>
    <w:qFormat/>
    <w:uiPriority w:val="99"/>
    <w:pPr>
      <w:widowControl/>
      <w:spacing w:line="300" w:lineRule="atLeast"/>
      <w:jc w:val="center"/>
    </w:pPr>
    <w:rPr>
      <w:rFonts w:ascii="宋体" w:hAnsi="宋体" w:cs="宋体"/>
      <w:kern w:val="0"/>
      <w:szCs w:val="21"/>
    </w:rPr>
  </w:style>
  <w:style w:type="paragraph" w:customStyle="1" w:styleId="3021">
    <w:name w:val="Char Char Char Char Char Char Char Char Char Char Char Char Char Char Char Char Char Char Char Char Char Char Char Char Char Char"/>
    <w:basedOn w:val="1"/>
    <w:semiHidden/>
    <w:qFormat/>
    <w:uiPriority w:val="0"/>
    <w:rPr>
      <w:rFonts w:ascii="Calibri" w:hAnsi="Calibri" w:cs="Calibri"/>
      <w:sz w:val="24"/>
    </w:rPr>
  </w:style>
  <w:style w:type="paragraph" w:customStyle="1" w:styleId="3022">
    <w:name w:val="样式 样式 标题 3H3标题 3 Char Char标题 3 Char条标题1.1.1标题 3zym + 仿宋_GB23121 ..."/>
    <w:basedOn w:val="1038"/>
    <w:qFormat/>
    <w:uiPriority w:val="99"/>
    <w:pPr>
      <w:tabs>
        <w:tab w:val="clear" w:pos="1080"/>
      </w:tabs>
      <w:ind w:right="240"/>
    </w:pPr>
    <w:rPr>
      <w:rFonts w:cs="宋体"/>
      <w:szCs w:val="20"/>
    </w:rPr>
  </w:style>
  <w:style w:type="paragraph" w:customStyle="1" w:styleId="3023">
    <w:name w:val="文本匡小五号 Char Char"/>
    <w:qFormat/>
    <w:uiPriority w:val="99"/>
    <w:pPr>
      <w:jc w:val="center"/>
    </w:pPr>
    <w:rPr>
      <w:rFonts w:ascii="Calibri" w:hAnsi="Calibri" w:eastAsia="仿宋_GB2312" w:cs="Calibri"/>
      <w:sz w:val="18"/>
      <w:szCs w:val="24"/>
      <w:lang w:val="en-US" w:eastAsia="zh-CN" w:bidi="ar-SA"/>
    </w:rPr>
  </w:style>
  <w:style w:type="paragraph" w:customStyle="1" w:styleId="3024">
    <w:name w:val="Company Name One"/>
    <w:basedOn w:val="2723"/>
    <w:next w:val="1"/>
    <w:semiHidden/>
    <w:qFormat/>
    <w:uiPriority w:val="0"/>
  </w:style>
  <w:style w:type="paragraph" w:customStyle="1" w:styleId="3025">
    <w:name w:val="居中正文"/>
    <w:basedOn w:val="88"/>
    <w:qFormat/>
    <w:uiPriority w:val="99"/>
    <w:pPr>
      <w:widowControl w:val="0"/>
      <w:adjustRightInd w:val="0"/>
      <w:spacing w:before="120" w:after="0" w:line="360" w:lineRule="auto"/>
      <w:ind w:firstLine="0" w:firstLineChars="0"/>
      <w:jc w:val="center"/>
    </w:pPr>
    <w:rPr>
      <w:rFonts w:hAnsi="Calibri" w:cs="Calibri"/>
      <w:kern w:val="28"/>
      <w:sz w:val="24"/>
      <w:szCs w:val="24"/>
    </w:rPr>
  </w:style>
  <w:style w:type="paragraph" w:customStyle="1" w:styleId="3026">
    <w:name w:val="样式 样式 标题2.2 + 段前: 0.5 行1"/>
    <w:basedOn w:val="2933"/>
    <w:semiHidden/>
    <w:qFormat/>
    <w:uiPriority w:val="0"/>
    <w:pPr>
      <w:tabs>
        <w:tab w:val="left" w:pos="0"/>
      </w:tabs>
      <w:spacing w:before="156"/>
      <w:ind w:left="1418" w:hanging="567"/>
    </w:pPr>
  </w:style>
  <w:style w:type="paragraph" w:customStyle="1" w:styleId="3027">
    <w:name w:val="标格文字"/>
    <w:basedOn w:val="1"/>
    <w:next w:val="23"/>
    <w:semiHidden/>
    <w:qFormat/>
    <w:uiPriority w:val="0"/>
    <w:pPr>
      <w:spacing w:before="60" w:after="60"/>
    </w:pPr>
    <w:rPr>
      <w:rFonts w:ascii="@黑体" w:hAnsi="@黑体" w:eastAsia="黑体" w:cs="Calibri"/>
      <w:szCs w:val="20"/>
    </w:rPr>
  </w:style>
  <w:style w:type="paragraph" w:customStyle="1" w:styleId="3028">
    <w:name w:val="样式 标题 3 + 加粗"/>
    <w:basedOn w:val="5"/>
    <w:semiHidden/>
    <w:qFormat/>
    <w:uiPriority w:val="0"/>
    <w:pPr>
      <w:numPr>
        <w:ilvl w:val="0"/>
        <w:numId w:val="0"/>
      </w:numPr>
      <w:tabs>
        <w:tab w:val="left" w:pos="737"/>
      </w:tabs>
      <w:adjustRightInd w:val="0"/>
      <w:snapToGrid w:val="0"/>
      <w:spacing w:line="312" w:lineRule="auto"/>
      <w:ind w:left="397" w:hanging="397"/>
    </w:pPr>
    <w:rPr>
      <w:rFonts w:ascii="仿宋_GB2312" w:eastAsia="仿宋_GB2312" w:cs="Calibri"/>
      <w:b w:val="0"/>
      <w:snapToGrid w:val="0"/>
      <w:sz w:val="24"/>
      <w:lang w:val="en-US"/>
    </w:rPr>
  </w:style>
  <w:style w:type="paragraph" w:customStyle="1" w:styleId="3029">
    <w:name w:val="样式2.5.1"/>
    <w:basedOn w:val="1"/>
    <w:semiHidden/>
    <w:qFormat/>
    <w:uiPriority w:val="0"/>
    <w:pPr>
      <w:spacing w:before="50" w:beforeLines="50" w:line="360" w:lineRule="auto"/>
      <w:outlineLvl w:val="2"/>
    </w:pPr>
    <w:rPr>
      <w:rFonts w:ascii="Calibri" w:hAnsi="Calibri" w:cs="Calibri"/>
      <w:b/>
      <w:bCs/>
      <w:color w:val="000000"/>
      <w:sz w:val="28"/>
      <w:szCs w:val="28"/>
    </w:rPr>
  </w:style>
  <w:style w:type="paragraph" w:customStyle="1" w:styleId="3030">
    <w:name w:val="xl312"/>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031">
    <w:name w:val="Char Char Char Char11"/>
    <w:basedOn w:val="1"/>
    <w:qFormat/>
    <w:uiPriority w:val="0"/>
    <w:rPr>
      <w:rFonts w:ascii="Calibri" w:hAnsi="Calibri" w:cs="Calibri"/>
      <w:sz w:val="28"/>
    </w:rPr>
  </w:style>
  <w:style w:type="paragraph" w:customStyle="1" w:styleId="3032">
    <w:name w:val="Char Char Char1 Char Char Char Char Char Char Char Char Char Char Char Char Char Char Char1 Char Char Char Char Char Char Char Char Char Char Char Char Char Char1"/>
    <w:basedOn w:val="1"/>
    <w:semiHidden/>
    <w:qFormat/>
    <w:uiPriority w:val="0"/>
    <w:rPr>
      <w:rFonts w:ascii="Calibri" w:hAnsi="Calibri" w:cs="Calibri"/>
      <w:szCs w:val="21"/>
    </w:rPr>
  </w:style>
  <w:style w:type="paragraph" w:customStyle="1" w:styleId="3033">
    <w:name w:val="样式 宋体 小四 段前: 0.5 磅"/>
    <w:basedOn w:val="1"/>
    <w:qFormat/>
    <w:uiPriority w:val="99"/>
    <w:pPr>
      <w:widowControl/>
      <w:spacing w:before="120" w:line="360" w:lineRule="auto"/>
      <w:ind w:firstLine="257" w:firstLineChars="257"/>
      <w:jc w:val="left"/>
    </w:pPr>
    <w:rPr>
      <w:rFonts w:ascii="宋体" w:hAnsi="宋体" w:cs="宋体"/>
      <w:kern w:val="0"/>
      <w:sz w:val="24"/>
      <w:szCs w:val="20"/>
    </w:rPr>
  </w:style>
  <w:style w:type="paragraph" w:customStyle="1" w:styleId="3034">
    <w:name w:val="xl307"/>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b/>
      <w:bCs/>
      <w:color w:val="993300"/>
      <w:kern w:val="0"/>
      <w:sz w:val="18"/>
      <w:szCs w:val="18"/>
    </w:rPr>
  </w:style>
  <w:style w:type="paragraph" w:customStyle="1" w:styleId="3035">
    <w:name w:val="样式 标题 3 + 左侧:  2 字符 段前: 0.5 行1"/>
    <w:basedOn w:val="5"/>
    <w:qFormat/>
    <w:uiPriority w:val="99"/>
    <w:pPr>
      <w:keepNext w:val="0"/>
      <w:widowControl/>
      <w:numPr>
        <w:ilvl w:val="0"/>
        <w:numId w:val="0"/>
      </w:numPr>
      <w:adjustRightInd w:val="0"/>
      <w:spacing w:before="0" w:after="0" w:line="580" w:lineRule="exact"/>
    </w:pPr>
    <w:rPr>
      <w:rFonts w:ascii="黑体" w:cs="Calibri"/>
      <w:bCs w:val="0"/>
      <w:spacing w:val="-2"/>
      <w:sz w:val="24"/>
      <w:szCs w:val="20"/>
      <w:lang w:val="en-US"/>
    </w:rPr>
  </w:style>
  <w:style w:type="paragraph" w:customStyle="1" w:styleId="3036">
    <w:name w:val="样式 (中文) 仿宋_GB2312 四号 首行缩进:  0.98 厘米 行距: 固定值 25 磅"/>
    <w:basedOn w:val="1"/>
    <w:semiHidden/>
    <w:qFormat/>
    <w:uiPriority w:val="0"/>
    <w:pPr>
      <w:widowControl/>
      <w:spacing w:line="360" w:lineRule="auto"/>
      <w:ind w:firstLine="556"/>
      <w:jc w:val="left"/>
    </w:pPr>
    <w:rPr>
      <w:rFonts w:ascii="Calibri" w:hAnsi="Calibri" w:cs="Calibri"/>
      <w:kern w:val="0"/>
      <w:sz w:val="24"/>
      <w:szCs w:val="20"/>
    </w:rPr>
  </w:style>
  <w:style w:type="paragraph" w:customStyle="1" w:styleId="3037">
    <w:name w:val="样式11.5.1"/>
    <w:basedOn w:val="1"/>
    <w:semiHidden/>
    <w:qFormat/>
    <w:uiPriority w:val="0"/>
    <w:pPr>
      <w:numPr>
        <w:ilvl w:val="2"/>
        <w:numId w:val="16"/>
      </w:numPr>
      <w:tabs>
        <w:tab w:val="left" w:pos="0"/>
      </w:tabs>
      <w:spacing w:before="50" w:beforeLines="50" w:line="360" w:lineRule="auto"/>
      <w:outlineLvl w:val="2"/>
    </w:pPr>
    <w:rPr>
      <w:rFonts w:ascii="Calibri" w:hAnsi="Calibri" w:cs="Calibri"/>
      <w:b/>
      <w:sz w:val="28"/>
    </w:rPr>
  </w:style>
  <w:style w:type="paragraph" w:customStyle="1" w:styleId="3038">
    <w:name w:val="Char Char Char Char Char Char Char Char Char Char Char Char1 Char Char Char Char Char Char Char Char Char"/>
    <w:basedOn w:val="1"/>
    <w:semiHidden/>
    <w:qFormat/>
    <w:uiPriority w:val="0"/>
    <w:pPr>
      <w:spacing w:line="240" w:lineRule="exact"/>
      <w:ind w:firstLine="200" w:firstLineChars="200"/>
    </w:pPr>
    <w:rPr>
      <w:rFonts w:ascii="Calibri" w:hAnsi="Calibri" w:cs="Calibri"/>
      <w:sz w:val="28"/>
      <w:szCs w:val="28"/>
    </w:rPr>
  </w:style>
  <w:style w:type="paragraph" w:customStyle="1" w:styleId="3039">
    <w:name w:val="普通表格1"/>
    <w:basedOn w:val="47"/>
    <w:qFormat/>
    <w:uiPriority w:val="0"/>
    <w:pPr>
      <w:snapToGrid w:val="0"/>
      <w:spacing w:line="380" w:lineRule="exact"/>
      <w:ind w:firstLine="0" w:firstLineChars="0"/>
    </w:pPr>
    <w:rPr>
      <w:rFonts w:ascii="Times New Roman" w:hAnsi="Times New Roman" w:cs="Calibri"/>
      <w:sz w:val="24"/>
      <w:szCs w:val="20"/>
      <w:lang w:val="en-US"/>
    </w:rPr>
  </w:style>
  <w:style w:type="paragraph" w:customStyle="1" w:styleId="3040">
    <w:name w:val="xl110"/>
    <w:basedOn w:val="1"/>
    <w:qFormat/>
    <w:uiPriority w:val="0"/>
    <w:pPr>
      <w:widowControl/>
      <w:pBdr>
        <w:top w:val="single" w:color="auto" w:sz="12" w:space="0"/>
        <w:bottom w:val="single" w:color="auto" w:sz="8" w:space="0"/>
      </w:pBdr>
      <w:spacing w:before="100" w:beforeAutospacing="1" w:after="100" w:afterAutospacing="1"/>
      <w:jc w:val="center"/>
      <w:textAlignment w:val="center"/>
    </w:pPr>
    <w:rPr>
      <w:rFonts w:ascii="Arial Unicode MS" w:hAnsi="Arial Unicode MS" w:cs="Calibri"/>
      <w:kern w:val="0"/>
    </w:rPr>
  </w:style>
  <w:style w:type="paragraph" w:customStyle="1" w:styleId="3041">
    <w:name w:val="样式11.1.1.1"/>
    <w:semiHidden/>
    <w:qFormat/>
    <w:uiPriority w:val="0"/>
    <w:pPr>
      <w:numPr>
        <w:ilvl w:val="3"/>
        <w:numId w:val="17"/>
      </w:numPr>
      <w:tabs>
        <w:tab w:val="left" w:pos="0"/>
      </w:tabs>
      <w:outlineLvl w:val="3"/>
    </w:pPr>
    <w:rPr>
      <w:rFonts w:ascii="Times New Roman" w:hAnsi="Times New Roman" w:eastAsia="宋体" w:cs="Calibri"/>
      <w:sz w:val="24"/>
      <w:lang w:val="en-US" w:eastAsia="zh-CN" w:bidi="ar-SA"/>
    </w:rPr>
  </w:style>
  <w:style w:type="paragraph" w:customStyle="1" w:styleId="3042">
    <w:name w:val="样式11.1.1"/>
    <w:basedOn w:val="1"/>
    <w:semiHidden/>
    <w:qFormat/>
    <w:uiPriority w:val="0"/>
    <w:pPr>
      <w:numPr>
        <w:ilvl w:val="2"/>
        <w:numId w:val="17"/>
      </w:numPr>
      <w:tabs>
        <w:tab w:val="left" w:pos="0"/>
      </w:tabs>
      <w:spacing w:before="50" w:beforeLines="50" w:line="360" w:lineRule="auto"/>
      <w:outlineLvl w:val="2"/>
    </w:pPr>
    <w:rPr>
      <w:rFonts w:ascii="Calibri" w:hAnsi="Calibri" w:cs="Calibri"/>
      <w:b/>
      <w:spacing w:val="-10"/>
      <w:sz w:val="28"/>
    </w:rPr>
  </w:style>
  <w:style w:type="paragraph" w:customStyle="1" w:styleId="3043">
    <w:name w:val="正方"/>
    <w:basedOn w:val="1"/>
    <w:semiHidden/>
    <w:qFormat/>
    <w:uiPriority w:val="0"/>
    <w:pPr>
      <w:tabs>
        <w:tab w:val="left" w:pos="240"/>
      </w:tabs>
      <w:autoSpaceDE w:val="0"/>
      <w:autoSpaceDN w:val="0"/>
      <w:adjustRightInd w:val="0"/>
      <w:spacing w:line="360" w:lineRule="auto"/>
    </w:pPr>
    <w:rPr>
      <w:rFonts w:ascii="Bookman Old Style" w:hAnsi="Bookman Old Style" w:cs="Arial"/>
      <w:kern w:val="0"/>
      <w:sz w:val="24"/>
      <w:szCs w:val="20"/>
    </w:rPr>
  </w:style>
  <w:style w:type="paragraph" w:customStyle="1" w:styleId="3044">
    <w:name w:val="xl325"/>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993300"/>
      <w:kern w:val="0"/>
      <w:sz w:val="18"/>
      <w:szCs w:val="18"/>
    </w:rPr>
  </w:style>
  <w:style w:type="paragraph" w:customStyle="1" w:styleId="3045">
    <w:name w:val="Print- From: To: Subject: Date:"/>
    <w:basedOn w:val="1"/>
    <w:qFormat/>
    <w:uiPriority w:val="0"/>
    <w:pPr>
      <w:pBdr>
        <w:left w:val="single" w:color="auto" w:sz="18" w:space="1"/>
      </w:pBdr>
      <w:adjustRightInd w:val="0"/>
      <w:spacing w:line="360" w:lineRule="atLeast"/>
      <w:jc w:val="left"/>
      <w:textAlignment w:val="baseline"/>
    </w:pPr>
    <w:rPr>
      <w:rFonts w:ascii="Calibri" w:hAnsi="Calibri" w:eastAsia="PMingLiU" w:cs="Calibri"/>
      <w:kern w:val="0"/>
      <w:sz w:val="24"/>
      <w:szCs w:val="20"/>
      <w:lang w:eastAsia="zh-TW"/>
    </w:rPr>
  </w:style>
  <w:style w:type="paragraph" w:customStyle="1" w:styleId="3046">
    <w:name w:val="Char Char1 Char Char Char Char Char Char Char Char Char Char Char Char Char Char Char Char Char Char2"/>
    <w:basedOn w:val="1"/>
    <w:semiHidden/>
    <w:qFormat/>
    <w:uiPriority w:val="0"/>
    <w:pPr>
      <w:spacing w:line="360" w:lineRule="auto"/>
      <w:ind w:firstLine="200" w:firstLineChars="200"/>
    </w:pPr>
    <w:rPr>
      <w:rFonts w:ascii="宋体" w:hAnsi="宋体" w:cs="宋体"/>
      <w:sz w:val="24"/>
    </w:rPr>
  </w:style>
  <w:style w:type="paragraph" w:customStyle="1" w:styleId="3047">
    <w:name w:val="xl143"/>
    <w:basedOn w:val="1"/>
    <w:qFormat/>
    <w:uiPriority w:val="99"/>
    <w:pPr>
      <w:widowControl/>
      <w:pBdr>
        <w:top w:val="single" w:color="auto" w:sz="8" w:space="0"/>
        <w:left w:val="single" w:color="auto" w:sz="4" w:space="0"/>
        <w:bottom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048">
    <w:name w:val="Char Char Char Char Char Char Char Char Char Char Char Char Char Char Char Char Char Char Char Char Char Char Char Char Char Char Char Char Char Char Char Char Char1 Char Char Char Char Char Char3"/>
    <w:basedOn w:val="1"/>
    <w:semiHidden/>
    <w:qFormat/>
    <w:uiPriority w:val="0"/>
    <w:rPr>
      <w:rFonts w:ascii="Calibri" w:hAnsi="Calibri" w:cs="Calibri"/>
      <w:sz w:val="24"/>
    </w:rPr>
  </w:style>
  <w:style w:type="paragraph" w:customStyle="1" w:styleId="3049">
    <w:name w:val="列出段落13"/>
    <w:basedOn w:val="1"/>
    <w:qFormat/>
    <w:uiPriority w:val="99"/>
    <w:pPr>
      <w:ind w:firstLine="420" w:firstLineChars="200"/>
    </w:pPr>
    <w:rPr>
      <w:rFonts w:ascii="Calibri" w:hAnsi="Calibri" w:cs="Calibri"/>
    </w:rPr>
  </w:style>
  <w:style w:type="paragraph" w:customStyle="1" w:styleId="3050">
    <w:name w:val="1标题2级"/>
    <w:basedOn w:val="1"/>
    <w:qFormat/>
    <w:uiPriority w:val="99"/>
    <w:pPr>
      <w:keepNext/>
      <w:snapToGrid w:val="0"/>
      <w:spacing w:line="420" w:lineRule="auto"/>
      <w:outlineLvl w:val="1"/>
    </w:pPr>
    <w:rPr>
      <w:rFonts w:ascii="Calibri" w:hAnsi="Calibri" w:eastAsia="黑体" w:cs="Calibri"/>
      <w:b/>
      <w:sz w:val="28"/>
    </w:rPr>
  </w:style>
  <w:style w:type="paragraph" w:customStyle="1" w:styleId="3051">
    <w:name w:val="xl259"/>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052">
    <w:name w:val="Char2 Char Char Char Char Char Char Char Char Char Char Char Char"/>
    <w:basedOn w:val="1"/>
    <w:semiHidden/>
    <w:qFormat/>
    <w:uiPriority w:val="0"/>
    <w:rPr>
      <w:rFonts w:ascii="Calibri" w:hAnsi="Calibri" w:cs="Calibri"/>
      <w:sz w:val="24"/>
    </w:rPr>
  </w:style>
  <w:style w:type="paragraph" w:customStyle="1" w:styleId="3053">
    <w:name w:val="纯文本4"/>
    <w:basedOn w:val="1"/>
    <w:qFormat/>
    <w:uiPriority w:val="99"/>
    <w:pPr>
      <w:adjustRightInd w:val="0"/>
    </w:pPr>
    <w:rPr>
      <w:rFonts w:ascii="宋体" w:hAnsi="Courier New" w:cs="Calibri"/>
      <w:szCs w:val="20"/>
    </w:rPr>
  </w:style>
  <w:style w:type="paragraph" w:customStyle="1" w:styleId="3054">
    <w:name w:val="流程图"/>
    <w:basedOn w:val="1"/>
    <w:qFormat/>
    <w:uiPriority w:val="99"/>
    <w:pPr>
      <w:tabs>
        <w:tab w:val="left" w:pos="0"/>
      </w:tabs>
      <w:autoSpaceDE w:val="0"/>
      <w:autoSpaceDN w:val="0"/>
      <w:adjustRightInd w:val="0"/>
      <w:spacing w:line="240" w:lineRule="atLeast"/>
      <w:jc w:val="center"/>
      <w:textAlignment w:val="bottom"/>
    </w:pPr>
    <w:rPr>
      <w:rFonts w:ascii="宋体" w:hAnsi="Calibri" w:cs="宋体"/>
      <w:szCs w:val="21"/>
    </w:rPr>
  </w:style>
  <w:style w:type="paragraph" w:customStyle="1" w:styleId="3055">
    <w:name w:val="xl241"/>
    <w:basedOn w:val="1"/>
    <w:qFormat/>
    <w:uiPriority w:val="0"/>
    <w:pPr>
      <w:widowControl/>
      <w:pBdr>
        <w:top w:val="single" w:color="auto" w:sz="8" w:space="0"/>
        <w:left w:val="single" w:color="auto" w:sz="12"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3056">
    <w:name w:val="样式 样式 样式 样式 样式4 + 首行缩进:  0.75 字符 + 首行缩进:  2 字符 + 首行缩进:  2 字符 + 首..."/>
    <w:basedOn w:val="1"/>
    <w:qFormat/>
    <w:uiPriority w:val="99"/>
    <w:pPr>
      <w:adjustRightInd w:val="0"/>
      <w:snapToGrid w:val="0"/>
      <w:spacing w:line="240" w:lineRule="atLeast"/>
      <w:ind w:firstLine="480" w:firstLineChars="200"/>
      <w:jc w:val="left"/>
    </w:pPr>
    <w:rPr>
      <w:rFonts w:ascii="Calibri" w:hAnsi="Calibri" w:cs="Calibri"/>
      <w:sz w:val="28"/>
      <w:szCs w:val="28"/>
    </w:rPr>
  </w:style>
  <w:style w:type="paragraph" w:customStyle="1" w:styleId="3057">
    <w:name w:val="Char Char Char Char Char Char Char Char Char Char Char Char Char Char Char Char Char Char Char2"/>
    <w:basedOn w:val="1"/>
    <w:semiHidden/>
    <w:qFormat/>
    <w:uiPriority w:val="0"/>
    <w:rPr>
      <w:rFonts w:ascii="Calibri" w:hAnsi="Calibri" w:cs="Calibri"/>
      <w:sz w:val="24"/>
    </w:rPr>
  </w:style>
  <w:style w:type="paragraph" w:customStyle="1" w:styleId="3058">
    <w:name w:val="y表格"/>
    <w:basedOn w:val="36"/>
    <w:qFormat/>
    <w:uiPriority w:val="99"/>
    <w:pPr>
      <w:adjustRightInd w:val="0"/>
      <w:spacing w:before="0" w:after="0" w:line="240" w:lineRule="auto"/>
      <w:ind w:right="0"/>
      <w:jc w:val="center"/>
      <w:textAlignment w:val="baseline"/>
    </w:pPr>
    <w:rPr>
      <w:rFonts w:hint="eastAsia" w:ascii="宋体" w:hAnsi="宋体" w:cs="Calibri"/>
      <w:sz w:val="24"/>
      <w:lang w:val="en-US"/>
    </w:rPr>
  </w:style>
  <w:style w:type="paragraph" w:customStyle="1" w:styleId="3059">
    <w:name w:val="Char Char Char Char Char Char Char Char Char Char Char Char Char Char Char Char"/>
    <w:basedOn w:val="1"/>
    <w:qFormat/>
    <w:uiPriority w:val="0"/>
    <w:rPr>
      <w:rFonts w:ascii="Calibri" w:hAnsi="Calibri" w:cs="Calibri"/>
    </w:rPr>
  </w:style>
  <w:style w:type="paragraph" w:customStyle="1" w:styleId="3060">
    <w:name w:val="目录 7 Char Char"/>
    <w:basedOn w:val="1"/>
    <w:next w:val="1"/>
    <w:qFormat/>
    <w:uiPriority w:val="0"/>
    <w:pPr>
      <w:spacing w:line="351" w:lineRule="atLeast"/>
      <w:ind w:left="1258" w:firstLine="419"/>
      <w:jc w:val="left"/>
    </w:pPr>
    <w:rPr>
      <w:rFonts w:hint="eastAsia" w:ascii="Calibri" w:hAnsi="Calibri" w:cs="Calibri"/>
      <w:szCs w:val="20"/>
    </w:rPr>
  </w:style>
  <w:style w:type="paragraph" w:customStyle="1" w:styleId="3061">
    <w:name w:val="Char Char Char21"/>
    <w:basedOn w:val="1"/>
    <w:semiHidden/>
    <w:qFormat/>
    <w:uiPriority w:val="0"/>
    <w:rPr>
      <w:rFonts w:ascii="Calibri" w:hAnsi="Calibri" w:cs="Calibri"/>
      <w:sz w:val="24"/>
    </w:rPr>
  </w:style>
  <w:style w:type="paragraph" w:customStyle="1" w:styleId="3062">
    <w:name w:val="标题4新"/>
    <w:basedOn w:val="37"/>
    <w:link w:val="3063"/>
    <w:qFormat/>
    <w:uiPriority w:val="99"/>
    <w:pPr>
      <w:spacing w:after="0" w:line="560" w:lineRule="exact"/>
      <w:ind w:left="0" w:leftChars="0"/>
      <w:outlineLvl w:val="3"/>
    </w:pPr>
    <w:rPr>
      <w:rFonts w:cs="Calibri"/>
      <w:bCs/>
      <w:sz w:val="28"/>
      <w:szCs w:val="24"/>
      <w:lang w:val="en-US"/>
    </w:rPr>
  </w:style>
  <w:style w:type="character" w:customStyle="1" w:styleId="3063">
    <w:name w:val="标题4新 Char Char"/>
    <w:link w:val="3062"/>
    <w:qFormat/>
    <w:uiPriority w:val="99"/>
    <w:rPr>
      <w:rFonts w:cs="Calibri"/>
      <w:bCs/>
      <w:sz w:val="28"/>
      <w:szCs w:val="24"/>
    </w:rPr>
  </w:style>
  <w:style w:type="paragraph" w:customStyle="1" w:styleId="3064">
    <w:name w:val="Char2 Char Char Char Char Char2"/>
    <w:basedOn w:val="1"/>
    <w:semiHidden/>
    <w:qFormat/>
    <w:uiPriority w:val="0"/>
    <w:rPr>
      <w:rFonts w:ascii="Calibri" w:hAnsi="Calibri" w:cs="Calibri"/>
      <w:sz w:val="24"/>
    </w:rPr>
  </w:style>
  <w:style w:type="paragraph" w:customStyle="1" w:styleId="3065">
    <w:name w:val="Char4 Char Char Char Char Char Char Char Char Char Char Char Char Char Char Char Char Char1 Char Char Char Char"/>
    <w:basedOn w:val="1"/>
    <w:qFormat/>
    <w:uiPriority w:val="0"/>
    <w:pPr>
      <w:spacing w:line="240" w:lineRule="exact"/>
      <w:ind w:firstLine="200" w:firstLineChars="200"/>
    </w:pPr>
    <w:rPr>
      <w:rFonts w:ascii="Calibri" w:hAnsi="Calibri" w:cs="Calibri"/>
      <w:sz w:val="28"/>
      <w:szCs w:val="28"/>
    </w:rPr>
  </w:style>
  <w:style w:type="paragraph" w:customStyle="1" w:styleId="3066">
    <w:name w:val="Char Char 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067">
    <w:name w:val="xl52"/>
    <w:basedOn w:val="1"/>
    <w:qFormat/>
    <w:uiPriority w:val="0"/>
    <w:pPr>
      <w:widowControl/>
      <w:pBdr>
        <w:top w:val="single" w:color="auto" w:sz="12" w:space="0"/>
        <w:left w:val="single" w:color="auto" w:sz="12" w:space="0"/>
        <w:right w:val="single" w:color="auto" w:sz="4" w:space="0"/>
      </w:pBdr>
      <w:spacing w:before="100" w:beforeAutospacing="1" w:after="100" w:afterAutospacing="1"/>
      <w:jc w:val="left"/>
    </w:pPr>
    <w:rPr>
      <w:rFonts w:ascii="Arial Unicode MS" w:hAnsi="Arial Unicode MS" w:cs="Calibri"/>
      <w:kern w:val="0"/>
      <w:sz w:val="16"/>
      <w:szCs w:val="16"/>
    </w:rPr>
  </w:style>
  <w:style w:type="paragraph" w:customStyle="1" w:styleId="3068">
    <w:name w:val="默认段落字体 Para Char Char Char Char Char Char"/>
    <w:basedOn w:val="1"/>
    <w:qFormat/>
    <w:uiPriority w:val="99"/>
    <w:rPr>
      <w:rFonts w:ascii="Calibri" w:hAnsi="Calibri" w:cs="Calibri"/>
      <w:sz w:val="24"/>
    </w:rPr>
  </w:style>
  <w:style w:type="paragraph" w:customStyle="1" w:styleId="3069">
    <w:name w:val="表格字体"/>
    <w:basedOn w:val="1"/>
    <w:link w:val="3070"/>
    <w:qFormat/>
    <w:uiPriority w:val="99"/>
    <w:pPr>
      <w:spacing w:line="360" w:lineRule="auto"/>
      <w:jc w:val="center"/>
    </w:pPr>
    <w:rPr>
      <w:rFonts w:ascii="Calibri" w:hAnsi="Calibri" w:cs="Calibri"/>
      <w:sz w:val="24"/>
      <w:szCs w:val="20"/>
    </w:rPr>
  </w:style>
  <w:style w:type="character" w:customStyle="1" w:styleId="3070">
    <w:name w:val="表格字体 Char Char"/>
    <w:link w:val="3069"/>
    <w:qFormat/>
    <w:uiPriority w:val="99"/>
    <w:rPr>
      <w:rFonts w:ascii="Calibri" w:hAnsi="Calibri" w:cs="Calibri"/>
      <w:kern w:val="2"/>
      <w:sz w:val="24"/>
    </w:rPr>
  </w:style>
  <w:style w:type="paragraph" w:customStyle="1" w:styleId="3071">
    <w:name w:val="1 Char Char Char Char Char Char Char Char Char Char Char Char Char Char Char Char Char Char Char"/>
    <w:basedOn w:val="1"/>
    <w:qFormat/>
    <w:uiPriority w:val="0"/>
    <w:pPr>
      <w:adjustRightInd w:val="0"/>
      <w:spacing w:line="360" w:lineRule="auto"/>
    </w:pPr>
    <w:rPr>
      <w:rFonts w:ascii="Calibri" w:hAnsi="Calibri" w:cs="Calibri"/>
      <w:kern w:val="0"/>
      <w:sz w:val="24"/>
      <w:szCs w:val="20"/>
    </w:rPr>
  </w:style>
  <w:style w:type="paragraph" w:customStyle="1" w:styleId="3072">
    <w:name w:val="Char Char Char Char Char1 Char"/>
    <w:basedOn w:val="1"/>
    <w:semiHidden/>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073">
    <w:name w:val="InstÀÀll5"/>
    <w:qFormat/>
    <w:uiPriority w:val="99"/>
    <w:pPr>
      <w:tabs>
        <w:tab w:val="left" w:pos="-720"/>
      </w:tabs>
      <w:suppressAutoHyphens/>
      <w:jc w:val="both"/>
    </w:pPr>
    <w:rPr>
      <w:rFonts w:ascii="Courier" w:hAnsi="Courier" w:eastAsia="宋体" w:cs="Calibri"/>
      <w:spacing w:val="-3"/>
      <w:sz w:val="24"/>
      <w:lang w:val="en-US" w:eastAsia="sv-SE" w:bidi="ar-SA"/>
    </w:rPr>
  </w:style>
  <w:style w:type="paragraph" w:customStyle="1" w:styleId="3074">
    <w:name w:val="Char Char Char Char Char Char6"/>
    <w:basedOn w:val="1"/>
    <w:link w:val="3075"/>
    <w:semiHidden/>
    <w:qFormat/>
    <w:uiPriority w:val="0"/>
    <w:rPr>
      <w:rFonts w:ascii="Calibri" w:hAnsi="Calibri" w:cs="Calibri"/>
      <w:sz w:val="24"/>
    </w:rPr>
  </w:style>
  <w:style w:type="character" w:customStyle="1" w:styleId="3075">
    <w:name w:val="Char Char Char Char Char Char Char12"/>
    <w:link w:val="3074"/>
    <w:semiHidden/>
    <w:qFormat/>
    <w:uiPriority w:val="0"/>
    <w:rPr>
      <w:rFonts w:ascii="Calibri" w:hAnsi="Calibri" w:cs="Calibri"/>
      <w:kern w:val="2"/>
      <w:sz w:val="24"/>
      <w:szCs w:val="24"/>
    </w:rPr>
  </w:style>
  <w:style w:type="paragraph" w:customStyle="1" w:styleId="3076">
    <w:name w:val="表文_L5"/>
    <w:qFormat/>
    <w:uiPriority w:val="99"/>
    <w:rPr>
      <w:rFonts w:ascii="Garamond" w:hAnsi="Garamond" w:eastAsia="楷体_GB2312" w:cs="Calibri"/>
      <w:bCs/>
      <w:kern w:val="2"/>
      <w:sz w:val="21"/>
      <w:szCs w:val="21"/>
      <w:lang w:val="en-US" w:eastAsia="zh-CN" w:bidi="ar-SA"/>
    </w:rPr>
  </w:style>
  <w:style w:type="paragraph" w:customStyle="1" w:styleId="3077">
    <w:name w:val="日期15"/>
    <w:basedOn w:val="1"/>
    <w:next w:val="1"/>
    <w:semiHidden/>
    <w:qFormat/>
    <w:uiPriority w:val="0"/>
    <w:pPr>
      <w:adjustRightInd w:val="0"/>
      <w:jc w:val="left"/>
      <w:textAlignment w:val="baseline"/>
    </w:pPr>
    <w:rPr>
      <w:rFonts w:ascii="宋体" w:hAnsi="Calibri" w:cs="Calibri"/>
      <w:spacing w:val="24"/>
      <w:kern w:val="24"/>
      <w:sz w:val="24"/>
      <w:szCs w:val="20"/>
    </w:rPr>
  </w:style>
  <w:style w:type="paragraph" w:customStyle="1" w:styleId="3078">
    <w:name w:val="Char2 Char Char Char Char Char Char Char Char Char Char Char Char1"/>
    <w:basedOn w:val="1"/>
    <w:semiHidden/>
    <w:qFormat/>
    <w:uiPriority w:val="0"/>
    <w:rPr>
      <w:rFonts w:ascii="Calibri" w:hAnsi="Calibri" w:cs="Calibri"/>
      <w:sz w:val="24"/>
    </w:rPr>
  </w:style>
  <w:style w:type="paragraph" w:customStyle="1" w:styleId="3079">
    <w:name w:val="Char45"/>
    <w:basedOn w:val="1"/>
    <w:qFormat/>
    <w:uiPriority w:val="0"/>
    <w:rPr>
      <w:rFonts w:ascii="Calibri" w:hAnsi="Calibri" w:cs="Calibri"/>
      <w:sz w:val="24"/>
    </w:rPr>
  </w:style>
  <w:style w:type="paragraph" w:customStyle="1" w:styleId="3080">
    <w:name w:val="xl35"/>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081">
    <w:name w:val="Char Char Char1 Char Char Char Char Char Char Char Char Char Char Char Char Char Char Char1 Char Char Char Char Char Char Char Char Char Char Char Char Char Char Char Char Char Char Char Char Char Char Char Char Char Char Char"/>
    <w:basedOn w:val="1"/>
    <w:qFormat/>
    <w:uiPriority w:val="0"/>
    <w:pPr>
      <w:spacing w:line="240" w:lineRule="exact"/>
      <w:ind w:firstLine="200" w:firstLineChars="200"/>
    </w:pPr>
    <w:rPr>
      <w:rFonts w:ascii="Calibri" w:hAnsi="Calibri" w:cs="Calibri"/>
      <w:sz w:val="28"/>
      <w:szCs w:val="28"/>
    </w:rPr>
  </w:style>
  <w:style w:type="paragraph" w:customStyle="1" w:styleId="3082">
    <w:name w:val="Char2 Char Char Char31"/>
    <w:basedOn w:val="1"/>
    <w:semiHidden/>
    <w:qFormat/>
    <w:uiPriority w:val="0"/>
    <w:pPr>
      <w:tabs>
        <w:tab w:val="left" w:pos="0"/>
      </w:tabs>
      <w:spacing w:line="560" w:lineRule="exact"/>
      <w:ind w:firstLine="200" w:firstLineChars="200"/>
    </w:pPr>
    <w:rPr>
      <w:rFonts w:ascii="Calibri" w:hAnsi="Calibri" w:eastAsia="仿宋_GB2312" w:cs="Calibri"/>
      <w:spacing w:val="12"/>
      <w:sz w:val="24"/>
      <w:szCs w:val="28"/>
    </w:rPr>
  </w:style>
  <w:style w:type="paragraph" w:customStyle="1" w:styleId="3083">
    <w:name w:val="cd4"/>
    <w:basedOn w:val="1"/>
    <w:semiHidden/>
    <w:qFormat/>
    <w:uiPriority w:val="0"/>
    <w:pPr>
      <w:tabs>
        <w:tab w:val="left" w:pos="2438"/>
      </w:tabs>
      <w:spacing w:before="120" w:line="300" w:lineRule="auto"/>
      <w:ind w:left="1956" w:hanging="425"/>
    </w:pPr>
    <w:rPr>
      <w:rFonts w:ascii="Calibri" w:hAnsi="Calibri" w:cs="Calibri"/>
      <w:sz w:val="24"/>
      <w:szCs w:val="20"/>
    </w:rPr>
  </w:style>
  <w:style w:type="paragraph" w:customStyle="1" w:styleId="3084">
    <w:name w:val="Pa12"/>
    <w:basedOn w:val="1"/>
    <w:next w:val="1"/>
    <w:semiHidden/>
    <w:qFormat/>
    <w:uiPriority w:val="0"/>
    <w:pPr>
      <w:autoSpaceDE w:val="0"/>
      <w:autoSpaceDN w:val="0"/>
      <w:adjustRightInd w:val="0"/>
      <w:spacing w:before="60" w:after="60" w:line="211" w:lineRule="atLeast"/>
      <w:jc w:val="left"/>
    </w:pPr>
    <w:rPr>
      <w:rFonts w:ascii="Wingdings" w:hAnsi="Wingdings" w:cs="Calibri"/>
      <w:kern w:val="0"/>
      <w:sz w:val="24"/>
    </w:rPr>
  </w:style>
  <w:style w:type="paragraph" w:customStyle="1" w:styleId="3085">
    <w:name w:val="InstÀÀll3"/>
    <w:qFormat/>
    <w:uiPriority w:val="99"/>
    <w:pPr>
      <w:tabs>
        <w:tab w:val="left" w:pos="-720"/>
      </w:tabs>
      <w:suppressAutoHyphens/>
      <w:jc w:val="both"/>
    </w:pPr>
    <w:rPr>
      <w:rFonts w:ascii="Courier" w:hAnsi="Courier" w:eastAsia="宋体" w:cs="Calibri"/>
      <w:spacing w:val="-3"/>
      <w:sz w:val="24"/>
      <w:lang w:val="en-US" w:eastAsia="sv-SE" w:bidi="ar-SA"/>
    </w:rPr>
  </w:style>
  <w:style w:type="paragraph" w:customStyle="1" w:styleId="3086">
    <w:name w:val="xl121"/>
    <w:basedOn w:val="1"/>
    <w:qFormat/>
    <w:uiPriority w:val="99"/>
    <w:pPr>
      <w:widowControl/>
      <w:spacing w:before="100" w:beforeAutospacing="1" w:after="100" w:afterAutospacing="1"/>
      <w:jc w:val="left"/>
    </w:pPr>
    <w:rPr>
      <w:rFonts w:ascii="Arial Unicode MS" w:hAnsi="Arial Unicode MS" w:cs="Calibri"/>
      <w:kern w:val="0"/>
      <w:sz w:val="16"/>
      <w:szCs w:val="16"/>
    </w:rPr>
  </w:style>
  <w:style w:type="paragraph" w:customStyle="1" w:styleId="3087">
    <w:name w:val="Char Char Char Char Char Char Char Char Char Char Char Char Char Char Char Char Char Char Char Char Char Char Char Char Char Char Char Char Char Char Char Char Char Char Char Char Char"/>
    <w:basedOn w:val="1"/>
    <w:qFormat/>
    <w:uiPriority w:val="0"/>
    <w:rPr>
      <w:rFonts w:ascii="Calibri" w:hAnsi="Calibri" w:cs="Calibri"/>
      <w:sz w:val="24"/>
    </w:rPr>
  </w:style>
  <w:style w:type="paragraph" w:customStyle="1" w:styleId="3088">
    <w:name w:val="Char3 Char Char Char"/>
    <w:basedOn w:val="1"/>
    <w:qFormat/>
    <w:uiPriority w:val="99"/>
    <w:rPr>
      <w:rFonts w:ascii="Calibri" w:hAnsi="Calibri" w:cs="Calibri"/>
      <w:sz w:val="28"/>
    </w:rPr>
  </w:style>
  <w:style w:type="paragraph" w:customStyle="1" w:styleId="3089">
    <w:name w:val="Char Char Char Char Char Char Char Char Char Char Char3"/>
    <w:basedOn w:val="1"/>
    <w:semiHidden/>
    <w:qFormat/>
    <w:uiPriority w:val="0"/>
    <w:rPr>
      <w:rFonts w:ascii="Calibri" w:hAnsi="Calibri" w:cs="Calibri"/>
      <w:sz w:val="24"/>
    </w:rPr>
  </w:style>
  <w:style w:type="paragraph" w:customStyle="1" w:styleId="3090">
    <w:name w:val="xl214"/>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091">
    <w:name w:val="Char Char2 Char Char Char Char Char Char3"/>
    <w:basedOn w:val="1"/>
    <w:qFormat/>
    <w:uiPriority w:val="99"/>
    <w:pPr>
      <w:spacing w:line="480" w:lineRule="exact"/>
    </w:pPr>
    <w:rPr>
      <w:rFonts w:ascii="Calibri" w:hAnsi="Calibri" w:cs="Calibri"/>
      <w:sz w:val="22"/>
    </w:rPr>
  </w:style>
  <w:style w:type="paragraph" w:customStyle="1" w:styleId="3092">
    <w:name w:val="表格正文1"/>
    <w:basedOn w:val="1"/>
    <w:semiHidden/>
    <w:qFormat/>
    <w:uiPriority w:val="0"/>
    <w:pPr>
      <w:jc w:val="center"/>
    </w:pPr>
    <w:rPr>
      <w:rFonts w:ascii="Calibri" w:hAnsi="Calibri" w:cs="Calibri"/>
      <w:szCs w:val="21"/>
    </w:rPr>
  </w:style>
  <w:style w:type="paragraph" w:customStyle="1" w:styleId="3093">
    <w:name w:val="样式 标题 2 + 宋体 小四 非加粗 段前: 1 行 段后: 1 行"/>
    <w:basedOn w:val="4"/>
    <w:qFormat/>
    <w:uiPriority w:val="99"/>
    <w:pPr>
      <w:numPr>
        <w:ilvl w:val="0"/>
        <w:numId w:val="0"/>
      </w:numPr>
      <w:adjustRightInd w:val="0"/>
      <w:snapToGrid w:val="0"/>
      <w:spacing w:line="336" w:lineRule="auto"/>
      <w:ind w:left="446"/>
    </w:pPr>
    <w:rPr>
      <w:rFonts w:ascii="宋体" w:hAnsi="宋体" w:eastAsia="宋体" w:cs="宋体"/>
      <w:bCs w:val="0"/>
      <w:sz w:val="24"/>
      <w:szCs w:val="24"/>
      <w:lang w:val="en-US"/>
    </w:rPr>
  </w:style>
  <w:style w:type="paragraph" w:customStyle="1" w:styleId="3094">
    <w:name w:val="样式 标题 31.1.1标题 3 + Times New Roman 自动设置 段前: 0.2 行 段后: 0.2 行"/>
    <w:basedOn w:val="5"/>
    <w:qFormat/>
    <w:uiPriority w:val="0"/>
    <w:pPr>
      <w:numPr>
        <w:ilvl w:val="0"/>
        <w:numId w:val="0"/>
      </w:numPr>
      <w:autoSpaceDE w:val="0"/>
      <w:autoSpaceDN w:val="0"/>
      <w:adjustRightInd w:val="0"/>
      <w:spacing w:before="62" w:beforeLines="20" w:after="62" w:afterLines="20" w:line="360" w:lineRule="auto"/>
    </w:pPr>
    <w:rPr>
      <w:rFonts w:cs="Calibri"/>
      <w:b w:val="0"/>
      <w:bCs w:val="0"/>
      <w:kern w:val="0"/>
      <w:sz w:val="24"/>
      <w:szCs w:val="20"/>
      <w:lang w:val="en-US"/>
    </w:rPr>
  </w:style>
  <w:style w:type="paragraph" w:customStyle="1" w:styleId="3095">
    <w:name w:val="Char14"/>
    <w:basedOn w:val="1"/>
    <w:qFormat/>
    <w:uiPriority w:val="0"/>
    <w:rPr>
      <w:rFonts w:ascii="Calibri" w:hAnsi="Calibri" w:cs="Calibri"/>
      <w:sz w:val="24"/>
    </w:rPr>
  </w:style>
  <w:style w:type="paragraph" w:customStyle="1" w:styleId="3096">
    <w:name w:val="样式 宋体 红色 行距: 1.5 倍行距"/>
    <w:basedOn w:val="1"/>
    <w:qFormat/>
    <w:uiPriority w:val="99"/>
    <w:pPr>
      <w:adjustRightInd w:val="0"/>
      <w:snapToGrid w:val="0"/>
      <w:spacing w:line="360" w:lineRule="auto"/>
      <w:ind w:firstLine="560" w:firstLineChars="200"/>
    </w:pPr>
    <w:rPr>
      <w:rFonts w:ascii="宋体" w:hAnsi="宋体" w:cs="宋体"/>
      <w:color w:val="FF0000"/>
      <w:sz w:val="24"/>
      <w:szCs w:val="20"/>
    </w:rPr>
  </w:style>
  <w:style w:type="paragraph" w:customStyle="1" w:styleId="3097">
    <w:name w:val="Char Char Char Char Char Char Char Char Char1 Char Char Char Char5"/>
    <w:basedOn w:val="1"/>
    <w:semiHidden/>
    <w:qFormat/>
    <w:uiPriority w:val="0"/>
    <w:rPr>
      <w:rFonts w:ascii="Calibri" w:hAnsi="Calibri" w:cs="Calibri"/>
      <w:szCs w:val="21"/>
    </w:rPr>
  </w:style>
  <w:style w:type="paragraph" w:customStyle="1" w:styleId="3098">
    <w:name w:val="样式 图表"/>
    <w:basedOn w:val="1"/>
    <w:qFormat/>
    <w:uiPriority w:val="0"/>
    <w:pPr>
      <w:adjustRightInd w:val="0"/>
      <w:spacing w:line="360" w:lineRule="auto"/>
      <w:jc w:val="center"/>
      <w:textAlignment w:val="baseline"/>
    </w:pPr>
    <w:rPr>
      <w:rFonts w:ascii="Calibri" w:hAnsi="Calibri" w:cs="Calibri"/>
      <w:b/>
      <w:kern w:val="0"/>
      <w:sz w:val="24"/>
      <w:szCs w:val="20"/>
    </w:rPr>
  </w:style>
  <w:style w:type="paragraph" w:customStyle="1" w:styleId="3099">
    <w:name w:val="AAAAAAAAAAAA"/>
    <w:basedOn w:val="1"/>
    <w:qFormat/>
    <w:uiPriority w:val="99"/>
    <w:pPr>
      <w:jc w:val="center"/>
    </w:pPr>
    <w:rPr>
      <w:rFonts w:ascii="Calibri" w:hAnsi="宋体" w:cs="Calibri"/>
      <w:bCs/>
      <w:szCs w:val="21"/>
    </w:rPr>
  </w:style>
  <w:style w:type="paragraph" w:customStyle="1" w:styleId="3100">
    <w:name w:val="xl332"/>
    <w:basedOn w:val="1"/>
    <w:semiHidden/>
    <w:qFormat/>
    <w:uiPriority w:val="0"/>
    <w:pPr>
      <w:widowControl/>
      <w:pBdr>
        <w:left w:val="single" w:color="auto" w:sz="12" w:space="0"/>
        <w:right w:val="single" w:color="auto" w:sz="8" w:space="0"/>
      </w:pBdr>
      <w:spacing w:before="100" w:beforeAutospacing="1" w:after="100" w:afterAutospacing="1"/>
      <w:jc w:val="center"/>
    </w:pPr>
    <w:rPr>
      <w:rFonts w:ascii="Calibri" w:hAnsi="Calibri" w:cs="Calibri"/>
      <w:color w:val="FF0000"/>
      <w:kern w:val="0"/>
      <w:sz w:val="18"/>
      <w:szCs w:val="18"/>
    </w:rPr>
  </w:style>
  <w:style w:type="paragraph" w:customStyle="1" w:styleId="3101">
    <w:name w:val="右侧"/>
    <w:qFormat/>
    <w:uiPriority w:val="99"/>
    <w:pPr>
      <w:spacing w:line="280" w:lineRule="exact"/>
      <w:jc w:val="right"/>
    </w:pPr>
    <w:rPr>
      <w:rFonts w:ascii="Batang" w:hAnsi="Batang" w:eastAsia="宋体" w:cs="Calibri"/>
      <w:color w:val="000000"/>
      <w:sz w:val="18"/>
      <w:lang w:val="en-US" w:eastAsia="zh-CN" w:bidi="ar-SA"/>
    </w:rPr>
  </w:style>
  <w:style w:type="paragraph" w:customStyle="1" w:styleId="3102">
    <w:name w:val="Char1 Char Char Char Char Char Char Char Char Char1 Char Char Char Char Char Char2"/>
    <w:basedOn w:val="1"/>
    <w:semiHidden/>
    <w:qFormat/>
    <w:uiPriority w:val="0"/>
    <w:pPr>
      <w:widowControl/>
      <w:spacing w:before="100" w:beforeAutospacing="1" w:after="100" w:afterAutospacing="1"/>
      <w:ind w:firstLine="200" w:firstLineChars="200"/>
      <w:jc w:val="left"/>
    </w:pPr>
    <w:rPr>
      <w:rFonts w:ascii="Verdana" w:hAnsi="Verdana" w:eastAsia="仿宋_GB2312" w:cs="Calibri"/>
      <w:kern w:val="0"/>
      <w:sz w:val="20"/>
      <w:szCs w:val="21"/>
      <w:lang w:eastAsia="en-US"/>
    </w:rPr>
  </w:style>
  <w:style w:type="paragraph" w:customStyle="1" w:styleId="3103">
    <w:name w:val="Char Char Char Char Char Char Char Char Char1 Char Char Char Char6"/>
    <w:basedOn w:val="1"/>
    <w:semiHidden/>
    <w:qFormat/>
    <w:uiPriority w:val="0"/>
    <w:rPr>
      <w:rFonts w:ascii="Calibri" w:hAnsi="Calibri" w:cs="Calibri"/>
      <w:szCs w:val="21"/>
    </w:rPr>
  </w:style>
  <w:style w:type="paragraph" w:customStyle="1" w:styleId="3104">
    <w:name w:val="Char Char Char Char Char Char1 Char Char Char Char Char Char Char"/>
    <w:basedOn w:val="1"/>
    <w:semiHidden/>
    <w:qFormat/>
    <w:uiPriority w:val="0"/>
    <w:pPr>
      <w:widowControl/>
      <w:jc w:val="left"/>
    </w:pPr>
    <w:rPr>
      <w:rFonts w:ascii="Calibri" w:hAnsi="Calibri" w:cs="Calibri"/>
      <w:kern w:val="0"/>
      <w:sz w:val="22"/>
      <w:szCs w:val="22"/>
    </w:rPr>
  </w:style>
  <w:style w:type="paragraph" w:customStyle="1" w:styleId="3105">
    <w:name w:val="Char4 Char Char Char Char Char Char Char Char Char Char Char Char Char Char Char Char Char1 Char Char Char Char Char Char1 Char Char Char Char Char Char Char Char Char Char Char Char Char Char Char Char"/>
    <w:basedOn w:val="1"/>
    <w:qFormat/>
    <w:uiPriority w:val="0"/>
    <w:pPr>
      <w:spacing w:line="240" w:lineRule="exact"/>
      <w:ind w:firstLine="200" w:firstLineChars="200"/>
    </w:pPr>
    <w:rPr>
      <w:rFonts w:ascii="Calibri" w:hAnsi="Calibri" w:cs="Calibri"/>
      <w:sz w:val="28"/>
      <w:szCs w:val="28"/>
    </w:rPr>
  </w:style>
  <w:style w:type="paragraph" w:customStyle="1" w:styleId="3106">
    <w:name w:val="Char Char1 Char4"/>
    <w:basedOn w:val="1"/>
    <w:semiHidden/>
    <w:qFormat/>
    <w:uiPriority w:val="0"/>
    <w:rPr>
      <w:rFonts w:ascii="Calibri" w:hAnsi="Calibri" w:cs="Calibri"/>
      <w:szCs w:val="21"/>
    </w:rPr>
  </w:style>
  <w:style w:type="paragraph" w:customStyle="1" w:styleId="3107">
    <w:name w:val="样式 样式 样式4.1.2.1 + 段前: 0.5 行 + 段前: 0.5 行"/>
    <w:semiHidden/>
    <w:qFormat/>
    <w:uiPriority w:val="0"/>
    <w:pPr>
      <w:tabs>
        <w:tab w:val="left" w:pos="0"/>
      </w:tabs>
      <w:spacing w:before="156"/>
    </w:pPr>
    <w:rPr>
      <w:rFonts w:ascii="Times New Roman" w:hAnsi="Times New Roman" w:eastAsia="宋体" w:cs="Calibri"/>
      <w:bCs/>
      <w:lang w:val="en-US" w:eastAsia="zh-CN" w:bidi="ar-SA"/>
    </w:rPr>
  </w:style>
  <w:style w:type="paragraph" w:customStyle="1" w:styleId="3108">
    <w:name w:val="样式 样式4.1.2.1 + 段前: 0.5 行"/>
    <w:basedOn w:val="2865"/>
    <w:semiHidden/>
    <w:qFormat/>
    <w:uiPriority w:val="0"/>
    <w:pPr>
      <w:numPr>
        <w:ilvl w:val="0"/>
        <w:numId w:val="17"/>
      </w:numPr>
      <w:tabs>
        <w:tab w:val="left" w:pos="0"/>
      </w:tabs>
      <w:outlineLvl w:val="3"/>
    </w:pPr>
    <w:rPr>
      <w:rFonts w:cs="宋体"/>
      <w:b/>
      <w:szCs w:val="20"/>
    </w:rPr>
  </w:style>
  <w:style w:type="paragraph" w:customStyle="1" w:styleId="3109">
    <w:name w:val="正文缩进11"/>
    <w:basedOn w:val="1"/>
    <w:semiHidden/>
    <w:qFormat/>
    <w:uiPriority w:val="0"/>
    <w:pPr>
      <w:spacing w:line="500" w:lineRule="exact"/>
      <w:jc w:val="center"/>
    </w:pPr>
    <w:rPr>
      <w:rFonts w:ascii="Calibri" w:hAnsi="Calibri" w:cs="Calibri"/>
      <w:b/>
      <w:sz w:val="24"/>
    </w:rPr>
  </w:style>
  <w:style w:type="paragraph" w:customStyle="1" w:styleId="3110">
    <w:name w:val="小节标题"/>
    <w:basedOn w:val="1"/>
    <w:next w:val="1"/>
    <w:qFormat/>
    <w:uiPriority w:val="99"/>
    <w:pPr>
      <w:widowControl/>
      <w:spacing w:before="175" w:after="102" w:line="351" w:lineRule="atLeast"/>
      <w:textAlignment w:val="baseline"/>
    </w:pPr>
    <w:rPr>
      <w:rFonts w:ascii="Calibri" w:hAnsi="Calibri" w:eastAsia="黑体" w:cs="Calibri"/>
      <w:color w:val="000000"/>
      <w:kern w:val="0"/>
      <w:szCs w:val="20"/>
      <w:u w:color="000000"/>
    </w:rPr>
  </w:style>
  <w:style w:type="paragraph" w:customStyle="1" w:styleId="3111">
    <w:name w:val="xl231"/>
    <w:basedOn w:val="1"/>
    <w:semiHidden/>
    <w:qFormat/>
    <w:uiPriority w:val="0"/>
    <w:pPr>
      <w:widowControl/>
      <w:pBdr>
        <w:left w:val="single" w:color="auto" w:sz="8" w:space="0"/>
        <w:bottom w:val="single" w:color="auto" w:sz="8" w:space="0"/>
        <w:right w:val="single" w:color="auto" w:sz="12" w:space="0"/>
      </w:pBdr>
      <w:spacing w:before="100" w:beforeAutospacing="1" w:after="100" w:afterAutospacing="1"/>
      <w:jc w:val="center"/>
    </w:pPr>
    <w:rPr>
      <w:rFonts w:ascii="Calibri" w:hAnsi="Calibri" w:cs="Calibri"/>
      <w:color w:val="FFFF00"/>
      <w:kern w:val="0"/>
      <w:sz w:val="18"/>
      <w:szCs w:val="18"/>
    </w:rPr>
  </w:style>
  <w:style w:type="paragraph" w:customStyle="1" w:styleId="3112">
    <w:name w:val="Char Char Char Char Char Char Char Char Char Char Char1 Char Char Char Char Char Char1 Char"/>
    <w:basedOn w:val="1"/>
    <w:qFormat/>
    <w:uiPriority w:val="99"/>
    <w:rPr>
      <w:rFonts w:ascii="Calibri" w:hAnsi="Calibri" w:cs="Calibri"/>
      <w:sz w:val="24"/>
    </w:rPr>
  </w:style>
  <w:style w:type="paragraph" w:customStyle="1" w:styleId="3113">
    <w:name w:val="表项"/>
    <w:basedOn w:val="1"/>
    <w:qFormat/>
    <w:uiPriority w:val="0"/>
    <w:pPr>
      <w:adjustRightInd w:val="0"/>
      <w:spacing w:before="60" w:after="60" w:line="288" w:lineRule="auto"/>
      <w:jc w:val="center"/>
      <w:textAlignment w:val="baseline"/>
    </w:pPr>
    <w:rPr>
      <w:rFonts w:ascii="Calibri" w:hAnsi="Calibri" w:eastAsia="楷体" w:cs="Calibri"/>
      <w:kern w:val="44"/>
      <w:sz w:val="18"/>
      <w:szCs w:val="20"/>
      <w:lang w:val="en-GB"/>
    </w:rPr>
  </w:style>
  <w:style w:type="paragraph" w:customStyle="1" w:styleId="3114">
    <w:name w:val="Char4 Char Char Char Char Char Char Char Char Char Char Char Char Char Char Char Char Char Char Char Char Char Char Char Char Char Char Char1"/>
    <w:basedOn w:val="1"/>
    <w:semiHidden/>
    <w:qFormat/>
    <w:uiPriority w:val="0"/>
    <w:pPr>
      <w:spacing w:line="240" w:lineRule="exact"/>
      <w:ind w:firstLine="200" w:firstLineChars="200"/>
    </w:pPr>
    <w:rPr>
      <w:rFonts w:ascii="Calibri" w:hAnsi="Calibri" w:cs="Calibri"/>
      <w:sz w:val="28"/>
      <w:szCs w:val="28"/>
    </w:rPr>
  </w:style>
  <w:style w:type="paragraph" w:customStyle="1" w:styleId="3115">
    <w:name w:val="样式 样式 样式 标题 2H2标题 2 Char Char节标题 1.1（一）Underrubrik1prop2Heading....1"/>
    <w:qFormat/>
    <w:uiPriority w:val="99"/>
    <w:pPr>
      <w:tabs>
        <w:tab w:val="left" w:pos="720"/>
      </w:tabs>
      <w:spacing w:before="166" w:after="166"/>
    </w:pPr>
    <w:rPr>
      <w:rFonts w:ascii="Times New Roman" w:hAnsi="Times New Roman" w:eastAsia="宋体" w:cs="Calibri"/>
      <w:lang w:val="en-US" w:eastAsia="zh-CN" w:bidi="ar-SA"/>
    </w:rPr>
  </w:style>
  <w:style w:type="paragraph" w:customStyle="1" w:styleId="3116">
    <w:name w:val="样式 样式 标题 2H2标题 2 Char Char节标题 1.1（一）Underrubrik1prop2Heading... ..."/>
    <w:qFormat/>
    <w:uiPriority w:val="99"/>
    <w:pPr>
      <w:tabs>
        <w:tab w:val="left" w:pos="720"/>
      </w:tabs>
    </w:pPr>
    <w:rPr>
      <w:rFonts w:ascii="仿宋_GB2312" w:hAnsi="Times New Roman" w:eastAsia="仿宋_GB2312" w:cs="宋体"/>
      <w:lang w:val="en-US" w:eastAsia="zh-CN" w:bidi="ar-SA"/>
    </w:rPr>
  </w:style>
  <w:style w:type="paragraph" w:customStyle="1" w:styleId="3117">
    <w:name w:val="样式 标题 2H2标题 2 Char Char节标题 1.1（一）Underrubrik1prop2Heading..."/>
    <w:basedOn w:val="4"/>
    <w:qFormat/>
    <w:uiPriority w:val="99"/>
    <w:pPr>
      <w:numPr>
        <w:ilvl w:val="0"/>
        <w:numId w:val="0"/>
      </w:numPr>
      <w:tabs>
        <w:tab w:val="left" w:pos="720"/>
      </w:tabs>
      <w:adjustRightInd w:val="0"/>
      <w:spacing w:before="156" w:beforeLines="50" w:after="156" w:afterLines="50" w:line="480" w:lineRule="exact"/>
    </w:pPr>
    <w:rPr>
      <w:rFonts w:ascii="Times New Roman" w:hAnsi="Times New Roman" w:eastAsia="宋体"/>
      <w:b w:val="0"/>
      <w:sz w:val="24"/>
      <w:szCs w:val="30"/>
      <w:lang w:val="en-US"/>
    </w:rPr>
  </w:style>
  <w:style w:type="paragraph" w:customStyle="1" w:styleId="3118">
    <w:name w:val="word"/>
    <w:basedOn w:val="1"/>
    <w:qFormat/>
    <w:uiPriority w:val="99"/>
    <w:pPr>
      <w:spacing w:line="360" w:lineRule="auto"/>
      <w:ind w:firstLine="480" w:firstLineChars="200"/>
    </w:pPr>
    <w:rPr>
      <w:rFonts w:ascii="宋体" w:hAnsi="宋体" w:cs="Calibri"/>
      <w:color w:val="000000"/>
      <w:sz w:val="24"/>
    </w:rPr>
  </w:style>
  <w:style w:type="paragraph" w:customStyle="1" w:styleId="3119">
    <w:name w:val="报告书正文段落"/>
    <w:basedOn w:val="1"/>
    <w:qFormat/>
    <w:uiPriority w:val="0"/>
    <w:pPr>
      <w:spacing w:line="520" w:lineRule="exact"/>
      <w:ind w:firstLine="200" w:firstLineChars="200"/>
      <w:jc w:val="left"/>
    </w:pPr>
    <w:rPr>
      <w:rFonts w:ascii="Calibri" w:hAnsi="Calibri" w:cs="Calibri"/>
      <w:kern w:val="0"/>
      <w:sz w:val="24"/>
      <w:szCs w:val="20"/>
      <w:lang w:val="zh-CN"/>
    </w:rPr>
  </w:style>
  <w:style w:type="paragraph" w:customStyle="1" w:styleId="3120">
    <w:name w:val="新标题2"/>
    <w:basedOn w:val="1"/>
    <w:semiHidden/>
    <w:qFormat/>
    <w:uiPriority w:val="0"/>
    <w:pPr>
      <w:keepNext/>
      <w:autoSpaceDE w:val="0"/>
      <w:autoSpaceDN w:val="0"/>
      <w:adjustRightInd w:val="0"/>
      <w:spacing w:before="120" w:after="120" w:line="460" w:lineRule="exact"/>
      <w:outlineLvl w:val="1"/>
    </w:pPr>
    <w:rPr>
      <w:rFonts w:ascii="黑体" w:hAnsi="Calibri" w:eastAsia="黑体" w:cs="宋体"/>
      <w:b/>
      <w:bCs/>
      <w:color w:val="000000"/>
      <w:sz w:val="24"/>
      <w:lang w:val="zh-CN"/>
    </w:rPr>
  </w:style>
  <w:style w:type="paragraph" w:customStyle="1" w:styleId="3121">
    <w:name w:val="Char2 Char Char Char2"/>
    <w:basedOn w:val="1"/>
    <w:qFormat/>
    <w:uiPriority w:val="99"/>
    <w:pPr>
      <w:widowControl/>
      <w:spacing w:line="360" w:lineRule="auto"/>
      <w:ind w:firstLine="200" w:firstLineChars="200"/>
      <w:jc w:val="left"/>
    </w:pPr>
    <w:rPr>
      <w:rFonts w:ascii="宋体" w:hAnsi="宋体" w:cs="宋体"/>
      <w:kern w:val="0"/>
      <w:sz w:val="24"/>
      <w:szCs w:val="22"/>
    </w:rPr>
  </w:style>
  <w:style w:type="paragraph" w:customStyle="1" w:styleId="3122">
    <w:name w:val="表文(G)"/>
    <w:basedOn w:val="1"/>
    <w:semiHidden/>
    <w:qFormat/>
    <w:uiPriority w:val="0"/>
    <w:pPr>
      <w:tabs>
        <w:tab w:val="left" w:pos="1021"/>
      </w:tabs>
      <w:jc w:val="center"/>
    </w:pPr>
    <w:rPr>
      <w:rFonts w:ascii="Calibri" w:hAnsi="宋体" w:cs="Calibri"/>
      <w:kern w:val="0"/>
      <w:position w:val="-24"/>
      <w:szCs w:val="21"/>
    </w:rPr>
  </w:style>
  <w:style w:type="paragraph" w:customStyle="1" w:styleId="3123">
    <w:name w:val="样式 标题 2节 + 宋体 加粗"/>
    <w:basedOn w:val="4"/>
    <w:qFormat/>
    <w:uiPriority w:val="99"/>
    <w:pPr>
      <w:numPr>
        <w:ilvl w:val="0"/>
        <w:numId w:val="0"/>
      </w:numPr>
      <w:tabs>
        <w:tab w:val="left" w:pos="840"/>
      </w:tabs>
      <w:adjustRightInd w:val="0"/>
      <w:snapToGrid w:val="0"/>
      <w:ind w:left="200" w:hanging="200" w:hangingChars="200"/>
    </w:pPr>
    <w:rPr>
      <w:rFonts w:ascii="宋体" w:hAnsi="宋体" w:eastAsia="宋体"/>
      <w:b w:val="0"/>
      <w:bCs w:val="0"/>
      <w:szCs w:val="20"/>
      <w:lang w:val="en-US"/>
    </w:rPr>
  </w:style>
  <w:style w:type="paragraph" w:customStyle="1" w:styleId="3124">
    <w:name w:val="City/State"/>
    <w:basedOn w:val="36"/>
    <w:next w:val="36"/>
    <w:semiHidden/>
    <w:qFormat/>
    <w:uiPriority w:val="0"/>
    <w:pPr>
      <w:keepNext/>
      <w:snapToGrid/>
      <w:spacing w:before="0" w:after="220" w:line="220" w:lineRule="atLeast"/>
      <w:ind w:right="-360"/>
      <w:jc w:val="left"/>
    </w:pPr>
    <w:rPr>
      <w:rFonts w:ascii="@黑体" w:hAnsi="@黑体" w:eastAsia="黑体" w:cs="Calibri"/>
      <w:sz w:val="20"/>
      <w:lang w:val="en-US"/>
    </w:rPr>
  </w:style>
  <w:style w:type="paragraph" w:customStyle="1" w:styleId="3125">
    <w:name w:val="样式 正文（首行缩进两字） + 宋体"/>
    <w:basedOn w:val="23"/>
    <w:qFormat/>
    <w:uiPriority w:val="99"/>
    <w:pPr>
      <w:snapToGrid/>
      <w:spacing w:line="240" w:lineRule="auto"/>
      <w:ind w:firstLine="0" w:firstLineChars="0"/>
    </w:pPr>
    <w:rPr>
      <w:rFonts w:ascii="Calibri" w:hAnsi="Calibri" w:eastAsia="宋体" w:cs="Calibri"/>
      <w:szCs w:val="24"/>
      <w:lang w:val="en-US"/>
    </w:rPr>
  </w:style>
  <w:style w:type="paragraph" w:customStyle="1" w:styleId="3126">
    <w:name w:val="album-div"/>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127">
    <w:name w:val="样式 标题 2节节标题 1.1H2（一）Underrubrik1prop2Heading 2 HiddenHea...2"/>
    <w:basedOn w:val="4"/>
    <w:semiHidden/>
    <w:qFormat/>
    <w:uiPriority w:val="0"/>
    <w:pPr>
      <w:numPr>
        <w:ilvl w:val="0"/>
        <w:numId w:val="0"/>
      </w:numPr>
      <w:tabs>
        <w:tab w:val="left" w:pos="576"/>
      </w:tabs>
      <w:adjustRightInd w:val="0"/>
      <w:spacing w:before="50" w:beforeLines="50"/>
    </w:pPr>
    <w:rPr>
      <w:rFonts w:ascii="宋体" w:eastAsia="宋体"/>
      <w:b w:val="0"/>
      <w:color w:val="000000"/>
      <w:sz w:val="24"/>
      <w:szCs w:val="24"/>
      <w:lang w:val="en-US"/>
    </w:rPr>
  </w:style>
  <w:style w:type="paragraph" w:customStyle="1" w:styleId="3128">
    <w:name w:val="Char Char Char Char Char Char Char Char 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129">
    <w:name w:val="font13"/>
    <w:basedOn w:val="1"/>
    <w:qFormat/>
    <w:uiPriority w:val="0"/>
    <w:pPr>
      <w:widowControl/>
      <w:spacing w:before="100" w:beforeAutospacing="1" w:after="100" w:afterAutospacing="1"/>
      <w:jc w:val="left"/>
    </w:pPr>
    <w:rPr>
      <w:rFonts w:ascii="宋体" w:hAnsi="宋体" w:cs="宋体"/>
      <w:color w:val="000000"/>
      <w:kern w:val="0"/>
      <w:sz w:val="18"/>
      <w:szCs w:val="18"/>
    </w:rPr>
  </w:style>
  <w:style w:type="paragraph" w:customStyle="1" w:styleId="3130">
    <w:name w:val="正文王"/>
    <w:basedOn w:val="47"/>
    <w:qFormat/>
    <w:uiPriority w:val="0"/>
    <w:pPr>
      <w:spacing w:line="440" w:lineRule="exact"/>
      <w:ind w:firstLine="0" w:firstLineChars="0"/>
    </w:pPr>
    <w:rPr>
      <w:rFonts w:ascii="Arial" w:hAnsi="Arial" w:cs="Calibri"/>
      <w:snapToGrid w:val="0"/>
      <w:kern w:val="0"/>
      <w:sz w:val="24"/>
      <w:szCs w:val="20"/>
      <w:lang w:val="en-US"/>
    </w:rPr>
  </w:style>
  <w:style w:type="paragraph" w:customStyle="1" w:styleId="3131">
    <w:name w:val="CM105"/>
    <w:basedOn w:val="314"/>
    <w:next w:val="314"/>
    <w:qFormat/>
    <w:uiPriority w:val="99"/>
    <w:pPr>
      <w:tabs>
        <w:tab w:val="left" w:pos="315"/>
      </w:tabs>
      <w:spacing w:after="125" w:line="360" w:lineRule="auto"/>
      <w:ind w:left="1855" w:hanging="720"/>
    </w:pPr>
    <w:rPr>
      <w:rFonts w:ascii="楷体_GB2312" w:hAnsi="Calibri" w:eastAsia="楷体_GB2312" w:cs="Times New Roman"/>
      <w:color w:val="auto"/>
      <w:kern w:val="2"/>
    </w:rPr>
  </w:style>
  <w:style w:type="paragraph" w:customStyle="1" w:styleId="3132">
    <w:name w:val="序列"/>
    <w:semiHidden/>
    <w:qFormat/>
    <w:uiPriority w:val="0"/>
    <w:pPr>
      <w:widowControl w:val="0"/>
    </w:pPr>
    <w:rPr>
      <w:rFonts w:ascii="Calibri" w:hAnsi="Calibri" w:eastAsia="宋体" w:cs="Calibri"/>
      <w:sz w:val="28"/>
      <w:lang w:val="en-US" w:eastAsia="zh-CN" w:bidi="ar-SA"/>
    </w:rPr>
  </w:style>
  <w:style w:type="paragraph" w:customStyle="1" w:styleId="3133">
    <w:name w:val="综述"/>
    <w:semiHidden/>
    <w:qFormat/>
    <w:uiPriority w:val="0"/>
    <w:pPr>
      <w:spacing w:beforeLines="50" w:line="440" w:lineRule="exact"/>
      <w:ind w:firstLine="200" w:firstLineChars="200"/>
    </w:pPr>
    <w:rPr>
      <w:rFonts w:ascii="Calibri" w:hAnsi="Calibri" w:eastAsia="宋体" w:cs="MS Mincho"/>
      <w:b/>
      <w:kern w:val="2"/>
      <w:sz w:val="24"/>
      <w:szCs w:val="24"/>
      <w:lang w:val="en-US" w:eastAsia="zh-CN" w:bidi="ar-SA"/>
    </w:rPr>
  </w:style>
  <w:style w:type="paragraph" w:customStyle="1" w:styleId="3134">
    <w:name w:val="标准条文"/>
    <w:basedOn w:val="314"/>
    <w:next w:val="314"/>
    <w:semiHidden/>
    <w:qFormat/>
    <w:uiPriority w:val="0"/>
    <w:pPr>
      <w:tabs>
        <w:tab w:val="left" w:pos="315"/>
      </w:tabs>
      <w:spacing w:after="0" w:line="360" w:lineRule="auto"/>
      <w:ind w:left="1855" w:hanging="720"/>
    </w:pPr>
    <w:rPr>
      <w:rFonts w:ascii="宋体" w:hAnsi="Calibri" w:eastAsia="宋体" w:cs="Times New Roman"/>
      <w:color w:val="auto"/>
      <w:kern w:val="2"/>
    </w:rPr>
  </w:style>
  <w:style w:type="paragraph" w:customStyle="1" w:styleId="3135">
    <w:name w:val="xl324"/>
    <w:basedOn w:val="1"/>
    <w:semiHidden/>
    <w:qFormat/>
    <w:uiPriority w:val="0"/>
    <w:pPr>
      <w:widowControl/>
      <w:pBdr>
        <w:top w:val="single" w:color="auto" w:sz="12" w:space="0"/>
        <w:left w:val="single" w:color="auto" w:sz="12" w:space="0"/>
        <w:bottom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3136">
    <w:name w:val="xl135"/>
    <w:basedOn w:val="1"/>
    <w:qFormat/>
    <w:uiPriority w:val="99"/>
    <w:pPr>
      <w:widowControl/>
      <w:spacing w:before="100" w:beforeAutospacing="1" w:after="100" w:afterAutospacing="1"/>
      <w:jc w:val="center"/>
    </w:pPr>
    <w:rPr>
      <w:rFonts w:ascii="Arial Unicode MS" w:hAnsi="Arial Unicode MS" w:cs="Calibri"/>
      <w:kern w:val="0"/>
      <w:sz w:val="16"/>
      <w:szCs w:val="16"/>
    </w:rPr>
  </w:style>
  <w:style w:type="paragraph" w:customStyle="1" w:styleId="3137">
    <w:name w:val="高表标"/>
    <w:basedOn w:val="1"/>
    <w:qFormat/>
    <w:uiPriority w:val="99"/>
    <w:pPr>
      <w:snapToGrid w:val="0"/>
      <w:spacing w:line="300" w:lineRule="auto"/>
      <w:jc w:val="right"/>
    </w:pPr>
    <w:rPr>
      <w:rFonts w:ascii="Arial" w:hAnsi="Arial" w:eastAsia="黑体" w:cs="Calibri"/>
      <w:bCs/>
      <w:sz w:val="24"/>
    </w:rPr>
  </w:style>
  <w:style w:type="paragraph" w:customStyle="1" w:styleId="3138">
    <w:name w:val="Char Char Char Char Char Char Char Char Char Char 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139">
    <w:name w:val="HL22"/>
    <w:basedOn w:val="1"/>
    <w:semiHidden/>
    <w:qFormat/>
    <w:uiPriority w:val="0"/>
    <w:pPr>
      <w:keepNext/>
      <w:keepLines/>
      <w:spacing w:before="120" w:after="120" w:line="500" w:lineRule="exact"/>
      <w:outlineLvl w:val="1"/>
    </w:pPr>
    <w:rPr>
      <w:rFonts w:ascii="Calibri" w:hAnsi="Calibri" w:eastAsia="仿宋_GB2312" w:cs="Calibri"/>
      <w:b/>
      <w:bCs/>
      <w:color w:val="000000"/>
      <w:sz w:val="28"/>
      <w:szCs w:val="32"/>
    </w:rPr>
  </w:style>
  <w:style w:type="paragraph" w:customStyle="1" w:styleId="3140">
    <w:name w:val="样式 样式 正文缩进正文（首行缩进两字）文本条款 + 段前: 0.4 行 + 非加粗"/>
    <w:basedOn w:val="2537"/>
    <w:qFormat/>
    <w:uiPriority w:val="0"/>
    <w:pPr>
      <w:tabs>
        <w:tab w:val="left" w:pos="780"/>
      </w:tabs>
      <w:ind w:left="780" w:hanging="360"/>
    </w:pPr>
    <w:rPr>
      <w:rFonts w:eastAsia="宋体"/>
      <w:b w:val="0"/>
      <w:sz w:val="24"/>
      <w:szCs w:val="24"/>
    </w:rPr>
  </w:style>
  <w:style w:type="paragraph" w:customStyle="1" w:styleId="3141">
    <w:name w:val="正文 5"/>
    <w:basedOn w:val="1"/>
    <w:semiHidden/>
    <w:qFormat/>
    <w:uiPriority w:val="0"/>
    <w:pPr>
      <w:jc w:val="left"/>
    </w:pPr>
    <w:rPr>
      <w:rFonts w:ascii="宋体" w:hAnsi="宋体" w:cs="宋体"/>
      <w:szCs w:val="28"/>
    </w:rPr>
  </w:style>
  <w:style w:type="paragraph" w:customStyle="1" w:styleId="3142">
    <w:name w:val="reader-word-layer reader-word-s5-8"/>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143">
    <w:name w:val="图表内容"/>
    <w:basedOn w:val="1"/>
    <w:qFormat/>
    <w:uiPriority w:val="0"/>
    <w:pPr>
      <w:tabs>
        <w:tab w:val="left" w:pos="7200"/>
      </w:tabs>
      <w:jc w:val="center"/>
    </w:pPr>
    <w:rPr>
      <w:rFonts w:ascii="Calibri" w:hAnsi="Calibri" w:cs="Calibri"/>
      <w:color w:val="000000"/>
      <w:kern w:val="0"/>
    </w:rPr>
  </w:style>
  <w:style w:type="paragraph" w:customStyle="1" w:styleId="3144">
    <w:name w:val="Char Char Char Char Char Char Char Char Char Char Char1 Char Char Char Char Char Char12"/>
    <w:basedOn w:val="1"/>
    <w:semiHidden/>
    <w:qFormat/>
    <w:uiPriority w:val="0"/>
    <w:rPr>
      <w:rFonts w:ascii="Calibri" w:hAnsi="Calibri" w:cs="Calibri"/>
      <w:sz w:val="24"/>
    </w:rPr>
  </w:style>
  <w:style w:type="paragraph" w:customStyle="1" w:styleId="3145">
    <w:name w:val="样式 标题 3 + (西文) Times New Roman (中文) 宋体 小三"/>
    <w:basedOn w:val="4"/>
    <w:qFormat/>
    <w:uiPriority w:val="99"/>
    <w:pPr>
      <w:numPr>
        <w:ilvl w:val="0"/>
        <w:numId w:val="0"/>
      </w:numPr>
      <w:tabs>
        <w:tab w:val="left" w:pos="720"/>
      </w:tabs>
      <w:adjustRightInd w:val="0"/>
      <w:snapToGrid w:val="0"/>
      <w:spacing w:before="100" w:beforeLines="50" w:beforeAutospacing="1" w:after="100" w:afterLines="50" w:afterAutospacing="1" w:line="312" w:lineRule="auto"/>
      <w:ind w:left="397" w:hanging="397"/>
    </w:pPr>
    <w:rPr>
      <w:rFonts w:ascii="Times New Roman" w:hAnsi="宋体" w:eastAsia="宋体"/>
      <w:b w:val="0"/>
      <w:bCs w:val="0"/>
      <w:kern w:val="0"/>
      <w:sz w:val="24"/>
      <w:szCs w:val="24"/>
      <w:lang w:val="en-US"/>
    </w:rPr>
  </w:style>
  <w:style w:type="paragraph" w:customStyle="1" w:styleId="3146">
    <w:name w:val="xl102"/>
    <w:basedOn w:val="1"/>
    <w:qFormat/>
    <w:uiPriority w:val="99"/>
    <w:pPr>
      <w:widowControl/>
      <w:pBdr>
        <w:left w:val="single" w:color="auto" w:sz="4" w:space="0"/>
        <w:bottom w:val="single" w:color="auto" w:sz="12" w:space="0"/>
        <w:right w:val="single" w:color="auto" w:sz="12" w:space="0"/>
      </w:pBdr>
      <w:spacing w:before="100" w:beforeAutospacing="1" w:after="100" w:afterAutospacing="1"/>
      <w:jc w:val="center"/>
      <w:textAlignment w:val="center"/>
    </w:pPr>
    <w:rPr>
      <w:rFonts w:ascii="Calibri" w:hAnsi="Calibri" w:cs="Calibri"/>
      <w:kern w:val="0"/>
      <w:sz w:val="12"/>
      <w:szCs w:val="12"/>
    </w:rPr>
  </w:style>
  <w:style w:type="paragraph" w:customStyle="1" w:styleId="3147">
    <w:name w:val="可行性研究报告正文"/>
    <w:basedOn w:val="1"/>
    <w:semiHidden/>
    <w:qFormat/>
    <w:uiPriority w:val="0"/>
    <w:pPr>
      <w:spacing w:line="600" w:lineRule="exact"/>
      <w:ind w:firstLine="560" w:firstLineChars="200"/>
    </w:pPr>
    <w:rPr>
      <w:rFonts w:ascii="宋体" w:hAnsi="宋体" w:cs="宋体"/>
      <w:sz w:val="28"/>
      <w:szCs w:val="20"/>
    </w:rPr>
  </w:style>
  <w:style w:type="paragraph" w:customStyle="1" w:styleId="3148">
    <w:name w:val="xl263"/>
    <w:basedOn w:val="1"/>
    <w:semiHidden/>
    <w:qFormat/>
    <w:uiPriority w:val="0"/>
    <w:pPr>
      <w:widowControl/>
      <w:pBdr>
        <w:top w:val="single" w:color="auto" w:sz="12" w:space="0"/>
        <w:bottom w:val="single" w:color="auto" w:sz="12" w:space="0"/>
        <w:right w:val="single" w:color="auto" w:sz="12" w:space="0"/>
      </w:pBdr>
      <w:spacing w:before="100" w:beforeAutospacing="1" w:after="100" w:afterAutospacing="1"/>
      <w:jc w:val="center"/>
    </w:pPr>
    <w:rPr>
      <w:rFonts w:ascii="Calibri" w:hAnsi="Calibri" w:cs="Calibri"/>
      <w:color w:val="00CCFF"/>
      <w:kern w:val="0"/>
      <w:sz w:val="18"/>
      <w:szCs w:val="18"/>
    </w:rPr>
  </w:style>
  <w:style w:type="paragraph" w:customStyle="1" w:styleId="3149">
    <w:name w:val="xl175"/>
    <w:basedOn w:val="1"/>
    <w:qFormat/>
    <w:uiPriority w:val="99"/>
    <w:pPr>
      <w:widowControl/>
      <w:pBdr>
        <w:left w:val="single" w:color="auto" w:sz="12" w:space="0"/>
        <w:right w:val="single" w:color="auto" w:sz="4" w:space="0"/>
      </w:pBdr>
      <w:spacing w:before="100" w:beforeAutospacing="1" w:after="100" w:afterAutospacing="1"/>
      <w:jc w:val="left"/>
    </w:pPr>
    <w:rPr>
      <w:rFonts w:ascii="Arial Unicode MS" w:hAnsi="Arial Unicode MS" w:cs="Calibri"/>
      <w:kern w:val="0"/>
    </w:rPr>
  </w:style>
  <w:style w:type="paragraph" w:customStyle="1" w:styleId="3150">
    <w:name w:val="Char Char Char Char Char Char Char Char Char Char Char1 Char Char Char Char Char Char Char Char Char Char Char Char Char Char Char Char2"/>
    <w:basedOn w:val="1"/>
    <w:semiHidden/>
    <w:qFormat/>
    <w:uiPriority w:val="0"/>
    <w:rPr>
      <w:rFonts w:ascii="Calibri" w:hAnsi="Calibri" w:cs="Calibri"/>
      <w:sz w:val="24"/>
    </w:rPr>
  </w:style>
  <w:style w:type="paragraph" w:customStyle="1" w:styleId="3151">
    <w:name w:val="样式16"/>
    <w:basedOn w:val="2599"/>
    <w:qFormat/>
    <w:uiPriority w:val="0"/>
    <w:pPr>
      <w:keepNext/>
      <w:keepLines/>
      <w:tabs>
        <w:tab w:val="left" w:pos="0"/>
      </w:tabs>
      <w:snapToGrid w:val="0"/>
      <w:spacing w:before="120" w:after="120" w:line="360" w:lineRule="auto"/>
      <w:ind w:firstLine="578"/>
      <w:jc w:val="left"/>
      <w:textAlignment w:val="auto"/>
      <w:outlineLvl w:val="2"/>
    </w:pPr>
    <w:rPr>
      <w:rFonts w:ascii="Times New Roman" w:hAnsi="Times New Roman" w:eastAsia="黑体"/>
      <w:bCs/>
      <w:snapToGrid w:val="0"/>
      <w:color w:val="auto"/>
      <w:spacing w:val="4"/>
      <w:kern w:val="0"/>
      <w:sz w:val="28"/>
      <w:szCs w:val="28"/>
    </w:rPr>
  </w:style>
  <w:style w:type="paragraph" w:customStyle="1" w:styleId="3152">
    <w:name w:val="页面标题1"/>
    <w:basedOn w:val="1"/>
    <w:semiHidden/>
    <w:qFormat/>
    <w:uiPriority w:val="0"/>
    <w:pPr>
      <w:adjustRightInd w:val="0"/>
      <w:spacing w:line="360" w:lineRule="auto"/>
      <w:jc w:val="center"/>
      <w:textAlignment w:val="baseline"/>
    </w:pPr>
    <w:rPr>
      <w:rFonts w:ascii="@黑体" w:hAnsi="@黑体" w:eastAsia="@黑体" w:cs="Calibri"/>
      <w:b/>
      <w:kern w:val="24"/>
      <w:sz w:val="52"/>
      <w:szCs w:val="20"/>
    </w:rPr>
  </w:style>
  <w:style w:type="paragraph" w:customStyle="1" w:styleId="3153">
    <w:name w:val="普通(Web)1"/>
    <w:basedOn w:val="1"/>
    <w:qFormat/>
    <w:uiPriority w:val="99"/>
    <w:pPr>
      <w:widowControl/>
      <w:jc w:val="left"/>
    </w:pPr>
    <w:rPr>
      <w:rFonts w:ascii="inherit" w:hAnsi="inherit" w:cs="宋体"/>
      <w:kern w:val="0"/>
      <w:sz w:val="24"/>
    </w:rPr>
  </w:style>
  <w:style w:type="paragraph" w:customStyle="1" w:styleId="3154">
    <w:name w:val="标题004"/>
    <w:basedOn w:val="1996"/>
    <w:qFormat/>
    <w:uiPriority w:val="0"/>
    <w:pPr>
      <w:spacing w:before="60" w:line="420" w:lineRule="exact"/>
      <w:ind w:firstLine="0" w:firstLineChars="0"/>
      <w:outlineLvl w:val="3"/>
    </w:pPr>
    <w:rPr>
      <w:b/>
    </w:rPr>
  </w:style>
  <w:style w:type="paragraph" w:customStyle="1" w:styleId="3155">
    <w:name w:val="基准标题"/>
    <w:basedOn w:val="36"/>
    <w:next w:val="36"/>
    <w:qFormat/>
    <w:uiPriority w:val="99"/>
    <w:pPr>
      <w:snapToGrid/>
      <w:spacing w:before="0" w:after="0" w:line="360" w:lineRule="exact"/>
      <w:ind w:right="0"/>
      <w:jc w:val="left"/>
    </w:pPr>
    <w:rPr>
      <w:rFonts w:ascii="宋体" w:hAnsi="Garamond" w:cs="Calibri"/>
      <w:sz w:val="21"/>
      <w:lang w:val="en-US"/>
    </w:rPr>
  </w:style>
  <w:style w:type="paragraph" w:customStyle="1" w:styleId="3156">
    <w:name w:val="yz"/>
    <w:basedOn w:val="36"/>
    <w:qFormat/>
    <w:uiPriority w:val="99"/>
    <w:pPr>
      <w:widowControl w:val="0"/>
      <w:tabs>
        <w:tab w:val="left" w:pos="900"/>
      </w:tabs>
      <w:adjustRightInd w:val="0"/>
      <w:snapToGrid/>
      <w:spacing w:before="0" w:after="0" w:line="240" w:lineRule="auto"/>
      <w:ind w:right="0" w:firstLine="200" w:firstLineChars="200"/>
      <w:textAlignment w:val="baseline"/>
    </w:pPr>
    <w:rPr>
      <w:rFonts w:hint="eastAsia" w:ascii="宋体" w:hAnsi="宋体" w:cs="Calibri"/>
      <w:kern w:val="2"/>
      <w:sz w:val="24"/>
      <w:lang w:val="en-US"/>
    </w:rPr>
  </w:style>
  <w:style w:type="paragraph" w:customStyle="1" w:styleId="3157">
    <w:name w:val="xl125"/>
    <w:basedOn w:val="1"/>
    <w:qFormat/>
    <w:uiPriority w:val="99"/>
    <w:pPr>
      <w:widowControl/>
      <w:spacing w:before="100" w:beforeAutospacing="1" w:after="100" w:afterAutospacing="1"/>
      <w:jc w:val="left"/>
      <w:textAlignment w:val="center"/>
    </w:pPr>
    <w:rPr>
      <w:rFonts w:ascii="Arial Unicode MS" w:hAnsi="Arial Unicode MS" w:cs="Calibri"/>
      <w:kern w:val="0"/>
      <w:sz w:val="16"/>
      <w:szCs w:val="16"/>
    </w:rPr>
  </w:style>
  <w:style w:type="paragraph" w:customStyle="1" w:styleId="3158">
    <w:name w:val="Char Char Char Char Char Char Char Char Char Char Char Char Char Char Char Char Char Char Char"/>
    <w:basedOn w:val="1"/>
    <w:qFormat/>
    <w:uiPriority w:val="0"/>
    <w:rPr>
      <w:rFonts w:ascii="Calibri" w:hAnsi="Calibri" w:cs="Calibri"/>
      <w:sz w:val="24"/>
    </w:rPr>
  </w:style>
  <w:style w:type="paragraph" w:customStyle="1" w:styleId="3159">
    <w:name w:val="couv"/>
    <w:basedOn w:val="1"/>
    <w:qFormat/>
    <w:uiPriority w:val="99"/>
    <w:pPr>
      <w:widowControl/>
      <w:spacing w:before="120" w:after="120"/>
      <w:ind w:firstLine="200" w:firstLineChars="200"/>
      <w:jc w:val="center"/>
    </w:pPr>
    <w:rPr>
      <w:rFonts w:ascii="Calibri" w:hAnsi="Calibri" w:cs="Calibri"/>
      <w:b/>
      <w:kern w:val="0"/>
      <w:sz w:val="40"/>
      <w:szCs w:val="20"/>
      <w:lang w:val="en-GB"/>
    </w:rPr>
  </w:style>
  <w:style w:type="paragraph" w:customStyle="1" w:styleId="3160">
    <w:name w:val="Body Text Indent3"/>
    <w:basedOn w:val="1"/>
    <w:semiHidden/>
    <w:qFormat/>
    <w:uiPriority w:val="0"/>
    <w:pPr>
      <w:spacing w:after="120" w:line="360" w:lineRule="auto"/>
      <w:ind w:left="420" w:leftChars="200" w:firstLine="200" w:firstLineChars="200"/>
    </w:pPr>
    <w:rPr>
      <w:rFonts w:ascii="Calibri" w:hAnsi="Calibri" w:cs="Calibri"/>
      <w:sz w:val="24"/>
    </w:rPr>
  </w:style>
  <w:style w:type="paragraph" w:customStyle="1" w:styleId="3161">
    <w:name w:val="默认段落字体 Para Char Char Char"/>
    <w:basedOn w:val="1"/>
    <w:qFormat/>
    <w:uiPriority w:val="99"/>
    <w:rPr>
      <w:rFonts w:ascii="Calibri" w:hAnsi="Calibri" w:cs="Calibri"/>
      <w:sz w:val="24"/>
    </w:rPr>
  </w:style>
  <w:style w:type="paragraph" w:customStyle="1" w:styleId="3162">
    <w:name w:val="Char Char Char Char Char Char Char Char Char 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163">
    <w:name w:val="Char Char Char Char Char Char Char Char Char4"/>
    <w:basedOn w:val="1"/>
    <w:qFormat/>
    <w:uiPriority w:val="99"/>
    <w:rPr>
      <w:rFonts w:ascii="Calibri" w:hAnsi="Calibri" w:cs="Calibri"/>
      <w:sz w:val="24"/>
    </w:rPr>
  </w:style>
  <w:style w:type="paragraph" w:customStyle="1" w:styleId="3164">
    <w:name w:val="Char22"/>
    <w:basedOn w:val="1"/>
    <w:qFormat/>
    <w:uiPriority w:val="0"/>
    <w:pPr>
      <w:spacing w:line="240" w:lineRule="exact"/>
      <w:ind w:firstLine="200" w:firstLineChars="200"/>
    </w:pPr>
    <w:rPr>
      <w:rFonts w:ascii="Calibri" w:hAnsi="Calibri" w:cs="Calibri"/>
      <w:sz w:val="28"/>
      <w:szCs w:val="28"/>
    </w:rPr>
  </w:style>
  <w:style w:type="paragraph" w:customStyle="1" w:styleId="3165">
    <w:name w:val="Char Char Char Char4"/>
    <w:basedOn w:val="1"/>
    <w:qFormat/>
    <w:uiPriority w:val="99"/>
    <w:rPr>
      <w:rFonts w:ascii="Calibri" w:hAnsi="Calibri" w:cs="Calibri"/>
      <w:sz w:val="24"/>
    </w:rPr>
  </w:style>
  <w:style w:type="paragraph" w:customStyle="1" w:styleId="3166">
    <w:name w:val="样式 标题 3小标题小节标题条标题1.1.1H3BOD 0Heading 3 - oldLevel 3 Head..."/>
    <w:basedOn w:val="5"/>
    <w:qFormat/>
    <w:uiPriority w:val="99"/>
    <w:pPr>
      <w:numPr>
        <w:ilvl w:val="0"/>
        <w:numId w:val="0"/>
      </w:numPr>
      <w:tabs>
        <w:tab w:val="left" w:pos="1605"/>
      </w:tabs>
      <w:adjustRightInd w:val="0"/>
      <w:snapToGrid w:val="0"/>
      <w:spacing w:before="156" w:beforeLines="50" w:after="156" w:afterLines="50" w:line="300" w:lineRule="auto"/>
      <w:ind w:left="525"/>
    </w:pPr>
    <w:rPr>
      <w:rFonts w:ascii="黑体" w:cs="Calibri"/>
      <w:bCs w:val="0"/>
      <w:sz w:val="24"/>
      <w:szCs w:val="20"/>
      <w:lang w:val="en-US"/>
    </w:rPr>
  </w:style>
  <w:style w:type="paragraph" w:customStyle="1" w:styleId="3167">
    <w:name w:val="1.內文"/>
    <w:basedOn w:val="1"/>
    <w:semiHidden/>
    <w:qFormat/>
    <w:uiPriority w:val="0"/>
    <w:pPr>
      <w:adjustRightInd w:val="0"/>
      <w:spacing w:before="20" w:after="40" w:line="240" w:lineRule="atLeast"/>
      <w:ind w:left="1764" w:hanging="10"/>
      <w:jc w:val="left"/>
      <w:textAlignment w:val="baseline"/>
    </w:pPr>
    <w:rPr>
      <w:rFonts w:ascii="Calibri" w:hAnsi="Calibri" w:eastAsia="DFKai-SB" w:cs="Calibri"/>
      <w:kern w:val="0"/>
      <w:sz w:val="24"/>
      <w:lang w:eastAsia="zh-TW"/>
    </w:rPr>
  </w:style>
  <w:style w:type="paragraph" w:customStyle="1" w:styleId="3168">
    <w:name w:val="4 Char"/>
    <w:basedOn w:val="1"/>
    <w:semiHidden/>
    <w:qFormat/>
    <w:uiPriority w:val="0"/>
    <w:rPr>
      <w:rFonts w:ascii="Calibri" w:hAnsi="Calibri" w:cs="Calibri"/>
    </w:rPr>
  </w:style>
  <w:style w:type="paragraph" w:customStyle="1" w:styleId="3169">
    <w:name w:val="Char2 Char Char Char Char Char1"/>
    <w:basedOn w:val="1"/>
    <w:qFormat/>
    <w:uiPriority w:val="99"/>
    <w:rPr>
      <w:rFonts w:ascii="Calibri" w:hAnsi="Calibri" w:cs="Calibri"/>
      <w:sz w:val="24"/>
    </w:rPr>
  </w:style>
  <w:style w:type="paragraph" w:customStyle="1" w:styleId="3170">
    <w:name w:val="InstÀÀll6"/>
    <w:qFormat/>
    <w:uiPriority w:val="99"/>
    <w:pPr>
      <w:tabs>
        <w:tab w:val="left" w:pos="-720"/>
      </w:tabs>
      <w:suppressAutoHyphens/>
      <w:jc w:val="both"/>
    </w:pPr>
    <w:rPr>
      <w:rFonts w:ascii="Courier" w:hAnsi="Courier" w:eastAsia="宋体" w:cs="Calibri"/>
      <w:spacing w:val="-3"/>
      <w:sz w:val="24"/>
      <w:lang w:val="en-US" w:eastAsia="sv-SE" w:bidi="ar-SA"/>
    </w:rPr>
  </w:style>
  <w:style w:type="paragraph" w:customStyle="1" w:styleId="3171">
    <w:name w:val="xl149"/>
    <w:basedOn w:val="1"/>
    <w:qFormat/>
    <w:uiPriority w:val="99"/>
    <w:pPr>
      <w:widowControl/>
      <w:pBdr>
        <w:bottom w:val="single" w:color="auto" w:sz="8" w:space="0"/>
        <w:right w:val="single" w:color="auto" w:sz="4" w:space="0"/>
      </w:pBdr>
      <w:spacing w:before="100" w:beforeAutospacing="1" w:after="100" w:afterAutospacing="1"/>
      <w:jc w:val="left"/>
    </w:pPr>
    <w:rPr>
      <w:rFonts w:ascii="Arial Unicode MS" w:hAnsi="Arial Unicode MS" w:cs="Calibri"/>
      <w:kern w:val="0"/>
    </w:rPr>
  </w:style>
  <w:style w:type="paragraph" w:customStyle="1" w:styleId="3172">
    <w:name w:val="xl228"/>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173">
    <w:name w:val="正文文本缩进21"/>
    <w:basedOn w:val="1"/>
    <w:semiHidden/>
    <w:qFormat/>
    <w:uiPriority w:val="0"/>
    <w:pPr>
      <w:spacing w:after="120" w:line="360" w:lineRule="auto"/>
      <w:ind w:left="420" w:leftChars="200" w:firstLine="200" w:firstLineChars="200"/>
    </w:pPr>
    <w:rPr>
      <w:rFonts w:ascii="Calibri" w:hAnsi="Calibri" w:cs="Calibri"/>
      <w:sz w:val="24"/>
    </w:rPr>
  </w:style>
  <w:style w:type="paragraph" w:customStyle="1" w:styleId="3174">
    <w:name w:val="layer1"/>
    <w:basedOn w:val="1"/>
    <w:next w:val="23"/>
    <w:semiHidden/>
    <w:qFormat/>
    <w:uiPriority w:val="0"/>
    <w:pPr>
      <w:tabs>
        <w:tab w:val="left" w:pos="425"/>
      </w:tabs>
      <w:spacing w:before="240" w:after="240" w:line="300" w:lineRule="auto"/>
      <w:ind w:left="425" w:hanging="425"/>
    </w:pPr>
    <w:rPr>
      <w:rFonts w:ascii="Calibri" w:hAnsi="Calibri" w:eastAsia="黑体" w:cs="Calibri"/>
      <w:b/>
      <w:sz w:val="44"/>
      <w:szCs w:val="20"/>
    </w:rPr>
  </w:style>
  <w:style w:type="paragraph" w:customStyle="1" w:styleId="3175">
    <w:name w:val="五号字表格"/>
    <w:basedOn w:val="252"/>
    <w:qFormat/>
    <w:uiPriority w:val="99"/>
    <w:pPr>
      <w:snapToGrid/>
      <w:textAlignment w:val="baseline"/>
    </w:pPr>
    <w:rPr>
      <w:rFonts w:ascii="宋体" w:hAnsi="Calibri"/>
      <w:kern w:val="0"/>
      <w:szCs w:val="20"/>
      <w:lang w:val="en-US"/>
    </w:rPr>
  </w:style>
  <w:style w:type="paragraph" w:customStyle="1" w:styleId="3176">
    <w:name w:val="样式 标题 4四 + Times New Roman 段前: 0 磅 段后: 0 磅 行距: 1.5 倍行距2"/>
    <w:basedOn w:val="6"/>
    <w:qFormat/>
    <w:uiPriority w:val="0"/>
    <w:pPr>
      <w:numPr>
        <w:ilvl w:val="0"/>
        <w:numId w:val="0"/>
      </w:numPr>
      <w:tabs>
        <w:tab w:val="left" w:pos="360"/>
        <w:tab w:val="left" w:pos="864"/>
      </w:tabs>
      <w:adjustRightInd w:val="0"/>
      <w:spacing w:before="0" w:after="0" w:line="480" w:lineRule="exact"/>
      <w:ind w:left="864" w:hanging="864"/>
    </w:pPr>
    <w:rPr>
      <w:rFonts w:ascii="仿宋_GB2312" w:hAnsi="Times New Roman" w:eastAsia="仿宋_GB2312" w:cs="Calibri"/>
      <w:b w:val="0"/>
      <w:bCs/>
      <w:sz w:val="30"/>
      <w:szCs w:val="36"/>
      <w:lang w:val="en-US"/>
    </w:rPr>
  </w:style>
  <w:style w:type="paragraph" w:customStyle="1" w:styleId="3177">
    <w:name w:val="列出段落14"/>
    <w:basedOn w:val="1"/>
    <w:qFormat/>
    <w:uiPriority w:val="99"/>
    <w:pPr>
      <w:ind w:firstLine="420" w:firstLineChars="200"/>
    </w:pPr>
    <w:rPr>
      <w:rFonts w:ascii="Calibri" w:hAnsi="Calibri" w:cs="Calibri"/>
    </w:rPr>
  </w:style>
  <w:style w:type="paragraph" w:customStyle="1" w:styleId="3178">
    <w:name w:val="样式 样式 样式 正文首行缩进 + 首行缩进:  2 字符 + 首行缩进:  2 字符2 + 首行缩进:  2 字符"/>
    <w:basedOn w:val="1"/>
    <w:semiHidden/>
    <w:qFormat/>
    <w:uiPriority w:val="0"/>
    <w:pPr>
      <w:adjustRightInd w:val="0"/>
      <w:snapToGrid w:val="0"/>
      <w:spacing w:line="520" w:lineRule="atLeast"/>
      <w:ind w:firstLine="553" w:firstLineChars="200"/>
    </w:pPr>
    <w:rPr>
      <w:rFonts w:ascii="Calibri" w:hAnsi="Calibri" w:cs="宋体"/>
      <w:sz w:val="28"/>
      <w:szCs w:val="20"/>
    </w:rPr>
  </w:style>
  <w:style w:type="paragraph" w:customStyle="1" w:styleId="3179">
    <w:name w:val="条1"/>
    <w:basedOn w:val="1"/>
    <w:next w:val="489"/>
    <w:qFormat/>
    <w:uiPriority w:val="99"/>
    <w:pPr>
      <w:outlineLvl w:val="1"/>
    </w:pPr>
    <w:rPr>
      <w:rFonts w:ascii="黑体" w:hAnsi="Calibri" w:eastAsia="黑体" w:cs="Calibri"/>
      <w:kern w:val="21"/>
      <w:szCs w:val="20"/>
    </w:rPr>
  </w:style>
  <w:style w:type="paragraph" w:customStyle="1" w:styleId="3180">
    <w:name w:val="Char4 Char Char Char Char Char Char Char Char Char Char Char Char Char Char Char Char Char1 Char1"/>
    <w:basedOn w:val="1"/>
    <w:qFormat/>
    <w:uiPriority w:val="0"/>
    <w:pPr>
      <w:spacing w:line="240" w:lineRule="exact"/>
      <w:ind w:firstLine="200" w:firstLineChars="200"/>
    </w:pPr>
    <w:rPr>
      <w:rFonts w:ascii="Calibri" w:hAnsi="Calibri" w:cs="Calibri"/>
      <w:sz w:val="28"/>
      <w:szCs w:val="28"/>
    </w:rPr>
  </w:style>
  <w:style w:type="paragraph" w:customStyle="1" w:styleId="3181">
    <w:name w:val="cardlist-value"/>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182">
    <w:name w:val="正文-1"/>
    <w:basedOn w:val="1"/>
    <w:qFormat/>
    <w:uiPriority w:val="99"/>
    <w:pPr>
      <w:adjustRightInd w:val="0"/>
      <w:spacing w:line="440" w:lineRule="exact"/>
      <w:ind w:firstLine="200" w:firstLineChars="200"/>
    </w:pPr>
    <w:rPr>
      <w:rFonts w:ascii="Calibri" w:hAnsi="Calibri" w:cs="Calibri"/>
      <w:sz w:val="24"/>
      <w:szCs w:val="20"/>
    </w:rPr>
  </w:style>
  <w:style w:type="paragraph" w:customStyle="1" w:styleId="3183">
    <w:name w:val="layer4"/>
    <w:basedOn w:val="23"/>
    <w:next w:val="23"/>
    <w:semiHidden/>
    <w:qFormat/>
    <w:uiPriority w:val="0"/>
    <w:pPr>
      <w:tabs>
        <w:tab w:val="left" w:pos="1440"/>
      </w:tabs>
      <w:adjustRightInd/>
      <w:snapToGrid/>
      <w:spacing w:before="120" w:after="120"/>
      <w:ind w:left="851" w:hanging="851" w:firstLineChars="0"/>
    </w:pPr>
    <w:rPr>
      <w:rFonts w:ascii="Arial" w:hAnsi="Arial" w:eastAsia="楷体_GB2312" w:cs="Calibri"/>
      <w:sz w:val="30"/>
      <w:lang w:val="en-US"/>
    </w:rPr>
  </w:style>
  <w:style w:type="paragraph" w:customStyle="1" w:styleId="3184">
    <w:name w:val="chen正文111"/>
    <w:basedOn w:val="1"/>
    <w:semiHidden/>
    <w:qFormat/>
    <w:uiPriority w:val="0"/>
    <w:pPr>
      <w:adjustRightInd w:val="0"/>
      <w:snapToGrid w:val="0"/>
      <w:spacing w:line="500" w:lineRule="exact"/>
      <w:ind w:firstLine="560" w:firstLineChars="200"/>
    </w:pPr>
    <w:rPr>
      <w:rFonts w:ascii="Calibri" w:hAnsi="Calibri" w:eastAsia="仿宋_GB2312" w:cs="Calibri"/>
      <w:bCs/>
      <w:color w:val="000000"/>
      <w:sz w:val="28"/>
      <w:szCs w:val="28"/>
    </w:rPr>
  </w:style>
  <w:style w:type="paragraph" w:customStyle="1" w:styleId="3185">
    <w:name w:val="Char6 Char Char Char1 Char Char Char2"/>
    <w:basedOn w:val="1"/>
    <w:semiHidden/>
    <w:qFormat/>
    <w:uiPriority w:val="0"/>
    <w:rPr>
      <w:rFonts w:ascii="Calibri" w:hAnsi="Calibri" w:cs="Calibri"/>
      <w:szCs w:val="21"/>
    </w:rPr>
  </w:style>
  <w:style w:type="paragraph" w:customStyle="1" w:styleId="3186">
    <w:name w:val="样式 标题 3 + 宋体 Char Char"/>
    <w:basedOn w:val="5"/>
    <w:semiHidden/>
    <w:qFormat/>
    <w:uiPriority w:val="0"/>
    <w:pPr>
      <w:numPr>
        <w:ilvl w:val="0"/>
        <w:numId w:val="0"/>
      </w:numPr>
      <w:adjustRightInd w:val="0"/>
      <w:spacing w:line="360" w:lineRule="auto"/>
    </w:pPr>
    <w:rPr>
      <w:rFonts w:ascii="宋体" w:hAnsi="宋体" w:cs="Calibri"/>
      <w:b w:val="0"/>
      <w:kern w:val="0"/>
      <w:sz w:val="30"/>
      <w:szCs w:val="30"/>
      <w:lang w:val="en-US"/>
    </w:rPr>
  </w:style>
  <w:style w:type="paragraph" w:customStyle="1" w:styleId="3187">
    <w:name w:val="正文条目a"/>
    <w:basedOn w:val="1"/>
    <w:qFormat/>
    <w:uiPriority w:val="99"/>
    <w:pPr>
      <w:ind w:left="400" w:leftChars="300" w:hanging="100" w:hangingChars="100"/>
    </w:pPr>
    <w:rPr>
      <w:rFonts w:ascii="宋体" w:hAnsi="Calibri" w:cs="Calibri"/>
      <w:sz w:val="24"/>
    </w:rPr>
  </w:style>
  <w:style w:type="paragraph" w:customStyle="1" w:styleId="3188">
    <w:name w:val="xl217"/>
    <w:basedOn w:val="1"/>
    <w:semiHidden/>
    <w:qFormat/>
    <w:uiPriority w:val="0"/>
    <w:pPr>
      <w:widowControl/>
      <w:pBdr>
        <w:top w:val="single" w:color="auto" w:sz="12" w:space="0"/>
        <w:left w:val="single" w:color="auto" w:sz="12" w:space="0"/>
        <w:bottom w:val="single" w:color="auto" w:sz="12"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189">
    <w:name w:val="Char Char Char Char Char Char Char Char Char Char Char Char Char Char Char Char Char Char Char Char Char Char Char Char Char Char Char Char Char Char Char"/>
    <w:basedOn w:val="1"/>
    <w:semiHidden/>
    <w:qFormat/>
    <w:uiPriority w:val="0"/>
    <w:pPr>
      <w:spacing w:line="360" w:lineRule="auto"/>
      <w:ind w:firstLine="200" w:firstLineChars="200"/>
    </w:pPr>
    <w:rPr>
      <w:rFonts w:ascii="@黑体" w:hAnsi="@黑体" w:eastAsia="黑体" w:cs="@黑体"/>
      <w:sz w:val="24"/>
    </w:rPr>
  </w:style>
  <w:style w:type="paragraph" w:customStyle="1" w:styleId="3190">
    <w:name w:val="Char Char Char Char Char Char1 Char"/>
    <w:basedOn w:val="1"/>
    <w:qFormat/>
    <w:uiPriority w:val="99"/>
    <w:rPr>
      <w:rFonts w:ascii="Calibri" w:hAnsi="Calibri" w:cs="Calibri"/>
    </w:rPr>
  </w:style>
  <w:style w:type="paragraph" w:customStyle="1" w:styleId="3191">
    <w:name w:val="表内格式"/>
    <w:basedOn w:val="1"/>
    <w:semiHidden/>
    <w:qFormat/>
    <w:uiPriority w:val="0"/>
    <w:pPr>
      <w:spacing w:line="280" w:lineRule="exact"/>
      <w:jc w:val="center"/>
    </w:pPr>
    <w:rPr>
      <w:rFonts w:ascii="@黑体" w:hAnsi="@黑体" w:eastAsia="黑体" w:cs="Calibri"/>
      <w:sz w:val="18"/>
      <w:szCs w:val="20"/>
    </w:rPr>
  </w:style>
  <w:style w:type="paragraph" w:customStyle="1" w:styleId="3192">
    <w:name w:val="Char Char103"/>
    <w:basedOn w:val="1"/>
    <w:semiHidden/>
    <w:qFormat/>
    <w:uiPriority w:val="0"/>
    <w:rPr>
      <w:rFonts w:ascii="Calibri" w:hAnsi="Calibri" w:cs="Calibri"/>
      <w:sz w:val="24"/>
    </w:rPr>
  </w:style>
  <w:style w:type="paragraph" w:customStyle="1" w:styleId="3193">
    <w:name w:val="小圈序列2"/>
    <w:basedOn w:val="1"/>
    <w:semiHidden/>
    <w:qFormat/>
    <w:uiPriority w:val="0"/>
    <w:pPr>
      <w:tabs>
        <w:tab w:val="left" w:pos="556"/>
        <w:tab w:val="left" w:pos="1260"/>
        <w:tab w:val="left" w:pos="1440"/>
      </w:tabs>
      <w:spacing w:line="500" w:lineRule="exact"/>
      <w:ind w:left="-425" w:firstLine="425"/>
    </w:pPr>
    <w:rPr>
      <w:rFonts w:ascii="宋体" w:hAnsi="宋体" w:cs="Calibri"/>
      <w:kern w:val="0"/>
      <w:sz w:val="28"/>
      <w:szCs w:val="28"/>
    </w:rPr>
  </w:style>
  <w:style w:type="paragraph" w:customStyle="1" w:styleId="3194">
    <w:name w:val="xl311"/>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195">
    <w:name w:val="样式 (中文) 仿宋_GB2312 四号 行距: 多倍行距 1.25 字行"/>
    <w:basedOn w:val="1"/>
    <w:semiHidden/>
    <w:qFormat/>
    <w:uiPriority w:val="0"/>
    <w:pPr>
      <w:spacing w:line="300" w:lineRule="auto"/>
      <w:ind w:firstLine="560" w:firstLineChars="200"/>
    </w:pPr>
    <w:rPr>
      <w:rFonts w:hint="eastAsia" w:ascii="Calibri" w:hAnsi="Calibri" w:eastAsia="仿宋_GB2312" w:cs="宋体"/>
      <w:kern w:val="0"/>
      <w:sz w:val="28"/>
      <w:szCs w:val="20"/>
    </w:rPr>
  </w:style>
  <w:style w:type="paragraph" w:customStyle="1" w:styleId="3196">
    <w:name w:val="6表(图)头(治)"/>
    <w:next w:val="1"/>
    <w:semiHidden/>
    <w:qFormat/>
    <w:uiPriority w:val="0"/>
    <w:pPr>
      <w:widowControl w:val="0"/>
      <w:jc w:val="center"/>
    </w:pPr>
    <w:rPr>
      <w:rFonts w:ascii="仿宋_GB2312" w:hAnsi="宋体" w:eastAsia="仿宋_GB2312" w:cs="Calibri"/>
      <w:b/>
      <w:kern w:val="2"/>
      <w:sz w:val="24"/>
      <w:szCs w:val="24"/>
      <w:lang w:val="en-US" w:eastAsia="zh-CN" w:bidi="ar-SA"/>
    </w:rPr>
  </w:style>
  <w:style w:type="paragraph" w:customStyle="1" w:styleId="3197">
    <w:name w:val="Char Char Char1 Char Char Char Char Char Char Char Char Char Char Char Char Char Char Char1 Char Char Char Char Char Char Char Char Char Char Char Char Char Char Char Char Char Char Char Char Char Char Char Char Char Char Char3"/>
    <w:basedOn w:val="1"/>
    <w:semiHidden/>
    <w:qFormat/>
    <w:uiPriority w:val="0"/>
    <w:pPr>
      <w:spacing w:line="240" w:lineRule="exact"/>
      <w:ind w:firstLine="200" w:firstLineChars="200"/>
    </w:pPr>
    <w:rPr>
      <w:rFonts w:ascii="Calibri" w:hAnsi="Calibri" w:cs="Calibri"/>
      <w:sz w:val="28"/>
      <w:szCs w:val="28"/>
    </w:rPr>
  </w:style>
  <w:style w:type="paragraph" w:customStyle="1" w:styleId="3198">
    <w:name w:val="Char Char Char1 Char Char Char Char Char Char Char Char Char Char Char Char Char Char Char Char Char Char Char Char Char Char3"/>
    <w:basedOn w:val="1"/>
    <w:semiHidden/>
    <w:qFormat/>
    <w:uiPriority w:val="0"/>
    <w:rPr>
      <w:rFonts w:ascii="Calibri" w:hAnsi="Calibri" w:cs="Calibri"/>
      <w:szCs w:val="20"/>
    </w:rPr>
  </w:style>
  <w:style w:type="paragraph" w:customStyle="1" w:styleId="3199">
    <w:name w:val="Char Char Char Char Char Char Char Char Char Char Char Char Char Char Char Char Char Char Char Char Char Char Char Char Char Char4"/>
    <w:basedOn w:val="1"/>
    <w:semiHidden/>
    <w:qFormat/>
    <w:uiPriority w:val="0"/>
    <w:rPr>
      <w:rFonts w:ascii="Calibri" w:hAnsi="Calibri" w:cs="Calibri"/>
      <w:sz w:val="24"/>
    </w:rPr>
  </w:style>
  <w:style w:type="paragraph" w:customStyle="1" w:styleId="3200">
    <w:name w:val="Char Char Char Char1 Char Char Char Char Char Char Char"/>
    <w:basedOn w:val="1"/>
    <w:qFormat/>
    <w:uiPriority w:val="0"/>
    <w:pPr>
      <w:tabs>
        <w:tab w:val="left" w:pos="360"/>
      </w:tabs>
      <w:snapToGrid w:val="0"/>
      <w:spacing w:line="360" w:lineRule="auto"/>
    </w:pPr>
    <w:rPr>
      <w:rFonts w:ascii="Calibri" w:hAnsi="Calibri" w:eastAsia="仿宋_GB2312" w:cs="宋体"/>
      <w:sz w:val="24"/>
    </w:rPr>
  </w:style>
  <w:style w:type="paragraph" w:customStyle="1" w:styleId="3201">
    <w:name w:val="Char33"/>
    <w:basedOn w:val="1"/>
    <w:qFormat/>
    <w:uiPriority w:val="0"/>
    <w:pPr>
      <w:spacing w:line="240" w:lineRule="exact"/>
      <w:ind w:firstLine="200" w:firstLineChars="200"/>
    </w:pPr>
    <w:rPr>
      <w:rFonts w:ascii="Calibri" w:hAnsi="Calibri" w:cs="Calibri"/>
      <w:sz w:val="28"/>
      <w:szCs w:val="28"/>
    </w:rPr>
  </w:style>
  <w:style w:type="paragraph" w:customStyle="1" w:styleId="3202">
    <w:name w:val="xl293"/>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203">
    <w:name w:val="Char Char1 Char Char Char Char Char Char Char Char Char Char1"/>
    <w:basedOn w:val="1"/>
    <w:semiHidden/>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204">
    <w:name w:val="font14"/>
    <w:basedOn w:val="1"/>
    <w:qFormat/>
    <w:uiPriority w:val="0"/>
    <w:pPr>
      <w:widowControl/>
      <w:spacing w:before="100" w:beforeAutospacing="1" w:after="100" w:afterAutospacing="1"/>
      <w:jc w:val="left"/>
    </w:pPr>
    <w:rPr>
      <w:rFonts w:ascii="Calibri" w:hAnsi="Calibri" w:cs="Calibri"/>
      <w:kern w:val="0"/>
      <w:szCs w:val="21"/>
    </w:rPr>
  </w:style>
  <w:style w:type="paragraph" w:customStyle="1" w:styleId="3205">
    <w:name w:val="Char3 Char Char Char5"/>
    <w:basedOn w:val="1"/>
    <w:semiHidden/>
    <w:qFormat/>
    <w:uiPriority w:val="0"/>
    <w:rPr>
      <w:rFonts w:ascii="Calibri" w:hAnsi="Calibri" w:cs="Calibri"/>
      <w:sz w:val="28"/>
    </w:rPr>
  </w:style>
  <w:style w:type="paragraph" w:customStyle="1" w:styleId="3206">
    <w:name w:val="表小5"/>
    <w:basedOn w:val="1"/>
    <w:semiHidden/>
    <w:qFormat/>
    <w:uiPriority w:val="0"/>
    <w:pPr>
      <w:widowControl/>
      <w:tabs>
        <w:tab w:val="left" w:pos="0"/>
        <w:tab w:val="left" w:pos="2619"/>
      </w:tabs>
      <w:jc w:val="center"/>
    </w:pPr>
    <w:rPr>
      <w:rFonts w:ascii="宋体" w:hAnsi="宋体" w:cs="Calibri"/>
      <w:szCs w:val="20"/>
    </w:rPr>
  </w:style>
  <w:style w:type="paragraph" w:customStyle="1" w:styleId="3207">
    <w:name w:val="MG"/>
    <w:basedOn w:val="3"/>
    <w:qFormat/>
    <w:uiPriority w:val="99"/>
    <w:pPr>
      <w:widowControl/>
      <w:tabs>
        <w:tab w:val="left" w:pos="2260"/>
        <w:tab w:val="left" w:pos="2820"/>
        <w:tab w:val="left" w:pos="3420"/>
      </w:tabs>
      <w:overflowPunct/>
      <w:adjustRightInd w:val="0"/>
      <w:spacing w:before="440" w:after="0" w:line="480" w:lineRule="exact"/>
      <w:ind w:left="851" w:right="-28" w:hanging="851"/>
    </w:pPr>
    <w:rPr>
      <w:rFonts w:ascii="Arial" w:hAnsi="Arial" w:eastAsia="宋体"/>
      <w:b w:val="0"/>
      <w:bCs w:val="0"/>
      <w:color w:val="auto"/>
      <w:kern w:val="0"/>
      <w:sz w:val="22"/>
      <w:szCs w:val="20"/>
      <w:lang w:val="en-GB"/>
    </w:rPr>
  </w:style>
  <w:style w:type="paragraph" w:customStyle="1" w:styleId="3208">
    <w:name w:val="pic-info"/>
    <w:basedOn w:val="1"/>
    <w:qFormat/>
    <w:uiPriority w:val="99"/>
    <w:pPr>
      <w:widowControl/>
      <w:spacing w:before="100" w:beforeAutospacing="1" w:after="100" w:afterAutospacing="1"/>
      <w:jc w:val="left"/>
    </w:pPr>
    <w:rPr>
      <w:rFonts w:ascii="宋体" w:hAnsi="宋体" w:cs="宋体"/>
      <w:kern w:val="0"/>
      <w:sz w:val="24"/>
    </w:rPr>
  </w:style>
  <w:style w:type="paragraph" w:customStyle="1" w:styleId="3209">
    <w:name w:val="样式 标题 3 + 黑色 段前: 0行 段后: 0 行"/>
    <w:basedOn w:val="5"/>
    <w:qFormat/>
    <w:uiPriority w:val="0"/>
    <w:pPr>
      <w:numPr>
        <w:ilvl w:val="0"/>
        <w:numId w:val="0"/>
      </w:numPr>
      <w:tabs>
        <w:tab w:val="left" w:pos="426"/>
        <w:tab w:val="left" w:pos="1080"/>
      </w:tabs>
      <w:adjustRightInd w:val="0"/>
      <w:snapToGrid w:val="0"/>
      <w:spacing w:before="120" w:beforeLines="50" w:after="0" w:line="324" w:lineRule="auto"/>
    </w:pPr>
    <w:rPr>
      <w:rFonts w:ascii="仿宋_GB2312" w:eastAsia="仿宋_GB2312" w:cs="Calibri"/>
      <w:bCs w:val="0"/>
      <w:color w:val="000000"/>
      <w:sz w:val="24"/>
      <w:szCs w:val="20"/>
      <w:lang w:val="en-US"/>
    </w:rPr>
  </w:style>
  <w:style w:type="paragraph" w:customStyle="1" w:styleId="3210">
    <w:name w:val="样式 四号 首行缩进:  2 字符 行距: 单倍行距"/>
    <w:basedOn w:val="1"/>
    <w:qFormat/>
    <w:uiPriority w:val="99"/>
    <w:pPr>
      <w:snapToGrid w:val="0"/>
      <w:spacing w:line="360" w:lineRule="auto"/>
      <w:ind w:firstLine="200" w:firstLineChars="200"/>
    </w:pPr>
    <w:rPr>
      <w:rFonts w:ascii="Calibri" w:hAnsi="Calibri" w:cs="Calibri"/>
      <w:sz w:val="28"/>
      <w:szCs w:val="28"/>
    </w:rPr>
  </w:style>
  <w:style w:type="paragraph" w:customStyle="1" w:styleId="3211">
    <w:name w:val="图表五号"/>
    <w:basedOn w:val="1"/>
    <w:qFormat/>
    <w:uiPriority w:val="99"/>
    <w:pPr>
      <w:autoSpaceDE w:val="0"/>
      <w:autoSpaceDN w:val="0"/>
      <w:adjustRightInd w:val="0"/>
      <w:snapToGrid w:val="0"/>
      <w:spacing w:line="20" w:lineRule="atLeast"/>
      <w:ind w:firstLine="200" w:firstLineChars="200"/>
      <w:jc w:val="center"/>
    </w:pPr>
    <w:rPr>
      <w:rFonts w:ascii="Calibri" w:hAnsi="Calibri" w:eastAsia="仿宋_GB2312" w:cs="Calibri"/>
      <w:szCs w:val="20"/>
    </w:rPr>
  </w:style>
  <w:style w:type="paragraph" w:customStyle="1" w:styleId="3212">
    <w:name w:val="Char Char Char Char Char Char Char Char Char Char Char Char Char Char Char Char Char Char Char Char Char Char3"/>
    <w:basedOn w:val="1"/>
    <w:qFormat/>
    <w:uiPriority w:val="99"/>
    <w:rPr>
      <w:rFonts w:ascii="Calibri" w:hAnsi="Calibri" w:cs="Calibri"/>
      <w:sz w:val="24"/>
    </w:rPr>
  </w:style>
  <w:style w:type="paragraph" w:customStyle="1" w:styleId="3213">
    <w:name w:val="Char Char Char1 Char Char Char Char Char Char Char Char Char Char Char Char Char Char Char1 Char Char Char Char Char Char Char Char Char Char Char Char"/>
    <w:basedOn w:val="1"/>
    <w:qFormat/>
    <w:uiPriority w:val="0"/>
    <w:rPr>
      <w:rFonts w:ascii="Calibri" w:hAnsi="Calibri" w:cs="Calibri"/>
      <w:szCs w:val="21"/>
    </w:rPr>
  </w:style>
  <w:style w:type="paragraph" w:customStyle="1" w:styleId="3214">
    <w:name w:val="标题3 Char Char Char Char"/>
    <w:basedOn w:val="1"/>
    <w:next w:val="1"/>
    <w:qFormat/>
    <w:uiPriority w:val="99"/>
    <w:pPr>
      <w:spacing w:line="360" w:lineRule="auto"/>
    </w:pPr>
    <w:rPr>
      <w:rFonts w:ascii="宋体" w:hAnsi="PMingLiU" w:eastAsia="黑体" w:cs="Calibri"/>
      <w:sz w:val="28"/>
      <w:szCs w:val="30"/>
    </w:rPr>
  </w:style>
  <w:style w:type="paragraph" w:customStyle="1" w:styleId="3215">
    <w:name w:val="Char1 Char Char Char"/>
    <w:basedOn w:val="1"/>
    <w:qFormat/>
    <w:uiPriority w:val="0"/>
    <w:pPr>
      <w:spacing w:line="240" w:lineRule="exact"/>
      <w:ind w:firstLine="200" w:firstLineChars="200"/>
    </w:pPr>
    <w:rPr>
      <w:rFonts w:ascii="Calibri" w:hAnsi="Calibri" w:cs="Calibri"/>
      <w:sz w:val="28"/>
      <w:szCs w:val="28"/>
    </w:rPr>
  </w:style>
  <w:style w:type="paragraph" w:customStyle="1" w:styleId="3216">
    <w:name w:val="表格居中 Char"/>
    <w:basedOn w:val="1"/>
    <w:semiHidden/>
    <w:qFormat/>
    <w:uiPriority w:val="0"/>
    <w:pPr>
      <w:widowControl/>
      <w:jc w:val="center"/>
    </w:pPr>
    <w:rPr>
      <w:rFonts w:ascii="宋体" w:hAnsi="宋体" w:cs="Calibri"/>
      <w:w w:val="90"/>
      <w:kern w:val="0"/>
      <w:sz w:val="24"/>
      <w:szCs w:val="22"/>
    </w:rPr>
  </w:style>
  <w:style w:type="paragraph" w:customStyle="1" w:styleId="3217">
    <w:name w:val="图表名"/>
    <w:basedOn w:val="1"/>
    <w:qFormat/>
    <w:uiPriority w:val="99"/>
    <w:pPr>
      <w:jc w:val="center"/>
    </w:pPr>
    <w:rPr>
      <w:rFonts w:ascii="Calibri" w:hAnsi="Calibri" w:eastAsia="黑体" w:cs="Calibri"/>
      <w:bCs/>
      <w:snapToGrid w:val="0"/>
      <w:kern w:val="0"/>
      <w:sz w:val="24"/>
    </w:rPr>
  </w:style>
  <w:style w:type="paragraph" w:customStyle="1" w:styleId="3218">
    <w:name w:val="字元2"/>
    <w:basedOn w:val="1"/>
    <w:qFormat/>
    <w:uiPriority w:val="0"/>
    <w:rPr>
      <w:rFonts w:ascii="Calibri" w:hAnsi="Calibri" w:cs="Calibri"/>
      <w:sz w:val="24"/>
    </w:rPr>
  </w:style>
  <w:style w:type="paragraph" w:customStyle="1" w:styleId="3219">
    <w:name w:val="ISO标题2"/>
    <w:basedOn w:val="2568"/>
    <w:qFormat/>
    <w:uiPriority w:val="0"/>
    <w:pPr>
      <w:tabs>
        <w:tab w:val="left" w:pos="360"/>
        <w:tab w:val="clear" w:pos="425"/>
      </w:tabs>
      <w:ind w:left="567" w:hanging="567"/>
      <w:outlineLvl w:val="1"/>
    </w:pPr>
  </w:style>
  <w:style w:type="paragraph" w:customStyle="1" w:styleId="3220">
    <w:name w:val="xl269"/>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221">
    <w:name w:val="Char Char Char Char Char Char Char Char Char1 Char Char Char1 Char"/>
    <w:basedOn w:val="1"/>
    <w:qFormat/>
    <w:uiPriority w:val="99"/>
    <w:pPr>
      <w:spacing w:line="360" w:lineRule="auto"/>
      <w:ind w:firstLine="200" w:firstLineChars="200"/>
    </w:pPr>
    <w:rPr>
      <w:rFonts w:ascii="宋体" w:hAnsi="宋体" w:cs="宋体"/>
      <w:sz w:val="24"/>
    </w:rPr>
  </w:style>
  <w:style w:type="paragraph" w:customStyle="1" w:styleId="3222">
    <w:name w:val="xl230"/>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223">
    <w:name w:val="Char34"/>
    <w:basedOn w:val="1"/>
    <w:qFormat/>
    <w:uiPriority w:val="0"/>
    <w:rPr>
      <w:rFonts w:ascii="Calibri" w:hAnsi="Calibri" w:cs="Calibri"/>
      <w:sz w:val="24"/>
    </w:rPr>
  </w:style>
  <w:style w:type="paragraph" w:customStyle="1" w:styleId="3224">
    <w:name w:val="样式 标题 1 + 小四 黑色 段后: 1 行 行距: 最小值 20 磅"/>
    <w:basedOn w:val="3"/>
    <w:semiHidden/>
    <w:qFormat/>
    <w:uiPriority w:val="0"/>
    <w:pPr>
      <w:keepNext w:val="0"/>
      <w:tabs>
        <w:tab w:val="left" w:pos="3170"/>
      </w:tabs>
      <w:overflowPunct/>
      <w:adjustRightInd w:val="0"/>
      <w:spacing w:before="360" w:after="100" w:afterLines="100" w:line="400" w:lineRule="atLeast"/>
      <w:ind w:left="425" w:hanging="425"/>
      <w:jc w:val="center"/>
    </w:pPr>
    <w:rPr>
      <w:rFonts w:eastAsia="宋体"/>
      <w:bCs w:val="0"/>
      <w:snapToGrid w:val="0"/>
      <w:sz w:val="24"/>
      <w:szCs w:val="20"/>
    </w:rPr>
  </w:style>
  <w:style w:type="paragraph" w:customStyle="1" w:styleId="3225">
    <w:name w:val="Char4 Char Char Char Char Char Char Char Char Char Char Char Char Char Char Char Char Char1 Char Char Char Char Char Char1 Char Char Char Char Char Char Char Char Char Char Char Char Char1"/>
    <w:basedOn w:val="1"/>
    <w:semiHidden/>
    <w:qFormat/>
    <w:uiPriority w:val="0"/>
    <w:pPr>
      <w:spacing w:line="240" w:lineRule="exact"/>
      <w:ind w:firstLine="200" w:firstLineChars="200"/>
    </w:pPr>
    <w:rPr>
      <w:rFonts w:ascii="Calibri" w:hAnsi="Calibri" w:cs="Calibri"/>
      <w:sz w:val="28"/>
      <w:szCs w:val="28"/>
    </w:rPr>
  </w:style>
  <w:style w:type="paragraph" w:customStyle="1" w:styleId="3226">
    <w:name w:val="xl256"/>
    <w:basedOn w:val="1"/>
    <w:semiHidden/>
    <w:qFormat/>
    <w:uiPriority w:val="0"/>
    <w:pPr>
      <w:widowControl/>
      <w:pBdr>
        <w:top w:val="single" w:color="auto" w:sz="8" w:space="0"/>
        <w:left w:val="single" w:color="auto" w:sz="12"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227">
    <w:name w:val="Char25"/>
    <w:basedOn w:val="1"/>
    <w:qFormat/>
    <w:uiPriority w:val="0"/>
    <w:rPr>
      <w:rFonts w:ascii="Calibri" w:hAnsi="Calibri" w:cs="Calibri"/>
      <w:sz w:val="24"/>
    </w:rPr>
  </w:style>
  <w:style w:type="paragraph" w:customStyle="1" w:styleId="3228">
    <w:name w:val="reader-word-layer reader-word-s1-31"/>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229">
    <w:name w:val="样式111"/>
    <w:basedOn w:val="3013"/>
    <w:qFormat/>
    <w:uiPriority w:val="0"/>
    <w:rPr>
      <w:sz w:val="21"/>
    </w:rPr>
  </w:style>
  <w:style w:type="paragraph" w:customStyle="1" w:styleId="3230">
    <w:name w:val="可研样式2"/>
    <w:basedOn w:val="1"/>
    <w:qFormat/>
    <w:uiPriority w:val="99"/>
    <w:rPr>
      <w:rFonts w:ascii="Calibri" w:hAnsi="Calibri" w:eastAsia="楷体_GB2312" w:cs="Calibri"/>
      <w:b/>
      <w:sz w:val="28"/>
      <w:szCs w:val="28"/>
    </w:rPr>
  </w:style>
  <w:style w:type="paragraph" w:customStyle="1" w:styleId="3231">
    <w:name w:val="Char Char Char1 Char Char3"/>
    <w:basedOn w:val="1"/>
    <w:semiHidden/>
    <w:qFormat/>
    <w:uiPriority w:val="0"/>
    <w:rPr>
      <w:rFonts w:ascii="黑体" w:hAnsi="黑体" w:eastAsia="黑体" w:cs="Calibri"/>
      <w:b/>
      <w:spacing w:val="10"/>
      <w:sz w:val="28"/>
      <w:szCs w:val="20"/>
    </w:rPr>
  </w:style>
  <w:style w:type="paragraph" w:customStyle="1" w:styleId="3232">
    <w:name w:val="封面标准号1"/>
    <w:semiHidden/>
    <w:qFormat/>
    <w:uiPriority w:val="0"/>
    <w:pPr>
      <w:widowControl w:val="0"/>
      <w:kinsoku w:val="0"/>
      <w:overflowPunct w:val="0"/>
      <w:autoSpaceDE w:val="0"/>
      <w:autoSpaceDN w:val="0"/>
      <w:spacing w:before="308"/>
      <w:jc w:val="right"/>
    </w:pPr>
    <w:rPr>
      <w:rFonts w:ascii="Calibri" w:hAnsi="Calibri" w:eastAsia="宋体" w:cs="Calibri"/>
      <w:sz w:val="28"/>
      <w:lang w:val="en-US" w:eastAsia="zh-CN" w:bidi="ar-SA"/>
    </w:rPr>
  </w:style>
  <w:style w:type="paragraph" w:customStyle="1" w:styleId="3233">
    <w:name w:val="Char51"/>
    <w:basedOn w:val="1"/>
    <w:qFormat/>
    <w:uiPriority w:val="0"/>
    <w:rPr>
      <w:rFonts w:ascii="Calibri" w:hAnsi="Calibri" w:cs="Calibri"/>
    </w:rPr>
  </w:style>
  <w:style w:type="paragraph" w:customStyle="1" w:styleId="3234">
    <w:name w:val="af0"/>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235">
    <w:name w:val="Char Char Char1 Char Char Char Char Char Char Char Char Char1"/>
    <w:basedOn w:val="1"/>
    <w:qFormat/>
    <w:uiPriority w:val="99"/>
    <w:rPr>
      <w:rFonts w:ascii="Calibri" w:hAnsi="Calibri" w:cs="Calibri"/>
      <w:szCs w:val="21"/>
    </w:rPr>
  </w:style>
  <w:style w:type="paragraph" w:customStyle="1" w:styleId="3236">
    <w:name w:val="初设正文"/>
    <w:basedOn w:val="1"/>
    <w:qFormat/>
    <w:uiPriority w:val="0"/>
    <w:pPr>
      <w:spacing w:after="120" w:line="440" w:lineRule="exact"/>
      <w:ind w:left="425" w:firstLine="425"/>
    </w:pPr>
    <w:rPr>
      <w:rFonts w:ascii="Arial" w:hAnsi="Arial" w:cs="宋体"/>
      <w:kern w:val="0"/>
      <w:sz w:val="24"/>
      <w:szCs w:val="20"/>
    </w:rPr>
  </w:style>
  <w:style w:type="paragraph" w:customStyle="1" w:styleId="3237">
    <w:name w:val="xl336"/>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3238">
    <w:name w:val="原料"/>
    <w:basedOn w:val="1"/>
    <w:qFormat/>
    <w:uiPriority w:val="99"/>
    <w:pPr>
      <w:adjustRightInd w:val="0"/>
      <w:spacing w:line="315" w:lineRule="atLeast"/>
      <w:jc w:val="left"/>
      <w:textAlignment w:val="baseline"/>
    </w:pPr>
    <w:rPr>
      <w:rFonts w:ascii="宋体" w:hAnsi="宋体" w:cs="Calibri"/>
      <w:spacing w:val="-2"/>
      <w:kern w:val="0"/>
      <w:sz w:val="28"/>
      <w:szCs w:val="20"/>
    </w:rPr>
  </w:style>
  <w:style w:type="paragraph" w:customStyle="1" w:styleId="3239">
    <w:name w:val="xl32"/>
    <w:basedOn w:val="1"/>
    <w:qFormat/>
    <w:uiPriority w:val="0"/>
    <w:pPr>
      <w:widowControl/>
      <w:pBdr>
        <w:top w:val="single" w:color="auto" w:sz="12" w:space="0"/>
        <w:left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3240">
    <w:name w:val="Table Title Char1 Char"/>
    <w:basedOn w:val="1"/>
    <w:qFormat/>
    <w:uiPriority w:val="0"/>
    <w:pPr>
      <w:widowControl/>
      <w:snapToGrid w:val="0"/>
      <w:spacing w:before="120" w:beforeLines="50" w:after="120" w:afterLines="50" w:line="400" w:lineRule="exact"/>
      <w:jc w:val="center"/>
    </w:pPr>
    <w:rPr>
      <w:rFonts w:ascii="Calibri" w:hAnsi="Calibri" w:cs="Calibri"/>
      <w:sz w:val="24"/>
      <w:lang w:eastAsia="en-US"/>
    </w:rPr>
  </w:style>
  <w:style w:type="paragraph" w:customStyle="1" w:styleId="3241">
    <w:name w:val="基准页眉样式"/>
    <w:basedOn w:val="36"/>
    <w:qFormat/>
    <w:uiPriority w:val="99"/>
    <w:pPr>
      <w:widowControl w:val="0"/>
      <w:snapToGrid/>
      <w:spacing w:before="0" w:after="0" w:line="300" w:lineRule="exact"/>
      <w:ind w:right="0"/>
      <w:jc w:val="center"/>
    </w:pPr>
    <w:rPr>
      <w:rFonts w:ascii="Calibri" w:hAnsi="Calibri" w:cs="Calibri"/>
      <w:spacing w:val="15"/>
      <w:kern w:val="2"/>
      <w:sz w:val="21"/>
      <w:lang w:val="en-US"/>
    </w:rPr>
  </w:style>
  <w:style w:type="paragraph" w:customStyle="1" w:styleId="3242">
    <w:name w:val="biaozhun"/>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243">
    <w:name w:val="sss"/>
    <w:basedOn w:val="1"/>
    <w:qFormat/>
    <w:uiPriority w:val="99"/>
    <w:pPr>
      <w:tabs>
        <w:tab w:val="left" w:pos="480"/>
        <w:tab w:val="left" w:pos="648"/>
      </w:tabs>
      <w:autoSpaceDE w:val="0"/>
      <w:autoSpaceDN w:val="0"/>
      <w:adjustRightInd w:val="0"/>
      <w:ind w:left="432" w:hanging="144"/>
    </w:pPr>
    <w:rPr>
      <w:rFonts w:ascii="Bookman Old Style" w:hAnsi="Bookman Old Style" w:cs="Arial"/>
      <w:bCs/>
      <w:kern w:val="0"/>
      <w:sz w:val="22"/>
      <w:szCs w:val="20"/>
    </w:rPr>
  </w:style>
  <w:style w:type="paragraph" w:customStyle="1" w:styleId="3244">
    <w:name w:val="样式 行距: 固定值 25 磅"/>
    <w:basedOn w:val="1"/>
    <w:qFormat/>
    <w:uiPriority w:val="99"/>
    <w:pPr>
      <w:spacing w:line="500" w:lineRule="exact"/>
      <w:ind w:firstLine="420" w:firstLineChars="200"/>
    </w:pPr>
    <w:rPr>
      <w:rFonts w:ascii="Calibri" w:hAnsi="Calibri" w:cs="宋体"/>
      <w:sz w:val="24"/>
      <w:szCs w:val="20"/>
    </w:rPr>
  </w:style>
  <w:style w:type="paragraph" w:customStyle="1" w:styleId="3245">
    <w:name w:val="MFS正文 Char"/>
    <w:basedOn w:val="88"/>
    <w:semiHidden/>
    <w:qFormat/>
    <w:uiPriority w:val="0"/>
    <w:pPr>
      <w:widowControl w:val="0"/>
      <w:adjustRightInd w:val="0"/>
      <w:snapToGrid w:val="0"/>
      <w:spacing w:before="93" w:line="360" w:lineRule="auto"/>
      <w:ind w:firstLine="200" w:firstLineChars="200"/>
      <w:jc w:val="both"/>
    </w:pPr>
    <w:rPr>
      <w:rFonts w:ascii="Calibri" w:hAnsi="Calibri" w:eastAsia="楷体_GB2312" w:cs="Calibri"/>
      <w:kern w:val="2"/>
      <w:sz w:val="24"/>
      <w:szCs w:val="24"/>
    </w:rPr>
  </w:style>
  <w:style w:type="paragraph" w:customStyle="1" w:styleId="3246">
    <w:name w:val="正文文本缩进 23"/>
    <w:basedOn w:val="1"/>
    <w:qFormat/>
    <w:uiPriority w:val="99"/>
    <w:pPr>
      <w:adjustRightInd w:val="0"/>
      <w:spacing w:line="480" w:lineRule="atLeast"/>
      <w:ind w:firstLine="630"/>
      <w:textAlignment w:val="baseline"/>
    </w:pPr>
    <w:rPr>
      <w:rFonts w:ascii="宋体" w:hAnsi="Calibri" w:cs="Calibri"/>
      <w:sz w:val="28"/>
      <w:szCs w:val="20"/>
    </w:rPr>
  </w:style>
  <w:style w:type="paragraph" w:customStyle="1" w:styleId="3247">
    <w:name w:val="样式 标题 1H1 + 仿宋_GB2312"/>
    <w:basedOn w:val="3"/>
    <w:qFormat/>
    <w:uiPriority w:val="99"/>
    <w:pPr>
      <w:keepLines/>
      <w:tabs>
        <w:tab w:val="left" w:pos="360"/>
      </w:tabs>
      <w:overflowPunct/>
      <w:adjustRightInd w:val="0"/>
      <w:snapToGrid/>
      <w:spacing w:before="156" w:beforeLines="50" w:after="156" w:afterLines="50" w:line="360" w:lineRule="auto"/>
      <w:ind w:left="0" w:firstLine="0"/>
    </w:pPr>
    <w:rPr>
      <w:rFonts w:ascii="仿宋_GB2312" w:hAnsi="仿宋_GB2312" w:eastAsia="仿宋_GB2312"/>
      <w:b w:val="0"/>
      <w:sz w:val="28"/>
      <w:szCs w:val="32"/>
      <w:lang w:val="zh-CN"/>
    </w:rPr>
  </w:style>
  <w:style w:type="paragraph" w:customStyle="1" w:styleId="3248">
    <w:name w:val="图形"/>
    <w:basedOn w:val="1"/>
    <w:qFormat/>
    <w:uiPriority w:val="99"/>
    <w:rPr>
      <w:rFonts w:ascii="Calibri" w:hAnsi="Calibri" w:cs="Calibri"/>
      <w:sz w:val="18"/>
    </w:rPr>
  </w:style>
  <w:style w:type="paragraph" w:customStyle="1" w:styleId="3249">
    <w:name w:val="p16"/>
    <w:basedOn w:val="1"/>
    <w:qFormat/>
    <w:uiPriority w:val="99"/>
    <w:pPr>
      <w:widowControl/>
      <w:spacing w:line="360" w:lineRule="auto"/>
    </w:pPr>
    <w:rPr>
      <w:rFonts w:ascii="Calibri" w:hAnsi="Calibri" w:cs="Calibri"/>
      <w:b/>
      <w:bCs/>
      <w:kern w:val="0"/>
      <w:sz w:val="24"/>
    </w:rPr>
  </w:style>
  <w:style w:type="paragraph" w:customStyle="1" w:styleId="3250">
    <w:name w:val="Char Char Char Char Char Char Char Char Char Char Char Char Char12"/>
    <w:basedOn w:val="1"/>
    <w:semiHidden/>
    <w:qFormat/>
    <w:uiPriority w:val="0"/>
    <w:pPr>
      <w:spacing w:line="360" w:lineRule="auto"/>
      <w:ind w:firstLine="200" w:firstLineChars="200"/>
    </w:pPr>
    <w:rPr>
      <w:rFonts w:ascii="宋体" w:hAnsi="宋体" w:cs="宋体"/>
      <w:sz w:val="24"/>
    </w:rPr>
  </w:style>
  <w:style w:type="paragraph" w:customStyle="1" w:styleId="3251">
    <w:name w:val="Char Char Char Char Char Char Char Char Char Char Char1 Char Char Char Char Char Char1 Char Char Char Char Char Char Char Char Char Char Char Char3"/>
    <w:basedOn w:val="1"/>
    <w:semiHidden/>
    <w:qFormat/>
    <w:uiPriority w:val="0"/>
    <w:rPr>
      <w:rFonts w:ascii="Calibri" w:hAnsi="Calibri" w:cs="Calibri"/>
      <w:sz w:val="24"/>
    </w:rPr>
  </w:style>
  <w:style w:type="paragraph" w:customStyle="1" w:styleId="3252">
    <w:name w:val="Char Char1 Char Char Char Char1"/>
    <w:basedOn w:val="1"/>
    <w:qFormat/>
    <w:uiPriority w:val="99"/>
    <w:rPr>
      <w:rFonts w:ascii="Calibri" w:hAnsi="Calibri" w:cs="Calibri"/>
      <w:sz w:val="24"/>
    </w:rPr>
  </w:style>
  <w:style w:type="paragraph" w:customStyle="1" w:styleId="3253">
    <w:name w:val="左侧"/>
    <w:qFormat/>
    <w:uiPriority w:val="99"/>
    <w:pPr>
      <w:spacing w:line="280" w:lineRule="exact"/>
      <w:jc w:val="center"/>
    </w:pPr>
    <w:rPr>
      <w:rFonts w:ascii="Batang" w:hAnsi="Batang" w:eastAsia="宋体" w:cs="Calibri"/>
      <w:color w:val="000000"/>
      <w:sz w:val="21"/>
      <w:lang w:val="en-US" w:eastAsia="zh-CN" w:bidi="ar-SA"/>
    </w:rPr>
  </w:style>
  <w:style w:type="paragraph" w:customStyle="1" w:styleId="3254">
    <w:name w:val="正文编号"/>
    <w:basedOn w:val="1"/>
    <w:qFormat/>
    <w:uiPriority w:val="0"/>
    <w:pPr>
      <w:tabs>
        <w:tab w:val="left" w:pos="360"/>
      </w:tabs>
      <w:adjustRightInd w:val="0"/>
      <w:spacing w:line="360" w:lineRule="auto"/>
      <w:textAlignment w:val="baseline"/>
    </w:pPr>
    <w:rPr>
      <w:rFonts w:ascii="Calibri" w:hAnsi="Calibri" w:cs="Calibri"/>
      <w:kern w:val="0"/>
      <w:sz w:val="24"/>
      <w:szCs w:val="20"/>
    </w:rPr>
  </w:style>
  <w:style w:type="paragraph" w:customStyle="1" w:styleId="3255">
    <w:name w:val="表格文字居中"/>
    <w:basedOn w:val="88"/>
    <w:qFormat/>
    <w:uiPriority w:val="99"/>
    <w:pPr>
      <w:widowControl w:val="0"/>
      <w:tabs>
        <w:tab w:val="left" w:pos="628"/>
        <w:tab w:val="left" w:pos="1727"/>
        <w:tab w:val="left" w:pos="1884"/>
      </w:tabs>
      <w:adjustRightInd w:val="0"/>
      <w:snapToGrid w:val="0"/>
      <w:spacing w:before="100" w:beforeAutospacing="1" w:after="0"/>
      <w:ind w:left="26" w:firstLine="0" w:firstLineChars="0"/>
      <w:jc w:val="center"/>
      <w:outlineLvl w:val="0"/>
    </w:pPr>
    <w:rPr>
      <w:rFonts w:cs="Calibri"/>
      <w:sz w:val="24"/>
      <w:szCs w:val="28"/>
    </w:rPr>
  </w:style>
  <w:style w:type="paragraph" w:customStyle="1" w:styleId="3256">
    <w:name w:val="Char13"/>
    <w:basedOn w:val="1"/>
    <w:qFormat/>
    <w:uiPriority w:val="0"/>
    <w:pPr>
      <w:snapToGrid w:val="0"/>
      <w:spacing w:line="360" w:lineRule="auto"/>
      <w:ind w:firstLine="200" w:firstLineChars="200"/>
    </w:pPr>
    <w:rPr>
      <w:rFonts w:ascii="Calibri" w:hAnsi="Calibri" w:eastAsia="仿宋_GB2312" w:cs="Calibri"/>
      <w:sz w:val="24"/>
    </w:rPr>
  </w:style>
  <w:style w:type="paragraph" w:customStyle="1" w:styleId="3257">
    <w:name w:val="Char Char Char Char1 Char Char Char"/>
    <w:basedOn w:val="1"/>
    <w:qFormat/>
    <w:uiPriority w:val="99"/>
    <w:rPr>
      <w:rFonts w:ascii="Calibri" w:hAnsi="Calibri" w:cs="Calibri"/>
      <w:sz w:val="24"/>
    </w:rPr>
  </w:style>
  <w:style w:type="paragraph" w:customStyle="1" w:styleId="3258">
    <w:name w:val="字元"/>
    <w:basedOn w:val="1"/>
    <w:qFormat/>
    <w:uiPriority w:val="0"/>
    <w:rPr>
      <w:rFonts w:ascii="Calibri" w:hAnsi="Calibri" w:cs="Calibri"/>
      <w:sz w:val="24"/>
    </w:rPr>
  </w:style>
  <w:style w:type="paragraph" w:customStyle="1" w:styleId="3259">
    <w:name w:val="大纲封面"/>
    <w:basedOn w:val="1"/>
    <w:qFormat/>
    <w:uiPriority w:val="0"/>
    <w:pPr>
      <w:spacing w:line="360" w:lineRule="auto"/>
      <w:jc w:val="center"/>
    </w:pPr>
    <w:rPr>
      <w:rFonts w:ascii="宋体" w:hAnsi="Calibri" w:eastAsia="楷体_GB2312" w:cs="Calibri"/>
      <w:b/>
      <w:spacing w:val="100"/>
      <w:sz w:val="72"/>
    </w:rPr>
  </w:style>
  <w:style w:type="paragraph" w:customStyle="1" w:styleId="3260">
    <w:name w:val="Char6 Char Char Char"/>
    <w:basedOn w:val="1"/>
    <w:qFormat/>
    <w:uiPriority w:val="0"/>
    <w:rPr>
      <w:rFonts w:ascii="Calibri" w:hAnsi="Calibri" w:cs="Calibri"/>
      <w:szCs w:val="21"/>
    </w:rPr>
  </w:style>
  <w:style w:type="paragraph" w:customStyle="1" w:styleId="3261">
    <w:name w:val="样式 样式 行距: 1.5 倍行距 + 首行缩进:  2 字符"/>
    <w:basedOn w:val="2966"/>
    <w:semiHidden/>
    <w:qFormat/>
    <w:uiPriority w:val="0"/>
    <w:pPr>
      <w:ind w:firstLine="200"/>
      <w:textAlignment w:val="center"/>
    </w:pPr>
    <w:rPr>
      <w:rFonts w:ascii="Times New Roman" w:hAnsi="Times New Roman" w:cs="宋体"/>
      <w:color w:val="auto"/>
      <w:kern w:val="2"/>
      <w:szCs w:val="20"/>
    </w:rPr>
  </w:style>
  <w:style w:type="paragraph" w:customStyle="1" w:styleId="3262">
    <w:name w:val="Char Char Char Char Char Char1 Char4"/>
    <w:basedOn w:val="1"/>
    <w:qFormat/>
    <w:uiPriority w:val="99"/>
    <w:rPr>
      <w:rFonts w:ascii="Calibri" w:hAnsi="Calibri" w:cs="Calibri"/>
    </w:rPr>
  </w:style>
  <w:style w:type="paragraph" w:customStyle="1" w:styleId="3263">
    <w:name w:val="样式11.1"/>
    <w:basedOn w:val="4"/>
    <w:semiHidden/>
    <w:qFormat/>
    <w:uiPriority w:val="0"/>
    <w:pPr>
      <w:numPr>
        <w:ilvl w:val="0"/>
        <w:numId w:val="0"/>
      </w:numPr>
      <w:adjustRightInd w:val="0"/>
      <w:spacing w:before="50" w:beforeLines="50"/>
    </w:pPr>
    <w:rPr>
      <w:rFonts w:ascii="Times New Roman" w:hAnsi="Times New Roman" w:eastAsia="宋体"/>
      <w:b w:val="0"/>
      <w:bCs w:val="0"/>
      <w:sz w:val="24"/>
      <w:szCs w:val="30"/>
      <w:lang w:val="en-US"/>
    </w:rPr>
  </w:style>
  <w:style w:type="paragraph" w:customStyle="1" w:styleId="3264">
    <w:name w:val="样式 标题 2H2（一）Underrubrik1prop2Heading 2 HiddenHeading 2 CCB..."/>
    <w:basedOn w:val="4"/>
    <w:qFormat/>
    <w:uiPriority w:val="99"/>
    <w:pPr>
      <w:numPr>
        <w:ilvl w:val="0"/>
        <w:numId w:val="0"/>
      </w:numPr>
      <w:adjustRightInd w:val="0"/>
      <w:snapToGrid w:val="0"/>
      <w:spacing w:before="120" w:after="120" w:line="300" w:lineRule="auto"/>
      <w:ind w:right="-147" w:rightChars="-70"/>
    </w:pPr>
    <w:rPr>
      <w:rFonts w:eastAsia="宋体" w:cs="宋体"/>
      <w:sz w:val="32"/>
      <w:szCs w:val="20"/>
      <w:lang w:val="en-US"/>
    </w:rPr>
  </w:style>
  <w:style w:type="paragraph" w:customStyle="1" w:styleId="3265">
    <w:name w:val="日期14"/>
    <w:basedOn w:val="1"/>
    <w:next w:val="1"/>
    <w:semiHidden/>
    <w:qFormat/>
    <w:uiPriority w:val="0"/>
    <w:pPr>
      <w:adjustRightInd w:val="0"/>
      <w:jc w:val="left"/>
      <w:textAlignment w:val="baseline"/>
    </w:pPr>
    <w:rPr>
      <w:rFonts w:ascii="宋体" w:hAnsi="Calibri" w:cs="Calibri"/>
      <w:spacing w:val="24"/>
      <w:kern w:val="24"/>
      <w:sz w:val="24"/>
      <w:szCs w:val="20"/>
    </w:rPr>
  </w:style>
  <w:style w:type="paragraph" w:customStyle="1" w:styleId="3266">
    <w:name w:val="Char4 Char Char Char Char Char Char Char Char Char Char Char Char Char Char Char Char Char1 Char Char Char Char Char Char1 Char Char Char Char Char Char Char Char Char Char Char Char Char Char Char Char1"/>
    <w:basedOn w:val="1"/>
    <w:qFormat/>
    <w:uiPriority w:val="99"/>
    <w:pPr>
      <w:spacing w:line="240" w:lineRule="exact"/>
      <w:ind w:firstLine="200" w:firstLineChars="200"/>
    </w:pPr>
    <w:rPr>
      <w:rFonts w:ascii="Calibri" w:hAnsi="Calibri" w:cs="Calibri"/>
      <w:sz w:val="28"/>
      <w:szCs w:val="28"/>
    </w:rPr>
  </w:style>
  <w:style w:type="paragraph" w:customStyle="1" w:styleId="3267">
    <w:name w:val="－列表2"/>
    <w:basedOn w:val="1"/>
    <w:qFormat/>
    <w:uiPriority w:val="0"/>
    <w:pPr>
      <w:jc w:val="center"/>
    </w:pPr>
    <w:rPr>
      <w:rFonts w:ascii="Calibri" w:hAnsi="Calibri" w:cs="Calibri"/>
      <w:szCs w:val="21"/>
    </w:rPr>
  </w:style>
  <w:style w:type="paragraph" w:customStyle="1" w:styleId="3268">
    <w:name w:val="TY"/>
    <w:basedOn w:val="1"/>
    <w:qFormat/>
    <w:uiPriority w:val="99"/>
    <w:pPr>
      <w:adjustRightInd w:val="0"/>
      <w:snapToGrid w:val="0"/>
      <w:spacing w:before="40" w:after="40"/>
    </w:pPr>
    <w:rPr>
      <w:rFonts w:ascii="Calibri" w:hAnsi="Calibri" w:cs="Calibri"/>
      <w:szCs w:val="20"/>
    </w:rPr>
  </w:style>
  <w:style w:type="paragraph" w:customStyle="1" w:styleId="3269">
    <w:name w:val="样式 标题 3标题 3 Char标题 3 Char Char Char Char Char Char Char Char C...5 Char"/>
    <w:basedOn w:val="5"/>
    <w:semiHidden/>
    <w:qFormat/>
    <w:uiPriority w:val="0"/>
    <w:pPr>
      <w:numPr>
        <w:ilvl w:val="0"/>
        <w:numId w:val="0"/>
      </w:numPr>
      <w:tabs>
        <w:tab w:val="left" w:pos="720"/>
        <w:tab w:val="left" w:pos="1080"/>
      </w:tabs>
      <w:adjustRightInd w:val="0"/>
      <w:spacing w:before="0" w:after="0" w:line="360" w:lineRule="auto"/>
      <w:ind w:left="720" w:hanging="720"/>
    </w:pPr>
    <w:rPr>
      <w:rFonts w:cs="Calibri"/>
      <w:bCs w:val="0"/>
      <w:sz w:val="24"/>
      <w:lang w:val="en-US"/>
    </w:rPr>
  </w:style>
  <w:style w:type="paragraph" w:customStyle="1" w:styleId="3270">
    <w:name w:val="GM"/>
    <w:basedOn w:val="3"/>
    <w:qFormat/>
    <w:uiPriority w:val="99"/>
    <w:pPr>
      <w:widowControl/>
      <w:tabs>
        <w:tab w:val="left" w:pos="2260"/>
        <w:tab w:val="left" w:pos="2820"/>
        <w:tab w:val="left" w:pos="3420"/>
      </w:tabs>
      <w:overflowPunct/>
      <w:adjustRightInd w:val="0"/>
      <w:spacing w:before="240" w:after="0" w:line="480" w:lineRule="exact"/>
      <w:ind w:left="851" w:right="-28" w:hanging="851"/>
    </w:pPr>
    <w:rPr>
      <w:rFonts w:ascii="Arial" w:hAnsi="Arial" w:eastAsia="宋体"/>
      <w:b w:val="0"/>
      <w:bCs w:val="0"/>
      <w:color w:val="auto"/>
      <w:kern w:val="0"/>
      <w:sz w:val="22"/>
      <w:szCs w:val="20"/>
      <w:lang w:val="en-GB"/>
    </w:rPr>
  </w:style>
  <w:style w:type="paragraph" w:customStyle="1" w:styleId="3271">
    <w:name w:val="Char Char Char Char Char Char1 Char Char Char Char3"/>
    <w:basedOn w:val="1"/>
    <w:semiHidden/>
    <w:qFormat/>
    <w:uiPriority w:val="0"/>
    <w:rPr>
      <w:rFonts w:ascii="Calibri" w:hAnsi="Calibri" w:cs="Calibri"/>
      <w:sz w:val="24"/>
    </w:rPr>
  </w:style>
  <w:style w:type="paragraph" w:customStyle="1" w:styleId="3272">
    <w:name w:val="Z"/>
    <w:basedOn w:val="1"/>
    <w:semiHidden/>
    <w:qFormat/>
    <w:uiPriority w:val="0"/>
    <w:pPr>
      <w:spacing w:line="460" w:lineRule="exact"/>
      <w:ind w:firstLine="200" w:firstLineChars="200"/>
    </w:pPr>
    <w:rPr>
      <w:rFonts w:ascii="宋体" w:hAnsi="宋体" w:cs="Calibri"/>
      <w:sz w:val="25"/>
    </w:rPr>
  </w:style>
  <w:style w:type="paragraph" w:customStyle="1" w:styleId="3273">
    <w:name w:val="Char Char Char Char Char Char Char Char Char Char Char Char Char Char Char Char Char Char Char Char Char Char Char Char Char Char Char Char Char Char Char Char Char Char Char Char Char Char Char Char Char Char Char1"/>
    <w:basedOn w:val="1"/>
    <w:semiHidden/>
    <w:qFormat/>
    <w:uiPriority w:val="0"/>
    <w:rPr>
      <w:rFonts w:ascii="Calibri" w:hAnsi="Calibri" w:cs="Calibri"/>
      <w:sz w:val="24"/>
    </w:rPr>
  </w:style>
  <w:style w:type="paragraph" w:customStyle="1" w:styleId="3274">
    <w:name w:val="样式 样式 表格 + (符号) 宋体 五号 居中 + 小五"/>
    <w:basedOn w:val="1"/>
    <w:qFormat/>
    <w:uiPriority w:val="99"/>
    <w:pPr>
      <w:kinsoku w:val="0"/>
      <w:overflowPunct w:val="0"/>
      <w:adjustRightInd w:val="0"/>
      <w:snapToGrid w:val="0"/>
      <w:jc w:val="center"/>
    </w:pPr>
    <w:rPr>
      <w:rFonts w:ascii="Calibri" w:hAnsi="Calibri" w:cs="Calibri"/>
      <w:snapToGrid w:val="0"/>
      <w:kern w:val="0"/>
      <w:sz w:val="18"/>
      <w:szCs w:val="21"/>
    </w:rPr>
  </w:style>
  <w:style w:type="paragraph" w:customStyle="1" w:styleId="3275">
    <w:name w:val="列表2"/>
    <w:basedOn w:val="1"/>
    <w:qFormat/>
    <w:uiPriority w:val="99"/>
    <w:pPr>
      <w:widowControl/>
      <w:jc w:val="left"/>
    </w:pPr>
    <w:rPr>
      <w:rFonts w:ascii="Arial" w:hAnsi="Arial" w:cs="Arial"/>
      <w:color w:val="333333"/>
      <w:kern w:val="0"/>
      <w:sz w:val="24"/>
    </w:rPr>
  </w:style>
  <w:style w:type="paragraph" w:customStyle="1" w:styleId="3276">
    <w:name w:val="Char1 Char Char Char3"/>
    <w:basedOn w:val="1"/>
    <w:qFormat/>
    <w:uiPriority w:val="99"/>
    <w:rPr>
      <w:rFonts w:ascii="Tahoma" w:hAnsi="Tahoma" w:cs="Calibri"/>
      <w:sz w:val="24"/>
      <w:szCs w:val="20"/>
    </w:rPr>
  </w:style>
  <w:style w:type="paragraph" w:customStyle="1" w:styleId="3277">
    <w:name w:val="正文小四 标准"/>
    <w:basedOn w:val="1"/>
    <w:qFormat/>
    <w:uiPriority w:val="99"/>
    <w:pPr>
      <w:spacing w:before="163" w:beforeLines="50" w:after="163" w:afterLines="50" w:line="360" w:lineRule="auto"/>
      <w:ind w:firstLine="480" w:firstLineChars="200"/>
    </w:pPr>
    <w:rPr>
      <w:rFonts w:ascii="Calibri" w:hAnsi="Calibri" w:cs="Calibri"/>
      <w:sz w:val="24"/>
      <w:szCs w:val="20"/>
    </w:rPr>
  </w:style>
  <w:style w:type="paragraph" w:customStyle="1" w:styleId="3278">
    <w:name w:val="样式 标题 2标题21.1H2h2第一层条2Header 2nd PageA.B.C.h2 main head..."/>
    <w:basedOn w:val="4"/>
    <w:qFormat/>
    <w:uiPriority w:val="99"/>
    <w:pPr>
      <w:numPr>
        <w:ilvl w:val="0"/>
        <w:numId w:val="0"/>
      </w:numPr>
      <w:adjustRightInd w:val="0"/>
      <w:snapToGrid w:val="0"/>
    </w:pPr>
    <w:rPr>
      <w:rFonts w:ascii="Times New Roman" w:hAnsi="Times New Roman" w:eastAsia="宋体"/>
      <w:b w:val="0"/>
      <w:bCs w:val="0"/>
      <w:sz w:val="24"/>
      <w:szCs w:val="30"/>
      <w:lang w:val="en-US"/>
    </w:rPr>
  </w:style>
  <w:style w:type="paragraph" w:customStyle="1" w:styleId="3279">
    <w:name w:val="xl126"/>
    <w:basedOn w:val="1"/>
    <w:qFormat/>
    <w:uiPriority w:val="99"/>
    <w:pPr>
      <w:widowControl/>
      <w:pBdr>
        <w:left w:val="single" w:color="auto" w:sz="4" w:space="0"/>
        <w:bottom w:val="single" w:color="auto" w:sz="8" w:space="0"/>
      </w:pBdr>
      <w:spacing w:before="100" w:beforeAutospacing="1" w:after="100" w:afterAutospacing="1"/>
      <w:jc w:val="left"/>
    </w:pPr>
    <w:rPr>
      <w:rFonts w:ascii="Arial Unicode MS" w:hAnsi="Arial Unicode MS" w:cs="Calibri"/>
      <w:kern w:val="0"/>
      <w:sz w:val="16"/>
      <w:szCs w:val="16"/>
    </w:rPr>
  </w:style>
  <w:style w:type="paragraph" w:customStyle="1" w:styleId="3280">
    <w:name w:val="Char1 Char Char Char11"/>
    <w:basedOn w:val="1"/>
    <w:qFormat/>
    <w:uiPriority w:val="99"/>
    <w:rPr>
      <w:rFonts w:ascii="Calibri" w:hAnsi="Calibri" w:cs="Calibri"/>
    </w:rPr>
  </w:style>
  <w:style w:type="paragraph" w:customStyle="1" w:styleId="3281">
    <w:name w:val="CM15"/>
    <w:basedOn w:val="314"/>
    <w:next w:val="314"/>
    <w:qFormat/>
    <w:uiPriority w:val="99"/>
    <w:pPr>
      <w:tabs>
        <w:tab w:val="left" w:pos="315"/>
      </w:tabs>
      <w:spacing w:after="0" w:line="440" w:lineRule="atLeast"/>
      <w:ind w:left="1855" w:hanging="720"/>
    </w:pPr>
    <w:rPr>
      <w:rFonts w:ascii="楷体_GB2312" w:hAnsi="Calibri" w:eastAsia="楷体_GB2312" w:cs="Times New Roman"/>
      <w:color w:val="auto"/>
      <w:kern w:val="2"/>
    </w:rPr>
  </w:style>
  <w:style w:type="paragraph" w:customStyle="1" w:styleId="3282">
    <w:name w:val="cg1"/>
    <w:basedOn w:val="1"/>
    <w:qFormat/>
    <w:uiPriority w:val="99"/>
    <w:pPr>
      <w:widowControl/>
      <w:spacing w:before="100" w:beforeAutospacing="1" w:after="100" w:afterAutospacing="1" w:line="330" w:lineRule="atLeast"/>
      <w:ind w:firstLine="360"/>
      <w:jc w:val="left"/>
    </w:pPr>
    <w:rPr>
      <w:rFonts w:ascii="ˎ̥" w:hAnsi="ˎ̥" w:cs="Calibri"/>
      <w:color w:val="000099"/>
      <w:kern w:val="0"/>
      <w:sz w:val="18"/>
      <w:szCs w:val="18"/>
    </w:rPr>
  </w:style>
  <w:style w:type="paragraph" w:customStyle="1" w:styleId="3283">
    <w:name w:val="样式 正文1 + 段前: 0.1 行1"/>
    <w:basedOn w:val="1"/>
    <w:semiHidden/>
    <w:qFormat/>
    <w:uiPriority w:val="0"/>
    <w:pPr>
      <w:snapToGrid w:val="0"/>
      <w:spacing w:before="10" w:beforeLines="10" w:line="440" w:lineRule="atLeast"/>
      <w:ind w:firstLine="510"/>
    </w:pPr>
    <w:rPr>
      <w:rFonts w:ascii="Calibri" w:hAnsi="Calibri" w:cs="宋体"/>
      <w:sz w:val="24"/>
      <w:szCs w:val="20"/>
    </w:rPr>
  </w:style>
  <w:style w:type="paragraph" w:customStyle="1" w:styleId="3284">
    <w:name w:val="样式 样式 样式 正文文本缩进 + 首行缩进:  2 字符 + 宋体 首行缩进:  2 字符 + 首行缩进:  2 字符"/>
    <w:basedOn w:val="1"/>
    <w:semiHidden/>
    <w:qFormat/>
    <w:uiPriority w:val="0"/>
    <w:pPr>
      <w:adjustRightInd w:val="0"/>
      <w:snapToGrid w:val="0"/>
      <w:spacing w:line="360" w:lineRule="auto"/>
      <w:ind w:firstLine="560" w:firstLineChars="200"/>
    </w:pPr>
    <w:rPr>
      <w:rFonts w:ascii="Calibri" w:hAnsi="Calibri" w:eastAsia="楷体_GB2312" w:cs="Calibri"/>
      <w:sz w:val="32"/>
      <w:szCs w:val="20"/>
    </w:rPr>
  </w:style>
  <w:style w:type="paragraph" w:customStyle="1" w:styleId="3285">
    <w:name w:val="条文1"/>
    <w:basedOn w:val="489"/>
    <w:semiHidden/>
    <w:qFormat/>
    <w:uiPriority w:val="0"/>
    <w:pPr>
      <w:widowControl w:val="0"/>
      <w:autoSpaceDE/>
      <w:autoSpaceDN/>
      <w:adjustRightInd w:val="0"/>
      <w:spacing w:line="460" w:lineRule="exact"/>
      <w:ind w:left="907" w:hanging="425" w:firstLineChars="0"/>
      <w:jc w:val="left"/>
      <w:textAlignment w:val="baseline"/>
    </w:pPr>
    <w:rPr>
      <w:rFonts w:ascii="@黑体" w:hAnsi="Tahoma" w:eastAsia="黑体" w:cs="Calibri"/>
      <w:spacing w:val="3"/>
      <w:kern w:val="24"/>
      <w:sz w:val="24"/>
    </w:rPr>
  </w:style>
  <w:style w:type="paragraph" w:customStyle="1" w:styleId="3286">
    <w:name w:val="Char Char Char6"/>
    <w:basedOn w:val="1"/>
    <w:semiHidden/>
    <w:qFormat/>
    <w:uiPriority w:val="0"/>
    <w:rPr>
      <w:rFonts w:ascii="Calibri" w:hAnsi="Calibri" w:cs="Calibri"/>
      <w:sz w:val="24"/>
    </w:rPr>
  </w:style>
  <w:style w:type="paragraph" w:customStyle="1" w:styleId="3287">
    <w:name w:val="cdb"/>
    <w:basedOn w:val="1"/>
    <w:qFormat/>
    <w:uiPriority w:val="99"/>
    <w:pPr>
      <w:spacing w:before="120"/>
      <w:ind w:left="851" w:firstLine="482"/>
    </w:pPr>
    <w:rPr>
      <w:rFonts w:ascii="Calibri" w:hAnsi="Calibri" w:cs="Calibri"/>
      <w:szCs w:val="20"/>
    </w:rPr>
  </w:style>
  <w:style w:type="paragraph" w:customStyle="1" w:styleId="3288">
    <w:name w:val="默认段落字体 Para Char Char Char1 Char Char Char Char Char Char Char Char Char Char Char Char"/>
    <w:basedOn w:val="1"/>
    <w:qFormat/>
    <w:uiPriority w:val="99"/>
    <w:rPr>
      <w:rFonts w:ascii="Calibri" w:hAnsi="Calibri" w:cs="Calibri"/>
      <w:sz w:val="24"/>
    </w:rPr>
  </w:style>
  <w:style w:type="paragraph" w:customStyle="1" w:styleId="3289">
    <w:name w:val="正文 Char Char Char Char"/>
    <w:basedOn w:val="1"/>
    <w:next w:val="1"/>
    <w:semiHidden/>
    <w:qFormat/>
    <w:uiPriority w:val="0"/>
    <w:pPr>
      <w:adjustRightInd w:val="0"/>
      <w:spacing w:line="360" w:lineRule="auto"/>
      <w:ind w:firstLine="482"/>
      <w:jc w:val="left"/>
      <w:textAlignment w:val="baseline"/>
    </w:pPr>
    <w:rPr>
      <w:rFonts w:ascii="宋体" w:hAnsi="Calibri" w:cs="Calibri"/>
      <w:snapToGrid w:val="0"/>
      <w:kern w:val="21"/>
      <w:sz w:val="24"/>
    </w:rPr>
  </w:style>
  <w:style w:type="paragraph" w:customStyle="1" w:styleId="3290">
    <w:name w:val="字元4"/>
    <w:basedOn w:val="1"/>
    <w:semiHidden/>
    <w:qFormat/>
    <w:uiPriority w:val="0"/>
    <w:rPr>
      <w:rFonts w:ascii="Calibri" w:hAnsi="Calibri" w:cs="Calibri"/>
      <w:sz w:val="24"/>
    </w:rPr>
  </w:style>
  <w:style w:type="paragraph" w:customStyle="1" w:styleId="3291">
    <w:name w:val="font29"/>
    <w:basedOn w:val="1"/>
    <w:semiHidden/>
    <w:qFormat/>
    <w:uiPriority w:val="0"/>
    <w:pPr>
      <w:widowControl/>
      <w:spacing w:before="100" w:beforeAutospacing="1" w:after="100" w:afterAutospacing="1"/>
      <w:jc w:val="left"/>
    </w:pPr>
    <w:rPr>
      <w:rFonts w:ascii="Calibri" w:hAnsi="Calibri" w:cs="Calibri"/>
      <w:kern w:val="0"/>
      <w:sz w:val="15"/>
      <w:szCs w:val="15"/>
    </w:rPr>
  </w:style>
  <w:style w:type="paragraph" w:customStyle="1" w:styleId="3292">
    <w:name w:val="xl152"/>
    <w:basedOn w:val="1"/>
    <w:qFormat/>
    <w:uiPriority w:val="99"/>
    <w:pPr>
      <w:widowControl/>
      <w:spacing w:before="100" w:beforeAutospacing="1" w:after="100" w:afterAutospacing="1"/>
      <w:jc w:val="left"/>
      <w:textAlignment w:val="center"/>
    </w:pPr>
    <w:rPr>
      <w:rFonts w:ascii="Arial Unicode MS" w:hAnsi="Arial Unicode MS" w:cs="Calibri"/>
      <w:kern w:val="0"/>
      <w:sz w:val="16"/>
      <w:szCs w:val="16"/>
    </w:rPr>
  </w:style>
  <w:style w:type="paragraph" w:customStyle="1" w:styleId="3293">
    <w:name w:val="二级标题"/>
    <w:basedOn w:val="1"/>
    <w:qFormat/>
    <w:uiPriority w:val="0"/>
    <w:pPr>
      <w:spacing w:before="60" w:line="460" w:lineRule="exact"/>
      <w:outlineLvl w:val="1"/>
    </w:pPr>
    <w:rPr>
      <w:rFonts w:ascii="Calibri" w:hAnsi="Calibri" w:cs="Calibri"/>
      <w:b/>
      <w:bCs/>
      <w:sz w:val="28"/>
    </w:rPr>
  </w:style>
  <w:style w:type="paragraph" w:customStyle="1" w:styleId="3294">
    <w:name w:val="样式 表头样式1 + 首行缩进:  2 字符 段前: 0.5 行"/>
    <w:qFormat/>
    <w:uiPriority w:val="0"/>
    <w:pPr>
      <w:spacing w:after="100" w:afterAutospacing="1"/>
    </w:pPr>
    <w:rPr>
      <w:rFonts w:ascii="Times New Roman" w:hAnsi="Times New Roman" w:eastAsia="宋体" w:cs="宋体"/>
      <w:bCs/>
      <w:color w:val="000000"/>
      <w:lang w:val="en-US" w:eastAsia="zh-TW" w:bidi="ar-SA"/>
    </w:rPr>
  </w:style>
  <w:style w:type="paragraph" w:customStyle="1" w:styleId="3295">
    <w:name w:val="表头样式1"/>
    <w:basedOn w:val="1"/>
    <w:qFormat/>
    <w:uiPriority w:val="0"/>
    <w:pPr>
      <w:autoSpaceDE w:val="0"/>
      <w:autoSpaceDN w:val="0"/>
      <w:adjustRightInd w:val="0"/>
      <w:snapToGrid w:val="0"/>
      <w:spacing w:before="62" w:beforeLines="20" w:after="62" w:afterLines="20" w:line="360" w:lineRule="auto"/>
      <w:ind w:firstLine="480" w:firstLineChars="200"/>
      <w:jc w:val="center"/>
    </w:pPr>
    <w:rPr>
      <w:rFonts w:ascii="黑体" w:hAnsi="宋体" w:eastAsia="黑体" w:cs="Calibri"/>
      <w:kern w:val="0"/>
      <w:sz w:val="24"/>
      <w:szCs w:val="20"/>
    </w:rPr>
  </w:style>
  <w:style w:type="paragraph" w:customStyle="1" w:styleId="3296">
    <w:name w:val="Char Char Char Char Char2"/>
    <w:basedOn w:val="1"/>
    <w:qFormat/>
    <w:uiPriority w:val="99"/>
    <w:pPr>
      <w:spacing w:line="240" w:lineRule="exact"/>
      <w:ind w:firstLine="200" w:firstLineChars="200"/>
    </w:pPr>
    <w:rPr>
      <w:rFonts w:ascii="Calibri" w:hAnsi="Calibri" w:cs="Calibri"/>
      <w:sz w:val="28"/>
      <w:szCs w:val="28"/>
    </w:rPr>
  </w:style>
  <w:style w:type="paragraph" w:customStyle="1" w:styleId="3297">
    <w:name w:val="M"/>
    <w:basedOn w:val="3"/>
    <w:qFormat/>
    <w:uiPriority w:val="99"/>
    <w:pPr>
      <w:widowControl/>
      <w:tabs>
        <w:tab w:val="left" w:pos="2260"/>
        <w:tab w:val="left" w:pos="2820"/>
        <w:tab w:val="left" w:pos="3420"/>
      </w:tabs>
      <w:overflowPunct/>
      <w:adjustRightInd w:val="0"/>
      <w:spacing w:before="440" w:after="0" w:line="480" w:lineRule="exact"/>
      <w:ind w:left="851" w:right="-28" w:hanging="851"/>
    </w:pPr>
    <w:rPr>
      <w:rFonts w:ascii="Arial" w:hAnsi="Arial" w:eastAsia="宋体"/>
      <w:bCs w:val="0"/>
      <w:color w:val="auto"/>
      <w:kern w:val="0"/>
      <w:sz w:val="22"/>
      <w:szCs w:val="20"/>
      <w:lang w:val="en-GB"/>
    </w:rPr>
  </w:style>
  <w:style w:type="paragraph" w:customStyle="1" w:styleId="3298">
    <w:name w:val="text_1"/>
    <w:basedOn w:val="1"/>
    <w:semiHidden/>
    <w:qFormat/>
    <w:uiPriority w:val="0"/>
    <w:pPr>
      <w:widowControl/>
      <w:spacing w:before="100" w:beforeAutospacing="1" w:after="100" w:afterAutospacing="1"/>
      <w:jc w:val="left"/>
    </w:pPr>
    <w:rPr>
      <w:rFonts w:ascii="宋体" w:hAnsi="宋体" w:cs="宋体"/>
      <w:color w:val="000000"/>
      <w:kern w:val="0"/>
      <w:sz w:val="24"/>
    </w:rPr>
  </w:style>
  <w:style w:type="paragraph" w:customStyle="1" w:styleId="3299">
    <w:name w:val="正文仿宋小四"/>
    <w:basedOn w:val="1"/>
    <w:qFormat/>
    <w:uiPriority w:val="99"/>
    <w:pPr>
      <w:adjustRightInd w:val="0"/>
      <w:snapToGrid w:val="0"/>
      <w:spacing w:line="360" w:lineRule="auto"/>
      <w:ind w:firstLine="480" w:firstLineChars="200"/>
    </w:pPr>
    <w:rPr>
      <w:rFonts w:ascii="Calibri" w:hAnsi="Calibri" w:eastAsia="仿宋_GB2312" w:cs="Calibri"/>
      <w:sz w:val="24"/>
    </w:rPr>
  </w:style>
  <w:style w:type="paragraph" w:customStyle="1" w:styleId="3300">
    <w:name w:val="Char6 Char Char Char1 Char Char Char"/>
    <w:basedOn w:val="1"/>
    <w:qFormat/>
    <w:uiPriority w:val="0"/>
    <w:rPr>
      <w:rFonts w:ascii="Calibri" w:hAnsi="Calibri" w:cs="Calibri"/>
      <w:szCs w:val="21"/>
    </w:rPr>
  </w:style>
  <w:style w:type="paragraph" w:customStyle="1" w:styleId="3301">
    <w:name w:val="小四表文居中"/>
    <w:qFormat/>
    <w:uiPriority w:val="0"/>
    <w:pPr>
      <w:widowControl w:val="0"/>
      <w:spacing w:line="320" w:lineRule="exact"/>
      <w:jc w:val="center"/>
    </w:pPr>
    <w:rPr>
      <w:rFonts w:ascii="仿宋_GB2312" w:hAnsi="Calibri" w:eastAsia="仿宋_GB2312" w:cs="Calibri"/>
      <w:kern w:val="2"/>
      <w:sz w:val="24"/>
      <w:szCs w:val="24"/>
      <w:lang w:val="en-US" w:eastAsia="zh-CN" w:bidi="ar-SA"/>
    </w:rPr>
  </w:style>
  <w:style w:type="paragraph" w:customStyle="1" w:styleId="3302">
    <w:name w:val="style12"/>
    <w:basedOn w:val="1"/>
    <w:qFormat/>
    <w:uiPriority w:val="99"/>
    <w:pPr>
      <w:widowControl/>
      <w:spacing w:before="100" w:beforeAutospacing="1" w:after="100" w:afterAutospacing="1"/>
      <w:jc w:val="left"/>
    </w:pPr>
    <w:rPr>
      <w:rFonts w:ascii="Arial" w:hAnsi="Arial" w:cs="Arial"/>
      <w:color w:val="666666"/>
      <w:kern w:val="0"/>
      <w:sz w:val="18"/>
      <w:szCs w:val="18"/>
    </w:rPr>
  </w:style>
  <w:style w:type="paragraph" w:customStyle="1" w:styleId="3303">
    <w:name w:val="样式 标题 3 + 首行缩进:  2 字符1"/>
    <w:basedOn w:val="5"/>
    <w:qFormat/>
    <w:uiPriority w:val="0"/>
    <w:pPr>
      <w:numPr>
        <w:ilvl w:val="0"/>
        <w:numId w:val="0"/>
      </w:numPr>
      <w:adjustRightInd w:val="0"/>
      <w:spacing w:before="240" w:beforeLines="50" w:after="240" w:afterLines="50" w:line="413" w:lineRule="auto"/>
    </w:pPr>
    <w:rPr>
      <w:rFonts w:cs="Calibri"/>
      <w:b w:val="0"/>
      <w:bCs w:val="0"/>
      <w:sz w:val="24"/>
      <w:szCs w:val="20"/>
      <w:lang w:val="en-US"/>
    </w:rPr>
  </w:style>
  <w:style w:type="paragraph" w:customStyle="1" w:styleId="3304">
    <w:name w:val="11"/>
    <w:basedOn w:val="1"/>
    <w:qFormat/>
    <w:uiPriority w:val="0"/>
    <w:rPr>
      <w:rFonts w:ascii="Calibri" w:hAnsi="Calibri" w:cs="Calibri"/>
      <w:sz w:val="24"/>
    </w:rPr>
  </w:style>
  <w:style w:type="paragraph" w:customStyle="1" w:styleId="3305">
    <w:name w:val="湛江码头表"/>
    <w:basedOn w:val="1"/>
    <w:qFormat/>
    <w:uiPriority w:val="99"/>
    <w:pPr>
      <w:jc w:val="center"/>
    </w:pPr>
    <w:rPr>
      <w:rFonts w:ascii="Calibri" w:hAnsi="Calibri" w:eastAsia="仿宋_GB2312" w:cs="Calibri"/>
      <w:kern w:val="0"/>
      <w:lang w:eastAsia="zh-TW"/>
    </w:rPr>
  </w:style>
  <w:style w:type="paragraph" w:customStyle="1" w:styleId="3306">
    <w:name w:val="Char24"/>
    <w:basedOn w:val="1"/>
    <w:qFormat/>
    <w:uiPriority w:val="0"/>
    <w:pPr>
      <w:spacing w:line="240" w:lineRule="exact"/>
      <w:ind w:firstLine="200" w:firstLineChars="200"/>
    </w:pPr>
    <w:rPr>
      <w:rFonts w:ascii="Calibri" w:hAnsi="Calibri" w:cs="Calibri"/>
      <w:sz w:val="28"/>
      <w:szCs w:val="28"/>
    </w:rPr>
  </w:style>
  <w:style w:type="paragraph" w:customStyle="1" w:styleId="3307">
    <w:name w:val="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3308">
    <w:name w:val="正文999"/>
    <w:basedOn w:val="1"/>
    <w:qFormat/>
    <w:uiPriority w:val="99"/>
    <w:pPr>
      <w:spacing w:line="360" w:lineRule="auto"/>
      <w:ind w:firstLine="480" w:firstLineChars="200"/>
    </w:pPr>
    <w:rPr>
      <w:rFonts w:ascii="宋体" w:hAnsi="宋体" w:cs="Calibri"/>
      <w:sz w:val="24"/>
    </w:rPr>
  </w:style>
  <w:style w:type="paragraph" w:customStyle="1" w:styleId="3309">
    <w:name w:val="列表项目"/>
    <w:basedOn w:val="26"/>
    <w:semiHidden/>
    <w:qFormat/>
    <w:uiPriority w:val="0"/>
    <w:pPr>
      <w:widowControl w:val="0"/>
      <w:adjustRightInd/>
      <w:snapToGrid/>
      <w:spacing w:before="120" w:line="360" w:lineRule="auto"/>
      <w:ind w:firstLine="0" w:firstLineChars="0"/>
      <w:jc w:val="center"/>
    </w:pPr>
    <w:rPr>
      <w:rFonts w:ascii="@黑体" w:hAnsi="@黑体" w:eastAsia="黑体" w:cs="Calibri"/>
      <w:b/>
      <w:kern w:val="2"/>
      <w:sz w:val="30"/>
      <w:szCs w:val="20"/>
      <w:lang w:eastAsia="zh-CN" w:bidi="ar-SA"/>
    </w:rPr>
  </w:style>
  <w:style w:type="paragraph" w:customStyle="1" w:styleId="3310">
    <w:name w:val="xl118"/>
    <w:basedOn w:val="1"/>
    <w:qFormat/>
    <w:uiPriority w:val="0"/>
    <w:pPr>
      <w:widowControl/>
      <w:pBdr>
        <w:left w:val="single" w:color="auto" w:sz="12" w:space="0"/>
      </w:pBdr>
      <w:spacing w:before="100" w:beforeAutospacing="1" w:after="100" w:afterAutospacing="1"/>
      <w:jc w:val="center"/>
      <w:textAlignment w:val="center"/>
    </w:pPr>
    <w:rPr>
      <w:rFonts w:ascii="Arial Unicode MS" w:hAnsi="Arial Unicode MS" w:cs="Calibri"/>
      <w:kern w:val="0"/>
      <w:sz w:val="12"/>
      <w:szCs w:val="12"/>
    </w:rPr>
  </w:style>
  <w:style w:type="paragraph" w:customStyle="1" w:styleId="3311">
    <w:name w:val="Char Char2 Char Char Char Char Char Char2"/>
    <w:basedOn w:val="1"/>
    <w:qFormat/>
    <w:uiPriority w:val="99"/>
    <w:pPr>
      <w:spacing w:line="480" w:lineRule="exact"/>
    </w:pPr>
    <w:rPr>
      <w:rFonts w:ascii="Calibri" w:hAnsi="Calibri" w:cs="Calibri"/>
      <w:sz w:val="22"/>
    </w:rPr>
  </w:style>
  <w:style w:type="paragraph" w:customStyle="1" w:styleId="3312">
    <w:name w:val="正文文本缩进12"/>
    <w:basedOn w:val="1"/>
    <w:qFormat/>
    <w:uiPriority w:val="99"/>
    <w:pPr>
      <w:spacing w:after="120" w:line="360" w:lineRule="auto"/>
      <w:ind w:left="420" w:leftChars="200" w:firstLine="200" w:firstLineChars="200"/>
    </w:pPr>
    <w:rPr>
      <w:rFonts w:ascii="Calibri" w:hAnsi="Calibri" w:cs="Calibri"/>
      <w:sz w:val="24"/>
    </w:rPr>
  </w:style>
  <w:style w:type="paragraph" w:customStyle="1" w:styleId="3313">
    <w:name w:val="xl331"/>
    <w:basedOn w:val="1"/>
    <w:semiHidden/>
    <w:qFormat/>
    <w:uiPriority w:val="0"/>
    <w:pPr>
      <w:widowControl/>
      <w:pBdr>
        <w:right w:val="single" w:color="auto" w:sz="8" w:space="0"/>
      </w:pBdr>
      <w:spacing w:before="100" w:beforeAutospacing="1" w:after="100" w:afterAutospacing="1"/>
      <w:jc w:val="center"/>
    </w:pPr>
    <w:rPr>
      <w:rFonts w:ascii="Calibri" w:hAnsi="Calibri" w:cs="Calibri"/>
      <w:color w:val="0000FF"/>
      <w:kern w:val="0"/>
      <w:sz w:val="18"/>
      <w:szCs w:val="18"/>
    </w:rPr>
  </w:style>
  <w:style w:type="paragraph" w:customStyle="1" w:styleId="3314">
    <w:name w:val="奉读大示，心折殊深。"/>
    <w:semiHidden/>
    <w:qFormat/>
    <w:uiPriority w:val="0"/>
    <w:pPr>
      <w:widowControl w:val="0"/>
      <w:jc w:val="both"/>
    </w:pPr>
    <w:rPr>
      <w:rFonts w:ascii="Calibri" w:hAnsi="Calibri" w:eastAsia="宋体" w:cs="Calibri"/>
      <w:kern w:val="2"/>
      <w:sz w:val="21"/>
      <w:lang w:val="en-US" w:eastAsia="zh-CN" w:bidi="ar-SA"/>
    </w:rPr>
  </w:style>
  <w:style w:type="paragraph" w:customStyle="1" w:styleId="3315">
    <w:name w:val="xl58"/>
    <w:basedOn w:val="1"/>
    <w:qFormat/>
    <w:uiPriority w:val="0"/>
    <w:pPr>
      <w:widowControl/>
      <w:spacing w:before="100" w:beforeAutospacing="1" w:after="100" w:afterAutospacing="1"/>
      <w:jc w:val="left"/>
      <w:textAlignment w:val="center"/>
    </w:pPr>
    <w:rPr>
      <w:rFonts w:ascii="Arial Unicode MS" w:hAnsi="Arial Unicode MS" w:cs="Calibri"/>
      <w:kern w:val="0"/>
      <w:sz w:val="12"/>
      <w:szCs w:val="12"/>
    </w:rPr>
  </w:style>
  <w:style w:type="paragraph" w:customStyle="1" w:styleId="3316">
    <w:name w:val="样式 标题 1章标题章节H1NMP Heading 1Section HeadHeader1h11st leve..."/>
    <w:basedOn w:val="3"/>
    <w:semiHidden/>
    <w:qFormat/>
    <w:uiPriority w:val="0"/>
    <w:pPr>
      <w:overflowPunct/>
      <w:adjustRightInd w:val="0"/>
      <w:snapToGrid/>
      <w:spacing w:before="240" w:beforeLines="100" w:after="240" w:afterLines="100" w:line="480" w:lineRule="exact"/>
      <w:ind w:left="0" w:firstLine="0"/>
    </w:pPr>
    <w:rPr>
      <w:rFonts w:eastAsia="方正仿宋_GBK" w:cs="宋体"/>
      <w:b w:val="0"/>
      <w:color w:val="auto"/>
      <w:kern w:val="2"/>
      <w:sz w:val="44"/>
      <w:szCs w:val="20"/>
    </w:rPr>
  </w:style>
  <w:style w:type="paragraph" w:customStyle="1" w:styleId="3317">
    <w:name w:val="默认段落字体 Para Char Char Char Char Char Char Char Char Char Char Char Char Char1 Char Char Char Char Char Char"/>
    <w:basedOn w:val="1"/>
    <w:qFormat/>
    <w:uiPriority w:val="99"/>
    <w:rPr>
      <w:rFonts w:ascii="Calibri" w:hAnsi="Calibri" w:cs="Calibri"/>
      <w:sz w:val="24"/>
    </w:rPr>
  </w:style>
  <w:style w:type="paragraph" w:customStyle="1" w:styleId="3318">
    <w:name w:val="ST20_5"/>
    <w:basedOn w:val="1"/>
    <w:qFormat/>
    <w:uiPriority w:val="99"/>
    <w:pPr>
      <w:keepLines/>
      <w:autoSpaceDE w:val="0"/>
      <w:autoSpaceDN w:val="0"/>
      <w:adjustRightInd w:val="0"/>
      <w:spacing w:after="160" w:line="360" w:lineRule="atLeast"/>
      <w:ind w:left="720" w:right="720"/>
      <w:jc w:val="left"/>
      <w:textAlignment w:val="baseline"/>
    </w:pPr>
    <w:rPr>
      <w:rFonts w:ascii="宋体" w:hAnsi="Tms Rmn" w:cs="Calibri"/>
      <w:i/>
      <w:kern w:val="0"/>
      <w:sz w:val="28"/>
      <w:szCs w:val="20"/>
    </w:rPr>
  </w:style>
  <w:style w:type="paragraph" w:customStyle="1" w:styleId="3319">
    <w:name w:val="我的样式（正文）"/>
    <w:basedOn w:val="1"/>
    <w:qFormat/>
    <w:uiPriority w:val="0"/>
    <w:pPr>
      <w:spacing w:line="440" w:lineRule="exact"/>
    </w:pPr>
    <w:rPr>
      <w:rFonts w:ascii="宋体" w:hAnsi="Calibri" w:cs="Calibri"/>
      <w:sz w:val="28"/>
      <w:szCs w:val="20"/>
    </w:rPr>
  </w:style>
  <w:style w:type="paragraph" w:customStyle="1" w:styleId="3320">
    <w:name w:val="表格03"/>
    <w:basedOn w:val="1"/>
    <w:qFormat/>
    <w:uiPriority w:val="0"/>
    <w:pPr>
      <w:spacing w:line="400" w:lineRule="exact"/>
      <w:jc w:val="center"/>
    </w:pPr>
    <w:rPr>
      <w:rFonts w:ascii="Calibri" w:hAnsi="Calibri" w:cs="Calibri"/>
      <w:color w:val="000000"/>
      <w:sz w:val="24"/>
      <w:szCs w:val="21"/>
    </w:rPr>
  </w:style>
  <w:style w:type="paragraph" w:customStyle="1" w:styleId="3321">
    <w:name w:val="表格（5号）"/>
    <w:basedOn w:val="1"/>
    <w:semiHidden/>
    <w:qFormat/>
    <w:uiPriority w:val="0"/>
    <w:pPr>
      <w:spacing w:line="360" w:lineRule="exact"/>
      <w:ind w:left="-113" w:right="-113"/>
      <w:jc w:val="center"/>
    </w:pPr>
    <w:rPr>
      <w:rFonts w:ascii="@黑体" w:hAnsi="@黑体" w:eastAsia="黑体" w:cs="Tahoma"/>
      <w:color w:val="000000"/>
      <w:sz w:val="18"/>
      <w:szCs w:val="20"/>
    </w:rPr>
  </w:style>
  <w:style w:type="paragraph" w:customStyle="1" w:styleId="3322">
    <w:name w:val="Char Char Char Char Char Char1 Char2"/>
    <w:basedOn w:val="1"/>
    <w:qFormat/>
    <w:uiPriority w:val="99"/>
    <w:rPr>
      <w:rFonts w:ascii="Calibri" w:hAnsi="Calibri" w:cs="Calibri"/>
    </w:rPr>
  </w:style>
  <w:style w:type="paragraph" w:customStyle="1" w:styleId="3323">
    <w:name w:val="样式 正文文本 + 首行缩进:  2 字符4"/>
    <w:basedOn w:val="36"/>
    <w:qFormat/>
    <w:uiPriority w:val="0"/>
    <w:pPr>
      <w:widowControl w:val="0"/>
      <w:adjustRightInd w:val="0"/>
      <w:snapToGrid/>
      <w:spacing w:before="0" w:after="0" w:line="240" w:lineRule="auto"/>
      <w:ind w:right="0"/>
      <w:textAlignment w:val="baseline"/>
    </w:pPr>
    <w:rPr>
      <w:rFonts w:ascii="Calibri" w:hAnsi="Calibri" w:eastAsia="仿宋_GB2312" w:cs="宋体"/>
      <w:color w:val="000000"/>
      <w:kern w:val="2"/>
      <w:sz w:val="21"/>
      <w:szCs w:val="21"/>
      <w:lang w:val="en-US"/>
    </w:rPr>
  </w:style>
  <w:style w:type="paragraph" w:customStyle="1" w:styleId="3324">
    <w:name w:val="Char Char Char Char Char Char Char Char Char Char Char2"/>
    <w:basedOn w:val="1"/>
    <w:qFormat/>
    <w:uiPriority w:val="99"/>
    <w:rPr>
      <w:rFonts w:ascii="Calibri" w:hAnsi="Calibri" w:cs="Calibri"/>
      <w:sz w:val="24"/>
    </w:rPr>
  </w:style>
  <w:style w:type="paragraph" w:customStyle="1" w:styleId="3325">
    <w:name w:val="日期2"/>
    <w:basedOn w:val="1"/>
    <w:next w:val="1"/>
    <w:qFormat/>
    <w:uiPriority w:val="99"/>
    <w:pPr>
      <w:adjustRightInd w:val="0"/>
      <w:textAlignment w:val="baseline"/>
    </w:pPr>
    <w:rPr>
      <w:rFonts w:ascii="Calibri" w:hAnsi="Calibri" w:cs="Calibri"/>
      <w:szCs w:val="20"/>
    </w:rPr>
  </w:style>
  <w:style w:type="paragraph" w:customStyle="1" w:styleId="3326">
    <w:name w:val="Char Char Char Char Char Char Char Char Char Char Char Char Char Char Char Char Char Char2"/>
    <w:basedOn w:val="1"/>
    <w:semiHidden/>
    <w:qFormat/>
    <w:uiPriority w:val="0"/>
    <w:rPr>
      <w:rFonts w:ascii="Calibri" w:hAnsi="Calibri" w:cs="Calibri"/>
      <w:sz w:val="24"/>
    </w:rPr>
  </w:style>
  <w:style w:type="paragraph" w:customStyle="1" w:styleId="3327">
    <w:name w:val="Char Char1 Char Char Char Char Char Char Char Char Char Char Char Char Char Char Char Char Char Char Char Char1 Char4"/>
    <w:basedOn w:val="1"/>
    <w:qFormat/>
    <w:uiPriority w:val="99"/>
    <w:pPr>
      <w:spacing w:before="60" w:line="360" w:lineRule="auto"/>
      <w:ind w:firstLine="200" w:firstLineChars="200"/>
    </w:pPr>
    <w:rPr>
      <w:rFonts w:ascii="宋体" w:hAnsi="宋体" w:cs="宋体"/>
      <w:sz w:val="24"/>
    </w:rPr>
  </w:style>
  <w:style w:type="paragraph" w:customStyle="1" w:styleId="3328">
    <w:name w:val="样式 标题 3 + 段前: 6 磅 段后: 6 磅 行距: 多倍行距 1.73 字行"/>
    <w:basedOn w:val="5"/>
    <w:qFormat/>
    <w:uiPriority w:val="99"/>
    <w:pPr>
      <w:numPr>
        <w:ilvl w:val="0"/>
        <w:numId w:val="0"/>
      </w:numPr>
      <w:adjustRightInd w:val="0"/>
      <w:spacing w:before="120" w:after="120" w:line="415" w:lineRule="auto"/>
    </w:pPr>
    <w:rPr>
      <w:rFonts w:cs="宋体"/>
      <w:b w:val="0"/>
      <w:kern w:val="0"/>
      <w:szCs w:val="20"/>
      <w:lang w:val="en-US"/>
    </w:rPr>
  </w:style>
  <w:style w:type="paragraph" w:customStyle="1" w:styleId="3329">
    <w:name w:val="样式 五号 居中"/>
    <w:basedOn w:val="1"/>
    <w:qFormat/>
    <w:uiPriority w:val="0"/>
    <w:pPr>
      <w:jc w:val="center"/>
    </w:pPr>
    <w:rPr>
      <w:rFonts w:ascii="宋体" w:hAnsi="宋体" w:cs="宋体"/>
      <w:snapToGrid w:val="0"/>
      <w:kern w:val="0"/>
      <w:szCs w:val="21"/>
    </w:rPr>
  </w:style>
  <w:style w:type="paragraph" w:customStyle="1" w:styleId="3330">
    <w:name w:val="样式 标题 2节 + Times New Roman 四号 行距: 1.5 倍行距1"/>
    <w:basedOn w:val="4"/>
    <w:qFormat/>
    <w:uiPriority w:val="0"/>
    <w:pPr>
      <w:numPr>
        <w:ilvl w:val="0"/>
        <w:numId w:val="0"/>
      </w:numPr>
      <w:tabs>
        <w:tab w:val="left" w:pos="576"/>
      </w:tabs>
      <w:adjustRightInd w:val="0"/>
      <w:ind w:left="576" w:hanging="576"/>
    </w:pPr>
    <w:rPr>
      <w:rFonts w:ascii="仿宋_GB2312" w:hAnsi="Times New Roman" w:eastAsia="仿宋_GB2312"/>
      <w:b w:val="0"/>
      <w:sz w:val="36"/>
      <w:szCs w:val="36"/>
      <w:lang w:val="en-US"/>
    </w:rPr>
  </w:style>
  <w:style w:type="paragraph" w:customStyle="1" w:styleId="3331">
    <w:name w:val="样式 标题 3 + 四号"/>
    <w:basedOn w:val="5"/>
    <w:qFormat/>
    <w:uiPriority w:val="0"/>
    <w:pPr>
      <w:keepNext w:val="0"/>
      <w:keepLines w:val="0"/>
      <w:numPr>
        <w:ilvl w:val="0"/>
        <w:numId w:val="0"/>
      </w:numPr>
      <w:adjustRightInd w:val="0"/>
      <w:spacing w:before="0" w:after="0" w:line="240" w:lineRule="atLeast"/>
      <w:jc w:val="center"/>
      <w:outlineLvl w:val="9"/>
    </w:pPr>
    <w:rPr>
      <w:rFonts w:cs="Calibri"/>
      <w:bCs w:val="0"/>
      <w:sz w:val="21"/>
      <w:szCs w:val="21"/>
      <w:lang w:val="en-US"/>
    </w:rPr>
  </w:style>
  <w:style w:type="paragraph" w:customStyle="1" w:styleId="3332">
    <w:name w:val="列表11"/>
    <w:basedOn w:val="67"/>
    <w:semiHidden/>
    <w:qFormat/>
    <w:uiPriority w:val="0"/>
    <w:pPr>
      <w:tabs>
        <w:tab w:val="left" w:pos="1727"/>
        <w:tab w:val="left" w:pos="1884"/>
      </w:tabs>
      <w:snapToGrid w:val="0"/>
      <w:spacing w:line="360" w:lineRule="auto"/>
      <w:ind w:firstLine="0" w:firstLineChars="0"/>
      <w:jc w:val="both"/>
      <w:outlineLvl w:val="0"/>
    </w:pPr>
    <w:rPr>
      <w:rFonts w:cs="Calibri"/>
      <w:sz w:val="32"/>
    </w:rPr>
  </w:style>
  <w:style w:type="paragraph" w:customStyle="1" w:styleId="3333">
    <w:name w:val="样式 表蕊 + 四号 黑色 居中"/>
    <w:basedOn w:val="1"/>
    <w:qFormat/>
    <w:uiPriority w:val="99"/>
    <w:pPr>
      <w:adjustRightInd w:val="0"/>
      <w:spacing w:line="280" w:lineRule="atLeast"/>
      <w:jc w:val="center"/>
      <w:textAlignment w:val="baseline"/>
    </w:pPr>
    <w:rPr>
      <w:rFonts w:ascii="Calibri" w:hAnsi="Calibri" w:cs="宋体"/>
      <w:color w:val="000000"/>
      <w:sz w:val="28"/>
      <w:szCs w:val="28"/>
    </w:rPr>
  </w:style>
  <w:style w:type="paragraph" w:customStyle="1" w:styleId="3334">
    <w:name w:val="xl261"/>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335">
    <w:name w:val="Char Char Char Char Char Char Char Char Char1 Char Char Char Char Char Char2"/>
    <w:basedOn w:val="1"/>
    <w:qFormat/>
    <w:uiPriority w:val="99"/>
    <w:rPr>
      <w:rFonts w:ascii="Calibri" w:hAnsi="Calibri" w:cs="Calibri"/>
      <w:szCs w:val="21"/>
    </w:rPr>
  </w:style>
  <w:style w:type="paragraph" w:customStyle="1" w:styleId="3336">
    <w:name w:val="xl159"/>
    <w:basedOn w:val="1"/>
    <w:qFormat/>
    <w:uiPriority w:val="99"/>
    <w:pPr>
      <w:widowControl/>
      <w:pBdr>
        <w:right w:val="single" w:color="auto" w:sz="4" w:space="0"/>
      </w:pBdr>
      <w:spacing w:before="100" w:beforeAutospacing="1" w:after="100" w:afterAutospacing="1"/>
      <w:jc w:val="left"/>
    </w:pPr>
    <w:rPr>
      <w:rFonts w:ascii="Arial Unicode MS" w:hAnsi="Arial Unicode MS" w:cs="Calibri"/>
      <w:kern w:val="0"/>
    </w:rPr>
  </w:style>
  <w:style w:type="paragraph" w:customStyle="1" w:styleId="3337">
    <w:name w:val="Institution"/>
    <w:basedOn w:val="1"/>
    <w:next w:val="2096"/>
    <w:semiHidden/>
    <w:qFormat/>
    <w:uiPriority w:val="0"/>
    <w:pPr>
      <w:widowControl/>
      <w:tabs>
        <w:tab w:val="left" w:pos="2160"/>
        <w:tab w:val="right" w:pos="6480"/>
      </w:tabs>
      <w:spacing w:before="220" w:after="60" w:line="220" w:lineRule="atLeast"/>
      <w:ind w:right="-360"/>
      <w:jc w:val="left"/>
    </w:pPr>
    <w:rPr>
      <w:rFonts w:ascii="@黑体" w:hAnsi="@黑体" w:eastAsia="黑体" w:cs="Calibri"/>
      <w:kern w:val="0"/>
      <w:sz w:val="20"/>
      <w:szCs w:val="20"/>
    </w:rPr>
  </w:style>
  <w:style w:type="paragraph" w:customStyle="1" w:styleId="3338">
    <w:name w:val="xl266"/>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339">
    <w:name w:val="小四表格"/>
    <w:basedOn w:val="1"/>
    <w:qFormat/>
    <w:uiPriority w:val="0"/>
    <w:pPr>
      <w:keepNext/>
      <w:autoSpaceDE w:val="0"/>
      <w:autoSpaceDN w:val="0"/>
      <w:adjustRightInd w:val="0"/>
      <w:spacing w:line="480" w:lineRule="atLeast"/>
      <w:jc w:val="center"/>
    </w:pPr>
    <w:rPr>
      <w:rFonts w:ascii="Calibri" w:hAnsi="Calibri" w:cs="Calibri"/>
      <w:color w:val="000000"/>
      <w:sz w:val="24"/>
      <w:szCs w:val="20"/>
    </w:rPr>
  </w:style>
  <w:style w:type="paragraph" w:customStyle="1" w:styleId="3340">
    <w:name w:val="正文图小四"/>
    <w:basedOn w:val="1"/>
    <w:qFormat/>
    <w:uiPriority w:val="99"/>
    <w:pPr>
      <w:adjustRightInd w:val="0"/>
      <w:snapToGrid w:val="0"/>
      <w:jc w:val="center"/>
      <w:textAlignment w:val="baseline"/>
    </w:pPr>
    <w:rPr>
      <w:rFonts w:ascii="宋体" w:hAnsi="Calibri" w:cs="Calibri"/>
      <w:kern w:val="0"/>
      <w:sz w:val="24"/>
    </w:rPr>
  </w:style>
  <w:style w:type="paragraph" w:customStyle="1" w:styleId="3341">
    <w:name w:val="xl280"/>
    <w:basedOn w:val="1"/>
    <w:semiHidden/>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342">
    <w:name w:val="样式 (符号) 宋体 四号 段后: 6 磅 行距: 1.5 倍行距"/>
    <w:basedOn w:val="1"/>
    <w:semiHidden/>
    <w:qFormat/>
    <w:uiPriority w:val="0"/>
    <w:pPr>
      <w:spacing w:after="120" w:line="360" w:lineRule="auto"/>
      <w:ind w:firstLine="560" w:firstLineChars="200"/>
    </w:pPr>
    <w:rPr>
      <w:rFonts w:ascii="宋体" w:hAnsi="宋体" w:cs="宋体"/>
      <w:sz w:val="28"/>
      <w:szCs w:val="20"/>
    </w:rPr>
  </w:style>
  <w:style w:type="paragraph" w:customStyle="1" w:styleId="3343">
    <w:name w:val="xl180"/>
    <w:basedOn w:val="1"/>
    <w:qFormat/>
    <w:uiPriority w:val="99"/>
    <w:pPr>
      <w:widowControl/>
      <w:pBdr>
        <w:left w:val="single" w:color="auto" w:sz="4" w:space="0"/>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344">
    <w:name w:val="正文文本缩进 214"/>
    <w:basedOn w:val="1"/>
    <w:semiHidden/>
    <w:qFormat/>
    <w:uiPriority w:val="0"/>
    <w:pPr>
      <w:adjustRightInd w:val="0"/>
      <w:spacing w:line="480" w:lineRule="atLeast"/>
      <w:ind w:firstLine="630"/>
      <w:textAlignment w:val="baseline"/>
    </w:pPr>
    <w:rPr>
      <w:rFonts w:ascii="宋体" w:hAnsi="Calibri" w:cs="Calibri"/>
      <w:sz w:val="28"/>
      <w:szCs w:val="20"/>
    </w:rPr>
  </w:style>
  <w:style w:type="paragraph" w:customStyle="1" w:styleId="3345">
    <w:name w:val="Char Char1 Char3"/>
    <w:basedOn w:val="1"/>
    <w:semiHidden/>
    <w:qFormat/>
    <w:uiPriority w:val="0"/>
    <w:rPr>
      <w:rFonts w:ascii="Calibri" w:hAnsi="Calibri" w:cs="Calibri"/>
      <w:sz w:val="24"/>
    </w:rPr>
  </w:style>
  <w:style w:type="paragraph" w:customStyle="1" w:styleId="3346">
    <w:name w:val="正文文本缩进 311"/>
    <w:basedOn w:val="1"/>
    <w:qFormat/>
    <w:uiPriority w:val="99"/>
    <w:pPr>
      <w:adjustRightInd w:val="0"/>
      <w:spacing w:line="480" w:lineRule="exact"/>
      <w:ind w:firstLine="525"/>
      <w:textAlignment w:val="baseline"/>
    </w:pPr>
    <w:rPr>
      <w:rFonts w:ascii="宋体" w:hAnsi="Calibri" w:cs="Calibri"/>
      <w:sz w:val="28"/>
      <w:szCs w:val="20"/>
    </w:rPr>
  </w:style>
  <w:style w:type="paragraph" w:customStyle="1" w:styleId="3347">
    <w:name w:val="正文文本 23"/>
    <w:basedOn w:val="1"/>
    <w:qFormat/>
    <w:uiPriority w:val="99"/>
    <w:pPr>
      <w:autoSpaceDE w:val="0"/>
      <w:autoSpaceDN w:val="0"/>
      <w:adjustRightInd w:val="0"/>
      <w:spacing w:line="360" w:lineRule="atLeast"/>
      <w:ind w:firstLine="425"/>
    </w:pPr>
    <w:rPr>
      <w:rFonts w:ascii="宋体" w:hAnsi="Tms Rmn" w:cs="Calibri"/>
      <w:kern w:val="0"/>
      <w:sz w:val="28"/>
      <w:szCs w:val="20"/>
    </w:rPr>
  </w:style>
  <w:style w:type="paragraph" w:customStyle="1" w:styleId="3348">
    <w:name w:val="p6"/>
    <w:basedOn w:val="1"/>
    <w:qFormat/>
    <w:uiPriority w:val="99"/>
    <w:pPr>
      <w:tabs>
        <w:tab w:val="left" w:pos="4720"/>
      </w:tabs>
      <w:spacing w:line="240" w:lineRule="atLeast"/>
      <w:ind w:left="3280"/>
      <w:jc w:val="left"/>
    </w:pPr>
    <w:rPr>
      <w:rFonts w:ascii="Arial" w:hAnsi="Arial" w:cs="Calibri"/>
      <w:snapToGrid w:val="0"/>
      <w:kern w:val="0"/>
      <w:sz w:val="24"/>
      <w:szCs w:val="20"/>
      <w:lang w:eastAsia="en-US"/>
    </w:rPr>
  </w:style>
  <w:style w:type="paragraph" w:customStyle="1" w:styleId="3349">
    <w:name w:val="环标3"/>
    <w:basedOn w:val="5"/>
    <w:qFormat/>
    <w:uiPriority w:val="0"/>
    <w:pPr>
      <w:keepNext w:val="0"/>
      <w:keepLines w:val="0"/>
      <w:numPr>
        <w:ilvl w:val="0"/>
        <w:numId w:val="0"/>
      </w:numPr>
      <w:adjustRightInd w:val="0"/>
      <w:spacing w:before="0" w:after="0" w:line="312" w:lineRule="atLeast"/>
      <w:textAlignment w:val="baseline"/>
    </w:pPr>
    <w:rPr>
      <w:rFonts w:ascii="宋体" w:hAnsi="宋体" w:cs="Calibri"/>
      <w:bCs w:val="0"/>
      <w:color w:val="000000"/>
      <w:kern w:val="0"/>
      <w:sz w:val="24"/>
      <w:szCs w:val="28"/>
      <w:lang w:val="en-US"/>
    </w:rPr>
  </w:style>
  <w:style w:type="paragraph" w:customStyle="1" w:styleId="3350">
    <w:name w:val="xl192"/>
    <w:basedOn w:val="1"/>
    <w:qFormat/>
    <w:uiPriority w:val="99"/>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351">
    <w:name w:val="Char1 Char Char Char6"/>
    <w:basedOn w:val="1"/>
    <w:semiHidden/>
    <w:qFormat/>
    <w:uiPriority w:val="0"/>
    <w:rPr>
      <w:rFonts w:ascii="Tahoma" w:hAnsi="Tahoma" w:cs="Calibri"/>
      <w:sz w:val="24"/>
      <w:szCs w:val="20"/>
    </w:rPr>
  </w:style>
  <w:style w:type="paragraph" w:customStyle="1" w:styleId="3352">
    <w:name w:val="Plain Text4"/>
    <w:basedOn w:val="1"/>
    <w:semiHidden/>
    <w:qFormat/>
    <w:uiPriority w:val="0"/>
    <w:pPr>
      <w:adjustRightInd w:val="0"/>
      <w:textAlignment w:val="baseline"/>
    </w:pPr>
    <w:rPr>
      <w:rFonts w:ascii="宋体" w:hAnsi="Courier New" w:cs="Calibri"/>
      <w:szCs w:val="20"/>
    </w:rPr>
  </w:style>
  <w:style w:type="paragraph" w:customStyle="1" w:styleId="3353">
    <w:name w:val="Char Char Char1 Char Char Char Char Char Char Char Char Char Char Char Char Char Char Char1 Char Char Char Char Char Char Char Char Char Char Char Char Char Char Char Char Char Char Char Char Char Char Char Char Char Char Char Char Char Char3"/>
    <w:basedOn w:val="1"/>
    <w:semiHidden/>
    <w:qFormat/>
    <w:uiPriority w:val="0"/>
    <w:pPr>
      <w:spacing w:line="240" w:lineRule="exact"/>
      <w:ind w:firstLine="200" w:firstLineChars="200"/>
    </w:pPr>
    <w:rPr>
      <w:rFonts w:ascii="Calibri" w:hAnsi="Calibri" w:cs="Calibri"/>
      <w:sz w:val="28"/>
      <w:szCs w:val="28"/>
    </w:rPr>
  </w:style>
  <w:style w:type="paragraph" w:customStyle="1" w:styleId="3354">
    <w:name w:val="Char Char Char Char Char Char Char Char Char Char Char Char3"/>
    <w:basedOn w:val="1"/>
    <w:semiHidden/>
    <w:qFormat/>
    <w:uiPriority w:val="0"/>
    <w:rPr>
      <w:rFonts w:ascii="Calibri" w:hAnsi="Calibri" w:cs="Calibri"/>
      <w:sz w:val="24"/>
    </w:rPr>
  </w:style>
  <w:style w:type="paragraph" w:customStyle="1" w:styleId="3355">
    <w:name w:val="xl196"/>
    <w:basedOn w:val="1"/>
    <w:qFormat/>
    <w:uiPriority w:val="99"/>
    <w:pPr>
      <w:widowControl/>
      <w:pBdr>
        <w:left w:val="single" w:color="auto" w:sz="4" w:space="0"/>
        <w:right w:val="single" w:color="auto" w:sz="4" w:space="0"/>
      </w:pBdr>
      <w:spacing w:before="100" w:beforeAutospacing="1" w:after="100" w:afterAutospacing="1"/>
      <w:jc w:val="center"/>
    </w:pPr>
    <w:rPr>
      <w:rFonts w:ascii="Arial Unicode MS" w:hAnsi="Arial Unicode MS" w:cs="Calibri"/>
      <w:kern w:val="0"/>
    </w:rPr>
  </w:style>
  <w:style w:type="paragraph" w:customStyle="1" w:styleId="3356">
    <w:name w:val="正文首行缩进31"/>
    <w:basedOn w:val="1"/>
    <w:semiHidden/>
    <w:qFormat/>
    <w:uiPriority w:val="0"/>
    <w:pPr>
      <w:snapToGrid w:val="0"/>
      <w:spacing w:line="500" w:lineRule="exact"/>
      <w:ind w:firstLine="480" w:firstLineChars="200"/>
    </w:pPr>
    <w:rPr>
      <w:rFonts w:ascii="Calibri" w:hAnsi="Calibri" w:cs="Calibri"/>
      <w:kern w:val="0"/>
      <w:sz w:val="18"/>
      <w:szCs w:val="20"/>
    </w:rPr>
  </w:style>
  <w:style w:type="paragraph" w:customStyle="1" w:styleId="3357">
    <w:name w:val="章标题单学凯"/>
    <w:basedOn w:val="3"/>
    <w:semiHidden/>
    <w:qFormat/>
    <w:uiPriority w:val="0"/>
    <w:pPr>
      <w:keepLines/>
      <w:overflowPunct/>
      <w:adjustRightInd w:val="0"/>
      <w:spacing w:before="0" w:after="330" w:afterLines="50" w:line="360" w:lineRule="auto"/>
      <w:ind w:left="0" w:firstLine="0"/>
    </w:pPr>
    <w:rPr>
      <w:rFonts w:ascii="黑体" w:hAnsi="黑体" w:eastAsia="宋体"/>
      <w:b w:val="0"/>
      <w:bCs w:val="0"/>
      <w:color w:val="auto"/>
      <w:kern w:val="0"/>
      <w:sz w:val="28"/>
      <w:szCs w:val="28"/>
    </w:rPr>
  </w:style>
  <w:style w:type="paragraph" w:customStyle="1" w:styleId="3358">
    <w:name w:val="标题12"/>
    <w:basedOn w:val="1"/>
    <w:semiHidden/>
    <w:qFormat/>
    <w:uiPriority w:val="0"/>
    <w:pPr>
      <w:spacing w:after="240"/>
      <w:outlineLvl w:val="0"/>
    </w:pPr>
    <w:rPr>
      <w:rFonts w:ascii="Calibri" w:hAnsi="Calibri" w:eastAsia="黑体" w:cs="Calibri"/>
      <w:sz w:val="44"/>
      <w:szCs w:val="44"/>
    </w:rPr>
  </w:style>
  <w:style w:type="paragraph" w:customStyle="1" w:styleId="3359">
    <w:name w:val="Char21"/>
    <w:basedOn w:val="1"/>
    <w:qFormat/>
    <w:uiPriority w:val="99"/>
    <w:rPr>
      <w:rFonts w:ascii="Calibri" w:hAnsi="Calibri" w:cs="Calibri"/>
      <w:sz w:val="24"/>
    </w:rPr>
  </w:style>
  <w:style w:type="paragraph" w:customStyle="1" w:styleId="3360">
    <w:name w:val="xl268"/>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3361">
    <w:name w:val="Char Char Char Char Char Char Char Char Char1 Char Char Char Char2"/>
    <w:basedOn w:val="1"/>
    <w:qFormat/>
    <w:uiPriority w:val="99"/>
    <w:rPr>
      <w:rFonts w:ascii="Calibri" w:hAnsi="Calibri" w:eastAsia="黑体" w:cs="Calibri"/>
      <w:b/>
      <w:szCs w:val="20"/>
    </w:rPr>
  </w:style>
  <w:style w:type="paragraph" w:customStyle="1" w:styleId="3362">
    <w:name w:val="2.2.1.1"/>
    <w:basedOn w:val="1"/>
    <w:semiHidden/>
    <w:qFormat/>
    <w:uiPriority w:val="0"/>
    <w:pPr>
      <w:tabs>
        <w:tab w:val="left" w:pos="0"/>
      </w:tabs>
      <w:spacing w:line="360" w:lineRule="auto"/>
      <w:ind w:left="425" w:firstLine="200" w:firstLineChars="200"/>
    </w:pPr>
    <w:rPr>
      <w:rFonts w:ascii="宋体" w:hAnsi="宋体" w:cs="Calibri"/>
      <w:color w:val="000000"/>
      <w:sz w:val="24"/>
      <w:szCs w:val="21"/>
    </w:rPr>
  </w:style>
  <w:style w:type="paragraph" w:customStyle="1" w:styleId="3363">
    <w:name w:val="Char Char Char Char Char Char Char Char Char Char Char 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364">
    <w:name w:val="xl203"/>
    <w:basedOn w:val="1"/>
    <w:semiHidden/>
    <w:qFormat/>
    <w:uiPriority w:val="0"/>
    <w:pPr>
      <w:widowControl/>
      <w:pBdr>
        <w:top w:val="single" w:color="auto" w:sz="8" w:space="0"/>
        <w:left w:val="single" w:color="auto" w:sz="8" w:space="0"/>
      </w:pBdr>
      <w:spacing w:before="100" w:beforeAutospacing="1" w:after="100" w:afterAutospacing="1"/>
      <w:jc w:val="center"/>
    </w:pPr>
    <w:rPr>
      <w:rFonts w:ascii="Calibri" w:hAnsi="Calibri" w:cs="Calibri"/>
      <w:kern w:val="0"/>
      <w:sz w:val="18"/>
      <w:szCs w:val="18"/>
    </w:rPr>
  </w:style>
  <w:style w:type="paragraph" w:customStyle="1" w:styleId="3365">
    <w:name w:val="Char6 Char Char Char2"/>
    <w:basedOn w:val="1"/>
    <w:semiHidden/>
    <w:qFormat/>
    <w:uiPriority w:val="0"/>
    <w:rPr>
      <w:rFonts w:ascii="Calibri" w:hAnsi="Calibri" w:cs="Calibri"/>
      <w:szCs w:val="21"/>
    </w:rPr>
  </w:style>
  <w:style w:type="paragraph" w:customStyle="1" w:styleId="3366">
    <w:name w:val="style28"/>
    <w:basedOn w:val="1"/>
    <w:semiHidden/>
    <w:qFormat/>
    <w:uiPriority w:val="0"/>
    <w:pPr>
      <w:widowControl/>
      <w:spacing w:before="100" w:beforeAutospacing="1" w:after="100" w:afterAutospacing="1"/>
      <w:jc w:val="left"/>
    </w:pPr>
    <w:rPr>
      <w:rFonts w:ascii="文鼎CS中黑" w:hAnsi="宋体" w:eastAsia="文鼎CS中黑" w:cs="宋体"/>
      <w:color w:val="636466"/>
      <w:kern w:val="0"/>
      <w:sz w:val="11"/>
      <w:szCs w:val="11"/>
    </w:rPr>
  </w:style>
  <w:style w:type="paragraph" w:customStyle="1" w:styleId="3367">
    <w:name w:val="样式 标题 5标题 5 Char Char + Times New Roman Char"/>
    <w:basedOn w:val="7"/>
    <w:next w:val="287"/>
    <w:qFormat/>
    <w:uiPriority w:val="99"/>
    <w:pPr>
      <w:keepNext/>
      <w:keepLines/>
      <w:numPr>
        <w:ilvl w:val="0"/>
        <w:numId w:val="0"/>
      </w:numPr>
      <w:adjustRightInd/>
      <w:snapToGrid/>
      <w:spacing w:before="0" w:after="0"/>
      <w:ind w:left="2880"/>
      <w:jc w:val="center"/>
    </w:pPr>
    <w:rPr>
      <w:rFonts w:ascii="仿宋_GB2312" w:hAnsi="华文仿宋" w:eastAsia="仿宋_GB2312" w:cs="Calibri"/>
      <w:i w:val="0"/>
      <w:iCs w:val="0"/>
      <w:sz w:val="24"/>
      <w:szCs w:val="24"/>
      <w:lang w:val="en-US" w:eastAsia="zh-CN" w:bidi="ar-SA"/>
    </w:rPr>
  </w:style>
  <w:style w:type="paragraph" w:customStyle="1" w:styleId="3368">
    <w:name w:val="reader-word-layer reader-word-s1-7"/>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369">
    <w:name w:val="BGWZ1"/>
    <w:basedOn w:val="1"/>
    <w:qFormat/>
    <w:uiPriority w:val="99"/>
    <w:pPr>
      <w:snapToGrid w:val="0"/>
      <w:spacing w:line="300" w:lineRule="exact"/>
      <w:jc w:val="center"/>
    </w:pPr>
    <w:rPr>
      <w:rFonts w:ascii="Calibri" w:hAnsi="Calibri" w:cs="Calibri"/>
      <w:snapToGrid w:val="0"/>
      <w:kern w:val="0"/>
      <w:szCs w:val="21"/>
      <w:lang w:eastAsia="zh-TW"/>
    </w:rPr>
  </w:style>
  <w:style w:type="paragraph" w:customStyle="1" w:styleId="3370">
    <w:name w:val="Char23"/>
    <w:basedOn w:val="1"/>
    <w:qFormat/>
    <w:uiPriority w:val="0"/>
    <w:pPr>
      <w:spacing w:line="240" w:lineRule="exact"/>
      <w:ind w:firstLine="200" w:firstLineChars="200"/>
    </w:pPr>
    <w:rPr>
      <w:rFonts w:ascii="Calibri" w:hAnsi="Calibri" w:cs="Calibri"/>
      <w:sz w:val="28"/>
      <w:szCs w:val="28"/>
    </w:rPr>
  </w:style>
  <w:style w:type="paragraph" w:customStyle="1" w:styleId="3371">
    <w:name w:val="标题3"/>
    <w:basedOn w:val="1"/>
    <w:semiHidden/>
    <w:qFormat/>
    <w:uiPriority w:val="0"/>
    <w:pPr>
      <w:suppressLineNumbers/>
      <w:spacing w:before="120" w:after="120"/>
      <w:outlineLvl w:val="2"/>
    </w:pPr>
    <w:rPr>
      <w:rFonts w:ascii="Calibri" w:hAnsi="Calibri" w:eastAsia="黑体" w:cs="Calibri"/>
      <w:sz w:val="30"/>
    </w:rPr>
  </w:style>
  <w:style w:type="paragraph" w:customStyle="1" w:styleId="3372">
    <w:name w:val="Char Char Char Char Char Char Char Char Char Char Char Char Char Char Char Char Char Char Char Char Char Char Char Char Char Char2"/>
    <w:basedOn w:val="1"/>
    <w:qFormat/>
    <w:uiPriority w:val="99"/>
    <w:rPr>
      <w:rFonts w:ascii="Calibri" w:hAnsi="Calibri" w:cs="Calibri"/>
      <w:sz w:val="24"/>
    </w:rPr>
  </w:style>
  <w:style w:type="paragraph" w:customStyle="1" w:styleId="3373">
    <w:name w:val="食疗标题2"/>
    <w:basedOn w:val="4"/>
    <w:qFormat/>
    <w:uiPriority w:val="99"/>
    <w:pPr>
      <w:numPr>
        <w:ilvl w:val="0"/>
        <w:numId w:val="0"/>
      </w:numPr>
      <w:overflowPunct w:val="0"/>
      <w:adjustRightInd w:val="0"/>
      <w:spacing w:before="360" w:line="312" w:lineRule="atLeast"/>
    </w:pPr>
    <w:rPr>
      <w:rFonts w:ascii="仿宋_GB2312" w:hAnsi="宋体" w:eastAsia="宋体"/>
      <w:color w:val="008000"/>
      <w:kern w:val="0"/>
      <w:sz w:val="24"/>
      <w:szCs w:val="24"/>
      <w:lang w:val="en-US"/>
    </w:rPr>
  </w:style>
  <w:style w:type="paragraph" w:customStyle="1" w:styleId="3374">
    <w:name w:val="标题001"/>
    <w:basedOn w:val="1"/>
    <w:qFormat/>
    <w:uiPriority w:val="0"/>
    <w:pPr>
      <w:spacing w:before="60" w:line="480" w:lineRule="exact"/>
      <w:outlineLvl w:val="0"/>
    </w:pPr>
    <w:rPr>
      <w:rFonts w:ascii="Calibri" w:hAnsi="Calibri" w:cs="Calibri"/>
      <w:b/>
      <w:sz w:val="32"/>
      <w:szCs w:val="20"/>
    </w:rPr>
  </w:style>
  <w:style w:type="paragraph" w:customStyle="1" w:styleId="3375">
    <w:name w:val="样式 样式 目录 2 + 首行缩进:  2 字符 + 首行缩进:  2 字符1"/>
    <w:basedOn w:val="2356"/>
    <w:semiHidden/>
    <w:qFormat/>
    <w:uiPriority w:val="0"/>
    <w:pPr>
      <w:tabs>
        <w:tab w:val="left" w:pos="960"/>
        <w:tab w:val="clear" w:pos="1200"/>
      </w:tabs>
      <w:ind w:firstLine="400"/>
    </w:pPr>
  </w:style>
  <w:style w:type="paragraph" w:customStyle="1" w:styleId="3376">
    <w:name w:val="样式 首行缩进:  1.01 厘米"/>
    <w:basedOn w:val="1"/>
    <w:semiHidden/>
    <w:qFormat/>
    <w:uiPriority w:val="0"/>
    <w:pPr>
      <w:spacing w:line="360" w:lineRule="auto"/>
      <w:ind w:firstLine="480" w:firstLineChars="200"/>
    </w:pPr>
    <w:rPr>
      <w:rFonts w:ascii="Calibri" w:hAnsi="Calibri" w:cs="Calibri"/>
      <w:sz w:val="24"/>
    </w:rPr>
  </w:style>
  <w:style w:type="paragraph" w:customStyle="1" w:styleId="3377">
    <w:name w:val="样式 样式11.1 + 段前: 0.5 行"/>
    <w:basedOn w:val="3263"/>
    <w:semiHidden/>
    <w:qFormat/>
    <w:uiPriority w:val="0"/>
    <w:pPr>
      <w:numPr>
        <w:ilvl w:val="1"/>
      </w:numPr>
      <w:tabs>
        <w:tab w:val="left" w:pos="0"/>
      </w:tabs>
      <w:ind w:left="425" w:hanging="425"/>
    </w:pPr>
    <w:rPr>
      <w:rFonts w:cs="宋体"/>
      <w:bCs/>
      <w:szCs w:val="20"/>
    </w:rPr>
  </w:style>
  <w:style w:type="paragraph" w:customStyle="1" w:styleId="3378">
    <w:name w:val="样式 首行缩进:  2 字符 Char"/>
    <w:basedOn w:val="1"/>
    <w:qFormat/>
    <w:uiPriority w:val="0"/>
    <w:pPr>
      <w:spacing w:line="480" w:lineRule="exact"/>
      <w:ind w:firstLine="560" w:firstLineChars="200"/>
    </w:pPr>
    <w:rPr>
      <w:rFonts w:ascii="Calibri" w:hAnsi="Calibri" w:cs="Calibri"/>
      <w:kern w:val="28"/>
      <w:sz w:val="28"/>
    </w:rPr>
  </w:style>
  <w:style w:type="paragraph" w:customStyle="1" w:styleId="3379">
    <w:name w:val="1标题4级"/>
    <w:basedOn w:val="2167"/>
    <w:qFormat/>
    <w:uiPriority w:val="99"/>
    <w:rPr>
      <w:szCs w:val="24"/>
    </w:rPr>
  </w:style>
  <w:style w:type="paragraph" w:customStyle="1" w:styleId="3380">
    <w:name w:val="Char Char Char Char Char Char Char Char Char Char Char Char2 Char1"/>
    <w:basedOn w:val="1"/>
    <w:semiHidden/>
    <w:qFormat/>
    <w:uiPriority w:val="0"/>
    <w:rPr>
      <w:rFonts w:ascii="Calibri" w:hAnsi="Calibri" w:cs="Calibri"/>
    </w:rPr>
  </w:style>
  <w:style w:type="paragraph" w:customStyle="1" w:styleId="3381">
    <w:name w:val="正文文本缩进 211"/>
    <w:basedOn w:val="1"/>
    <w:qFormat/>
    <w:uiPriority w:val="99"/>
    <w:pPr>
      <w:adjustRightInd w:val="0"/>
      <w:spacing w:line="480" w:lineRule="atLeast"/>
      <w:ind w:firstLine="630"/>
      <w:textAlignment w:val="baseline"/>
    </w:pPr>
    <w:rPr>
      <w:rFonts w:ascii="宋体" w:hAnsi="Calibri" w:cs="Calibri"/>
      <w:sz w:val="28"/>
      <w:szCs w:val="20"/>
    </w:rPr>
  </w:style>
  <w:style w:type="paragraph" w:customStyle="1" w:styleId="3382">
    <w:name w:val="章"/>
    <w:basedOn w:val="1"/>
    <w:qFormat/>
    <w:uiPriority w:val="99"/>
    <w:pPr>
      <w:spacing w:line="360" w:lineRule="auto"/>
    </w:pPr>
    <w:rPr>
      <w:rFonts w:ascii="Calibri" w:hAnsi="Calibri" w:cs="Calibri"/>
      <w:szCs w:val="21"/>
    </w:rPr>
  </w:style>
  <w:style w:type="paragraph" w:customStyle="1" w:styleId="3383">
    <w:name w:val="样式 首行缩进:  2 字符1"/>
    <w:basedOn w:val="1"/>
    <w:qFormat/>
    <w:uiPriority w:val="99"/>
    <w:pPr>
      <w:spacing w:line="400" w:lineRule="exact"/>
      <w:ind w:firstLine="200" w:firstLineChars="200"/>
      <w:textAlignment w:val="center"/>
    </w:pPr>
    <w:rPr>
      <w:rFonts w:ascii="Calibri" w:hAnsi="Calibri" w:cs="宋体"/>
      <w:sz w:val="24"/>
      <w:szCs w:val="20"/>
    </w:rPr>
  </w:style>
  <w:style w:type="paragraph" w:customStyle="1" w:styleId="3384">
    <w:name w:val="Char2 Char Char Char11"/>
    <w:basedOn w:val="1"/>
    <w:semiHidden/>
    <w:qFormat/>
    <w:uiPriority w:val="0"/>
    <w:rPr>
      <w:rFonts w:ascii="Calibri" w:hAnsi="Calibri" w:cs="Calibri"/>
      <w:sz w:val="24"/>
    </w:rPr>
  </w:style>
  <w:style w:type="paragraph" w:customStyle="1" w:styleId="3385">
    <w:name w:val="Char Char Char Char Char Char Char Char Char1 Char Char Char Char Char Char1 Char5"/>
    <w:basedOn w:val="1"/>
    <w:semiHidden/>
    <w:qFormat/>
    <w:uiPriority w:val="0"/>
    <w:rPr>
      <w:rFonts w:ascii="Calibri" w:hAnsi="Calibri" w:cs="Calibri"/>
      <w:szCs w:val="21"/>
    </w:rPr>
  </w:style>
  <w:style w:type="paragraph" w:customStyle="1" w:styleId="3386">
    <w:name w:val="xl302"/>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b/>
      <w:bCs/>
      <w:color w:val="993300"/>
      <w:kern w:val="0"/>
      <w:sz w:val="18"/>
      <w:szCs w:val="18"/>
    </w:rPr>
  </w:style>
  <w:style w:type="paragraph" w:customStyle="1" w:styleId="3387">
    <w:name w:val="正文11"/>
    <w:basedOn w:val="1"/>
    <w:qFormat/>
    <w:uiPriority w:val="99"/>
    <w:pPr>
      <w:adjustRightInd w:val="0"/>
      <w:spacing w:before="120" w:after="120" w:line="360" w:lineRule="auto"/>
      <w:ind w:firstLine="539"/>
    </w:pPr>
    <w:rPr>
      <w:rFonts w:hint="eastAsia" w:ascii="宋体" w:hAnsi="宋体" w:cs="Calibri"/>
      <w:kern w:val="0"/>
      <w:sz w:val="28"/>
    </w:rPr>
  </w:style>
  <w:style w:type="paragraph" w:customStyle="1" w:styleId="3388">
    <w:name w:val="默认段落字体 Para Char Char Char Char Char Char1 Char Char Char Char Char Char Char"/>
    <w:basedOn w:val="1"/>
    <w:qFormat/>
    <w:uiPriority w:val="99"/>
    <w:rPr>
      <w:rFonts w:ascii="Calibri" w:hAnsi="Calibri" w:cs="Calibri"/>
      <w:sz w:val="24"/>
    </w:rPr>
  </w:style>
  <w:style w:type="paragraph" w:customStyle="1" w:styleId="3389">
    <w:name w:val="列表延续 2"/>
    <w:basedOn w:val="1"/>
    <w:semiHidden/>
    <w:qFormat/>
    <w:uiPriority w:val="0"/>
    <w:pPr>
      <w:autoSpaceDE w:val="0"/>
      <w:autoSpaceDN w:val="0"/>
      <w:adjustRightInd w:val="0"/>
      <w:spacing w:line="360" w:lineRule="atLeast"/>
      <w:ind w:left="420" w:hanging="420"/>
      <w:jc w:val="left"/>
    </w:pPr>
    <w:rPr>
      <w:rFonts w:ascii="@黑体" w:hAnsi="Tahoma" w:eastAsia="黑体" w:cs="Calibri"/>
      <w:spacing w:val="20"/>
      <w:kern w:val="0"/>
      <w:sz w:val="24"/>
      <w:szCs w:val="20"/>
    </w:rPr>
  </w:style>
  <w:style w:type="paragraph" w:customStyle="1" w:styleId="3390">
    <w:name w:val="Char Char Char Char Char Char Char Char Char1 Char Char Char Char Char Char Char1"/>
    <w:basedOn w:val="1"/>
    <w:qFormat/>
    <w:uiPriority w:val="99"/>
    <w:rPr>
      <w:rFonts w:ascii="Calibri" w:hAnsi="Calibri" w:cs="Calibri"/>
      <w:szCs w:val="21"/>
    </w:rPr>
  </w:style>
  <w:style w:type="paragraph" w:customStyle="1" w:styleId="3391">
    <w:name w:val="表格后文"/>
    <w:basedOn w:val="224"/>
    <w:semiHidden/>
    <w:qFormat/>
    <w:uiPriority w:val="0"/>
    <w:pPr>
      <w:adjustRightInd/>
      <w:snapToGrid/>
      <w:spacing w:before="300" w:line="460" w:lineRule="exact"/>
    </w:pPr>
    <w:rPr>
      <w:rFonts w:ascii="Calibri" w:hAnsi="Calibri"/>
      <w:lang w:val="en-US"/>
    </w:rPr>
  </w:style>
  <w:style w:type="paragraph" w:customStyle="1" w:styleId="3392">
    <w:name w:val="样式2.2.5"/>
    <w:basedOn w:val="1"/>
    <w:semiHidden/>
    <w:qFormat/>
    <w:uiPriority w:val="0"/>
    <w:pPr>
      <w:spacing w:before="50" w:beforeLines="50" w:line="360" w:lineRule="auto"/>
      <w:outlineLvl w:val="3"/>
    </w:pPr>
    <w:rPr>
      <w:rFonts w:ascii="Calibri" w:hAnsi="Calibri" w:cs="Calibri"/>
      <w:b/>
      <w:sz w:val="24"/>
    </w:rPr>
  </w:style>
  <w:style w:type="paragraph" w:customStyle="1" w:styleId="3393">
    <w:name w:val="qilu"/>
    <w:basedOn w:val="1"/>
    <w:qFormat/>
    <w:uiPriority w:val="99"/>
    <w:pPr>
      <w:autoSpaceDE w:val="0"/>
      <w:autoSpaceDN w:val="0"/>
      <w:adjustRightInd w:val="0"/>
      <w:jc w:val="left"/>
      <w:textAlignment w:val="baseline"/>
    </w:pPr>
    <w:rPr>
      <w:rFonts w:ascii="宋体" w:hAnsi="Calibri" w:cs="Calibri"/>
      <w:b/>
      <w:kern w:val="0"/>
      <w:sz w:val="28"/>
      <w:szCs w:val="20"/>
    </w:rPr>
  </w:style>
  <w:style w:type="paragraph" w:customStyle="1" w:styleId="3394">
    <w:name w:val="标题04"/>
    <w:basedOn w:val="47"/>
    <w:next w:val="53"/>
    <w:qFormat/>
    <w:uiPriority w:val="99"/>
    <w:pPr>
      <w:ind w:firstLine="480"/>
      <w:jc w:val="left"/>
    </w:pPr>
    <w:rPr>
      <w:rFonts w:ascii="@黑体" w:hAnsi="@黑体" w:eastAsia="黑体" w:cs="Calibri"/>
      <w:bCs/>
      <w:color w:val="000000"/>
      <w:sz w:val="24"/>
      <w:szCs w:val="20"/>
      <w:lang w:val="en-US"/>
    </w:rPr>
  </w:style>
  <w:style w:type="paragraph" w:customStyle="1" w:styleId="3395">
    <w:name w:val="Section Title"/>
    <w:basedOn w:val="1"/>
    <w:next w:val="1"/>
    <w:semiHidden/>
    <w:qFormat/>
    <w:uiPriority w:val="0"/>
    <w:pPr>
      <w:widowControl/>
      <w:pBdr>
        <w:top w:val="single" w:color="FFFFFF" w:sz="6" w:space="2"/>
        <w:left w:val="single" w:color="FFFFFF" w:sz="6" w:space="2"/>
        <w:bottom w:val="single" w:color="FFFFFF" w:sz="6" w:space="2"/>
        <w:right w:val="single" w:color="FFFFFF" w:sz="6" w:space="2"/>
      </w:pBdr>
      <w:shd w:val="pct10" w:color="auto" w:fill="auto"/>
      <w:spacing w:before="120" w:line="280" w:lineRule="atLeast"/>
      <w:jc w:val="left"/>
    </w:pPr>
    <w:rPr>
      <w:rFonts w:ascii="Tahoma" w:hAnsi="Tahoma" w:eastAsia="黑体" w:cs="Calibri"/>
      <w:b/>
      <w:spacing w:val="-10"/>
      <w:kern w:val="0"/>
      <w:position w:val="7"/>
      <w:sz w:val="20"/>
      <w:szCs w:val="20"/>
    </w:rPr>
  </w:style>
  <w:style w:type="paragraph" w:customStyle="1" w:styleId="3396">
    <w:name w:val="Char Char1 Char Char Char Char Char Char Char Char Char Char Char Char Char Char Char Char Char Char Char Char1 Char3"/>
    <w:basedOn w:val="1"/>
    <w:qFormat/>
    <w:uiPriority w:val="99"/>
    <w:pPr>
      <w:spacing w:line="360" w:lineRule="auto"/>
      <w:ind w:firstLine="200" w:firstLineChars="200"/>
    </w:pPr>
    <w:rPr>
      <w:rFonts w:ascii="@黑体" w:hAnsi="@黑体" w:eastAsia="黑体" w:cs="@黑体"/>
      <w:sz w:val="24"/>
    </w:rPr>
  </w:style>
  <w:style w:type="paragraph" w:customStyle="1" w:styleId="3397">
    <w:name w:val="xl320"/>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398">
    <w:name w:val="xl204"/>
    <w:basedOn w:val="1"/>
    <w:semiHidden/>
    <w:qFormat/>
    <w:uiPriority w:val="0"/>
    <w:pPr>
      <w:widowControl/>
      <w:pBdr>
        <w:left w:val="single" w:color="auto" w:sz="8" w:space="0"/>
      </w:pBdr>
      <w:spacing w:before="100" w:beforeAutospacing="1" w:after="100" w:afterAutospacing="1"/>
      <w:jc w:val="center"/>
    </w:pPr>
    <w:rPr>
      <w:rFonts w:ascii="Calibri" w:hAnsi="Calibri" w:cs="Calibri"/>
      <w:kern w:val="0"/>
      <w:sz w:val="18"/>
      <w:szCs w:val="18"/>
    </w:rPr>
  </w:style>
  <w:style w:type="paragraph" w:customStyle="1" w:styleId="3399">
    <w:name w:val="正文图五"/>
    <w:basedOn w:val="1"/>
    <w:qFormat/>
    <w:uiPriority w:val="99"/>
    <w:pPr>
      <w:adjustRightInd w:val="0"/>
      <w:snapToGrid w:val="0"/>
      <w:jc w:val="center"/>
    </w:pPr>
    <w:rPr>
      <w:rFonts w:ascii="Calibri" w:hAnsi="Calibri" w:eastAsia="仿宋_GB2312" w:cs="Calibri"/>
      <w:snapToGrid w:val="0"/>
      <w:spacing w:val="6"/>
      <w:szCs w:val="20"/>
    </w:rPr>
  </w:style>
  <w:style w:type="paragraph" w:customStyle="1" w:styleId="3400">
    <w:name w:val="单位样式"/>
    <w:basedOn w:val="36"/>
    <w:semiHidden/>
    <w:qFormat/>
    <w:uiPriority w:val="0"/>
    <w:pPr>
      <w:widowControl w:val="0"/>
      <w:snapToGrid/>
      <w:spacing w:before="0" w:after="0" w:line="480" w:lineRule="exact"/>
      <w:ind w:right="0"/>
    </w:pPr>
    <w:rPr>
      <w:rFonts w:ascii="仿宋_GB2312" w:hAnsi="Calibri" w:eastAsia="仿宋_GB2312" w:cs="Calibri"/>
      <w:kern w:val="2"/>
      <w:sz w:val="28"/>
      <w:szCs w:val="24"/>
      <w:lang w:val="en-US"/>
    </w:rPr>
  </w:style>
  <w:style w:type="paragraph" w:customStyle="1" w:styleId="3401">
    <w:name w:val="样式 标题 3 + 加粗 段前: 3.9 磅 段后: 3.9 磅 行距: 多倍行距 1.35 字行2"/>
    <w:basedOn w:val="5"/>
    <w:qFormat/>
    <w:uiPriority w:val="99"/>
    <w:pPr>
      <w:numPr>
        <w:ilvl w:val="0"/>
        <w:numId w:val="0"/>
      </w:numPr>
      <w:tabs>
        <w:tab w:val="left" w:pos="709"/>
      </w:tabs>
      <w:adjustRightInd w:val="0"/>
      <w:snapToGrid w:val="0"/>
      <w:spacing w:before="78" w:after="78" w:line="324" w:lineRule="auto"/>
      <w:ind w:left="709" w:hanging="709"/>
    </w:pPr>
    <w:rPr>
      <w:rFonts w:ascii="仿宋_GB2312" w:eastAsia="仿宋_GB2312" w:cs="宋体"/>
      <w:b w:val="0"/>
      <w:sz w:val="24"/>
      <w:szCs w:val="20"/>
      <w:lang w:val="en-US"/>
    </w:rPr>
  </w:style>
  <w:style w:type="paragraph" w:customStyle="1" w:styleId="3402">
    <w:name w:val="red14"/>
    <w:basedOn w:val="1"/>
    <w:qFormat/>
    <w:uiPriority w:val="99"/>
    <w:pPr>
      <w:widowControl/>
      <w:spacing w:before="100" w:beforeAutospacing="1" w:after="100" w:afterAutospacing="1"/>
      <w:jc w:val="left"/>
    </w:pPr>
    <w:rPr>
      <w:rFonts w:ascii="宋体" w:hAnsi="宋体" w:cs="宋体"/>
      <w:b/>
      <w:bCs/>
      <w:color w:val="FF0000"/>
      <w:kern w:val="0"/>
      <w:szCs w:val="21"/>
    </w:rPr>
  </w:style>
  <w:style w:type="paragraph" w:customStyle="1" w:styleId="3403">
    <w:name w:val="样式 四号 首行缩进:  2 字符"/>
    <w:basedOn w:val="1"/>
    <w:qFormat/>
    <w:uiPriority w:val="99"/>
    <w:pPr>
      <w:snapToGrid w:val="0"/>
      <w:spacing w:line="360" w:lineRule="auto"/>
      <w:ind w:firstLine="560" w:firstLineChars="200"/>
    </w:pPr>
    <w:rPr>
      <w:rFonts w:ascii="Calibri" w:hAnsi="Calibri" w:cs="Calibri"/>
      <w:color w:val="0000FF"/>
      <w:sz w:val="28"/>
      <w:szCs w:val="20"/>
    </w:rPr>
  </w:style>
  <w:style w:type="paragraph" w:customStyle="1" w:styleId="3404">
    <w:name w:val="无间隔1"/>
    <w:qFormat/>
    <w:uiPriority w:val="1"/>
    <w:pPr>
      <w:widowControl w:val="0"/>
      <w:adjustRightInd w:val="0"/>
      <w:jc w:val="center"/>
      <w:textAlignment w:val="baseline"/>
    </w:pPr>
    <w:rPr>
      <w:rFonts w:ascii="Calibri" w:hAnsi="Calibri" w:eastAsia="宋体" w:cs="Calibri"/>
      <w:b/>
      <w:sz w:val="21"/>
      <w:lang w:val="en-US" w:eastAsia="zh-CN" w:bidi="ar-SA"/>
    </w:rPr>
  </w:style>
  <w:style w:type="paragraph" w:customStyle="1" w:styleId="3405">
    <w:name w:val="纯文本3"/>
    <w:basedOn w:val="1"/>
    <w:qFormat/>
    <w:uiPriority w:val="99"/>
    <w:pPr>
      <w:adjustRightInd w:val="0"/>
    </w:pPr>
    <w:rPr>
      <w:rFonts w:ascii="宋体" w:hAnsi="Courier New" w:cs="Calibri"/>
      <w:szCs w:val="20"/>
    </w:rPr>
  </w:style>
  <w:style w:type="paragraph" w:customStyle="1" w:styleId="3406">
    <w:name w:val="目录标题"/>
    <w:basedOn w:val="1"/>
    <w:next w:val="1"/>
    <w:qFormat/>
    <w:uiPriority w:val="99"/>
    <w:pPr>
      <w:widowControl/>
      <w:spacing w:before="215" w:after="419" w:line="436" w:lineRule="atLeast"/>
      <w:ind w:firstLine="419"/>
      <w:jc w:val="center"/>
      <w:textAlignment w:val="baseline"/>
    </w:pPr>
    <w:rPr>
      <w:rFonts w:ascii="Arial" w:hAnsi="Calibri" w:eastAsia="黑体" w:cs="Calibri"/>
      <w:color w:val="000000"/>
      <w:spacing w:val="283"/>
      <w:kern w:val="0"/>
      <w:sz w:val="42"/>
      <w:szCs w:val="20"/>
      <w:u w:color="000000"/>
    </w:rPr>
  </w:style>
  <w:style w:type="paragraph" w:customStyle="1" w:styleId="3407">
    <w:name w:val="wangjunbo.bullet"/>
    <w:basedOn w:val="1"/>
    <w:qFormat/>
    <w:uiPriority w:val="99"/>
    <w:pPr>
      <w:jc w:val="center"/>
    </w:pPr>
    <w:rPr>
      <w:rFonts w:ascii="宋体" w:hAnsi="宋体" w:cs="Calibri"/>
      <w:szCs w:val="20"/>
    </w:rPr>
  </w:style>
  <w:style w:type="paragraph" w:customStyle="1" w:styleId="3408">
    <w:name w:val="标题01 Char"/>
    <w:basedOn w:val="1"/>
    <w:semiHidden/>
    <w:qFormat/>
    <w:uiPriority w:val="0"/>
    <w:pPr>
      <w:spacing w:after="120" w:line="460" w:lineRule="atLeast"/>
      <w:ind w:firstLine="480"/>
      <w:jc w:val="center"/>
      <w:outlineLvl w:val="0"/>
    </w:pPr>
    <w:rPr>
      <w:rFonts w:ascii="@黑体" w:hAnsi="@黑体" w:eastAsia="黑体" w:cs="Calibri"/>
      <w:b/>
      <w:sz w:val="30"/>
    </w:rPr>
  </w:style>
  <w:style w:type="paragraph" w:customStyle="1" w:styleId="3409">
    <w:name w:val="xl265"/>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410">
    <w:name w:val="目录 3 Char Char"/>
    <w:basedOn w:val="1"/>
    <w:next w:val="1"/>
    <w:qFormat/>
    <w:uiPriority w:val="0"/>
    <w:pPr>
      <w:spacing w:line="351" w:lineRule="atLeast"/>
      <w:ind w:left="419" w:firstLine="419"/>
      <w:jc w:val="left"/>
    </w:pPr>
    <w:rPr>
      <w:rFonts w:hint="eastAsia" w:ascii="Calibri" w:hAnsi="Calibri" w:cs="Calibri"/>
      <w:i/>
      <w:szCs w:val="20"/>
    </w:rPr>
  </w:style>
  <w:style w:type="paragraph" w:customStyle="1" w:styleId="3411">
    <w:name w:val="Char Char Char Char Char Char Char Char Char Char Char1 Char Char Char Char Char Char"/>
    <w:basedOn w:val="1"/>
    <w:qFormat/>
    <w:uiPriority w:val="99"/>
    <w:rPr>
      <w:rFonts w:ascii="Calibri" w:hAnsi="Calibri" w:cs="Calibri"/>
      <w:sz w:val="24"/>
    </w:rPr>
  </w:style>
  <w:style w:type="paragraph" w:customStyle="1" w:styleId="3412">
    <w:name w:val="p18"/>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413">
    <w:name w:val="样式 居中 行距: 固定值 20 磅"/>
    <w:basedOn w:val="1"/>
    <w:semiHidden/>
    <w:qFormat/>
    <w:uiPriority w:val="0"/>
    <w:pPr>
      <w:spacing w:line="400" w:lineRule="exact"/>
      <w:jc w:val="center"/>
    </w:pPr>
    <w:rPr>
      <w:rFonts w:ascii="@黑体" w:hAnsi="@黑体" w:eastAsia="黑体" w:cs="Calibri"/>
      <w:sz w:val="24"/>
    </w:rPr>
  </w:style>
  <w:style w:type="paragraph" w:customStyle="1" w:styleId="3414">
    <w:name w:val="纯文本2"/>
    <w:basedOn w:val="1"/>
    <w:semiHidden/>
    <w:qFormat/>
    <w:uiPriority w:val="0"/>
    <w:pPr>
      <w:adjustRightInd w:val="0"/>
      <w:textAlignment w:val="baseline"/>
    </w:pPr>
    <w:rPr>
      <w:rFonts w:ascii="宋体" w:hAnsi="Courier New" w:cs="Calibri"/>
      <w:szCs w:val="20"/>
    </w:rPr>
  </w:style>
  <w:style w:type="paragraph" w:customStyle="1" w:styleId="3415">
    <w:name w:val="Char Char Char Char6"/>
    <w:basedOn w:val="1"/>
    <w:qFormat/>
    <w:uiPriority w:val="99"/>
    <w:rPr>
      <w:rFonts w:ascii="Calibri" w:hAnsi="Calibri" w:cs="Calibri"/>
      <w:sz w:val="24"/>
    </w:rPr>
  </w:style>
  <w:style w:type="paragraph" w:customStyle="1" w:styleId="3416">
    <w:name w:val="样式 样式 三级 + 段前: 12 磅 段后: 12 磅 + 右侧:  1 字符"/>
    <w:basedOn w:val="5"/>
    <w:next w:val="1"/>
    <w:semiHidden/>
    <w:qFormat/>
    <w:uiPriority w:val="0"/>
    <w:pPr>
      <w:numPr>
        <w:ilvl w:val="0"/>
        <w:numId w:val="0"/>
      </w:numPr>
      <w:tabs>
        <w:tab w:val="left" w:pos="1260"/>
      </w:tabs>
      <w:adjustRightInd w:val="0"/>
      <w:spacing w:before="0" w:after="0" w:line="500" w:lineRule="exact"/>
      <w:ind w:left="1260" w:hanging="420"/>
    </w:pPr>
    <w:rPr>
      <w:rFonts w:cs="Calibri"/>
      <w:b w:val="0"/>
      <w:sz w:val="24"/>
      <w:lang w:val="en-US"/>
    </w:rPr>
  </w:style>
  <w:style w:type="paragraph" w:customStyle="1" w:styleId="3417">
    <w:name w:val="样式 正文文字 + 首行缩进:  0.99 厘米"/>
    <w:basedOn w:val="36"/>
    <w:qFormat/>
    <w:uiPriority w:val="99"/>
    <w:pPr>
      <w:widowControl w:val="0"/>
      <w:tabs>
        <w:tab w:val="left" w:pos="0"/>
      </w:tabs>
      <w:snapToGrid/>
      <w:spacing w:before="0" w:after="0" w:line="600" w:lineRule="exact"/>
      <w:ind w:right="0" w:firstLine="560"/>
    </w:pPr>
    <w:rPr>
      <w:rFonts w:ascii="Calibri" w:hAnsi="Calibri" w:cs="Calibri"/>
      <w:spacing w:val="-2"/>
      <w:sz w:val="28"/>
      <w:szCs w:val="28"/>
      <w:lang w:val="en-US"/>
    </w:rPr>
  </w:style>
  <w:style w:type="paragraph" w:customStyle="1" w:styleId="3418">
    <w:name w:val="样式 样式 标题2.2 + 段前: 0.5 行2"/>
    <w:basedOn w:val="2933"/>
    <w:semiHidden/>
    <w:qFormat/>
    <w:uiPriority w:val="0"/>
    <w:pPr>
      <w:spacing w:before="0"/>
    </w:pPr>
  </w:style>
  <w:style w:type="paragraph" w:customStyle="1" w:styleId="3419">
    <w:name w:val="样式 首行缩进:  0.99 厘米 行距: 1.5 倍行距2"/>
    <w:basedOn w:val="1"/>
    <w:semiHidden/>
    <w:qFormat/>
    <w:uiPriority w:val="0"/>
    <w:pPr>
      <w:adjustRightInd w:val="0"/>
      <w:snapToGrid w:val="0"/>
      <w:jc w:val="center"/>
    </w:pPr>
    <w:rPr>
      <w:rFonts w:ascii="宋体" w:hAnsi="宋体" w:cs="Calibri"/>
      <w:color w:val="FF0000"/>
      <w:szCs w:val="21"/>
    </w:rPr>
  </w:style>
  <w:style w:type="paragraph" w:customStyle="1" w:styleId="3420">
    <w:name w:val="Bullet_Indent"/>
    <w:basedOn w:val="1"/>
    <w:qFormat/>
    <w:uiPriority w:val="99"/>
    <w:pPr>
      <w:widowControl/>
      <w:spacing w:after="240"/>
      <w:ind w:left="1440" w:hanging="720"/>
      <w:jc w:val="left"/>
    </w:pPr>
    <w:rPr>
      <w:rFonts w:ascii="Calibri" w:hAnsi="Calibri" w:cs="Calibri"/>
      <w:kern w:val="0"/>
      <w:sz w:val="24"/>
      <w:szCs w:val="20"/>
    </w:rPr>
  </w:style>
  <w:style w:type="paragraph" w:customStyle="1" w:styleId="3421">
    <w:name w:val="Char Char Char Char Char Char Char Char Char Char Char Char Char Char Char Char Char Char Char Char Char Char Char Char Char Char Char1"/>
    <w:basedOn w:val="1"/>
    <w:semiHidden/>
    <w:qFormat/>
    <w:uiPriority w:val="0"/>
    <w:pPr>
      <w:spacing w:line="240" w:lineRule="exact"/>
      <w:ind w:firstLine="200" w:firstLineChars="200"/>
    </w:pPr>
    <w:rPr>
      <w:rFonts w:ascii="Calibri" w:hAnsi="Calibri" w:cs="Calibri"/>
      <w:sz w:val="28"/>
      <w:szCs w:val="28"/>
    </w:rPr>
  </w:style>
  <w:style w:type="paragraph" w:customStyle="1" w:styleId="3422">
    <w:name w:val="xl160"/>
    <w:basedOn w:val="1"/>
    <w:qFormat/>
    <w:uiPriority w:val="99"/>
    <w:pPr>
      <w:widowControl/>
      <w:spacing w:before="100" w:beforeAutospacing="1" w:after="100" w:afterAutospacing="1"/>
      <w:jc w:val="center"/>
      <w:textAlignment w:val="center"/>
    </w:pPr>
    <w:rPr>
      <w:rFonts w:ascii="Arial Unicode MS" w:hAnsi="Arial Unicode MS" w:cs="Calibri"/>
      <w:kern w:val="0"/>
    </w:rPr>
  </w:style>
  <w:style w:type="paragraph" w:customStyle="1" w:styleId="3423">
    <w:name w:val="xl296"/>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424">
    <w:name w:val="Char Char Char Char Char Char Char Char Char Char Char Char Char Char Char Char Char1 Char2"/>
    <w:basedOn w:val="1"/>
    <w:semiHidden/>
    <w:qFormat/>
    <w:uiPriority w:val="0"/>
    <w:rPr>
      <w:rFonts w:ascii="Calibri" w:hAnsi="Calibri" w:cs="Calibri"/>
      <w:sz w:val="24"/>
    </w:rPr>
  </w:style>
  <w:style w:type="paragraph" w:customStyle="1" w:styleId="3425">
    <w:name w:val="expand"/>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426">
    <w:name w:val="表格 首行：0字符"/>
    <w:basedOn w:val="1"/>
    <w:semiHidden/>
    <w:qFormat/>
    <w:uiPriority w:val="0"/>
    <w:pPr>
      <w:keepNext/>
      <w:adjustRightInd w:val="0"/>
      <w:snapToGrid w:val="0"/>
      <w:jc w:val="left"/>
      <w:textAlignment w:val="baseline"/>
    </w:pPr>
    <w:rPr>
      <w:rFonts w:ascii="Calibri" w:hAnsi="Calibri" w:cs="宋体"/>
      <w:szCs w:val="21"/>
    </w:rPr>
  </w:style>
  <w:style w:type="paragraph" w:customStyle="1" w:styleId="3427">
    <w:name w:val="xl295"/>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993300"/>
      <w:kern w:val="0"/>
      <w:sz w:val="18"/>
      <w:szCs w:val="18"/>
    </w:rPr>
  </w:style>
  <w:style w:type="paragraph" w:customStyle="1" w:styleId="3428">
    <w:name w:val="表中文字1"/>
    <w:qFormat/>
    <w:uiPriority w:val="0"/>
    <w:pPr>
      <w:widowControl w:val="0"/>
      <w:adjustRightInd w:val="0"/>
      <w:snapToGrid w:val="0"/>
      <w:spacing w:line="280" w:lineRule="exact"/>
      <w:jc w:val="center"/>
    </w:pPr>
    <w:rPr>
      <w:rFonts w:ascii="仿宋_GB2312" w:hAnsi="Calibri" w:eastAsia="仿宋_GB2312" w:cs="Calibri"/>
      <w:kern w:val="2"/>
      <w:sz w:val="24"/>
      <w:szCs w:val="24"/>
      <w:lang w:val="en-US" w:eastAsia="zh-CN" w:bidi="ar-SA"/>
    </w:rPr>
  </w:style>
  <w:style w:type="paragraph" w:customStyle="1" w:styleId="3429">
    <w:name w:val="章(一级)"/>
    <w:basedOn w:val="3"/>
    <w:semiHidden/>
    <w:qFormat/>
    <w:uiPriority w:val="0"/>
    <w:pPr>
      <w:keepNext w:val="0"/>
      <w:tabs>
        <w:tab w:val="left" w:pos="915"/>
      </w:tabs>
      <w:overflowPunct/>
      <w:adjustRightInd w:val="0"/>
      <w:snapToGrid/>
      <w:spacing w:before="0" w:after="0" w:line="360" w:lineRule="auto"/>
      <w:ind w:left="0" w:firstLine="0"/>
      <w:textAlignment w:val="baseline"/>
      <w:outlineLvl w:val="9"/>
    </w:pPr>
    <w:rPr>
      <w:rFonts w:ascii="@黑体" w:hAnsi="@黑体" w:eastAsia="@黑体"/>
      <w:b w:val="0"/>
      <w:bCs w:val="0"/>
      <w:color w:val="auto"/>
      <w:spacing w:val="20"/>
      <w:kern w:val="0"/>
      <w:sz w:val="24"/>
      <w:szCs w:val="20"/>
    </w:rPr>
  </w:style>
  <w:style w:type="paragraph" w:customStyle="1" w:styleId="3430">
    <w:name w:val="条(二级)"/>
    <w:basedOn w:val="4"/>
    <w:next w:val="2967"/>
    <w:semiHidden/>
    <w:qFormat/>
    <w:uiPriority w:val="0"/>
    <w:pPr>
      <w:numPr>
        <w:ilvl w:val="0"/>
        <w:numId w:val="0"/>
      </w:numPr>
      <w:adjustRightInd w:val="0"/>
      <w:spacing w:line="460" w:lineRule="exact"/>
      <w:textAlignment w:val="baseline"/>
      <w:outlineLvl w:val="9"/>
    </w:pPr>
    <w:rPr>
      <w:rFonts w:ascii="@黑体" w:hAnsi="Tahoma" w:eastAsia="@黑体"/>
      <w:b w:val="0"/>
      <w:bCs w:val="0"/>
      <w:spacing w:val="3"/>
      <w:kern w:val="24"/>
      <w:sz w:val="24"/>
      <w:szCs w:val="20"/>
      <w:lang w:val="en-US"/>
    </w:rPr>
  </w:style>
  <w:style w:type="paragraph" w:customStyle="1" w:styleId="3431">
    <w:name w:val="表题2113"/>
    <w:basedOn w:val="1"/>
    <w:qFormat/>
    <w:uiPriority w:val="0"/>
    <w:pPr>
      <w:widowControl/>
      <w:adjustRightInd w:val="0"/>
      <w:snapToGrid w:val="0"/>
      <w:jc w:val="center"/>
    </w:pPr>
    <w:rPr>
      <w:rFonts w:ascii="黑体" w:hAnsi="宋体" w:eastAsia="黑体" w:cs="宋体"/>
      <w:kern w:val="0"/>
      <w:sz w:val="24"/>
    </w:rPr>
  </w:style>
  <w:style w:type="paragraph" w:customStyle="1" w:styleId="3432">
    <w:name w:val="参考文献项目"/>
    <w:basedOn w:val="1"/>
    <w:semiHidden/>
    <w:qFormat/>
    <w:uiPriority w:val="0"/>
    <w:pPr>
      <w:tabs>
        <w:tab w:val="left" w:pos="0"/>
      </w:tabs>
      <w:autoSpaceDE w:val="0"/>
      <w:autoSpaceDN w:val="0"/>
      <w:adjustRightInd w:val="0"/>
      <w:spacing w:line="260" w:lineRule="atLeast"/>
      <w:ind w:left="425" w:hanging="927"/>
    </w:pPr>
    <w:rPr>
      <w:rFonts w:ascii="Calibri" w:hAnsi="Calibri" w:cs="Calibri"/>
      <w:color w:val="FF0000"/>
      <w:szCs w:val="21"/>
    </w:rPr>
  </w:style>
  <w:style w:type="paragraph" w:customStyle="1" w:styleId="3433">
    <w:name w:val="xl107"/>
    <w:basedOn w:val="1"/>
    <w:qFormat/>
    <w:uiPriority w:val="0"/>
    <w:pPr>
      <w:widowControl/>
      <w:pBdr>
        <w:bottom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434">
    <w:name w:val="Char Char Char1 Char Char Char Char4"/>
    <w:basedOn w:val="1"/>
    <w:next w:val="1"/>
    <w:qFormat/>
    <w:uiPriority w:val="99"/>
    <w:pPr>
      <w:spacing w:line="360" w:lineRule="auto"/>
      <w:ind w:firstLine="200" w:firstLineChars="200"/>
    </w:pPr>
    <w:rPr>
      <w:rFonts w:ascii="宋体" w:hAnsi="宋体" w:eastAsia="汉鼎简书宋" w:cs="宋体"/>
      <w:sz w:val="24"/>
    </w:rPr>
  </w:style>
  <w:style w:type="paragraph" w:customStyle="1" w:styleId="3435">
    <w:name w:val="样式 正文文本缩进 + 左侧:  0.95 厘米 首行缩进:  0.63 厘米"/>
    <w:basedOn w:val="37"/>
    <w:qFormat/>
    <w:uiPriority w:val="0"/>
    <w:pPr>
      <w:spacing w:after="0" w:line="480" w:lineRule="exact"/>
      <w:ind w:left="0" w:leftChars="0" w:firstLine="480" w:firstLineChars="200"/>
    </w:pPr>
    <w:rPr>
      <w:rFonts w:ascii="宋体" w:hAnsi="宋体" w:cs="Calibri"/>
      <w:color w:val="000000"/>
      <w:kern w:val="2"/>
      <w:lang w:val="en-US"/>
    </w:rPr>
  </w:style>
  <w:style w:type="paragraph" w:customStyle="1" w:styleId="3436">
    <w:name w:val="xl209"/>
    <w:basedOn w:val="1"/>
    <w:semiHidden/>
    <w:qFormat/>
    <w:uiPriority w:val="0"/>
    <w:pPr>
      <w:widowControl/>
      <w:pBdr>
        <w:left w:val="single" w:color="auto" w:sz="8" w:space="0"/>
        <w:bottom w:val="single" w:color="auto" w:sz="12"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3437">
    <w:name w:val="book1_1_1_1"/>
    <w:basedOn w:val="6"/>
    <w:qFormat/>
    <w:uiPriority w:val="0"/>
    <w:pPr>
      <w:keepNext w:val="0"/>
      <w:numPr>
        <w:ilvl w:val="0"/>
        <w:numId w:val="0"/>
      </w:numPr>
      <w:tabs>
        <w:tab w:val="left" w:pos="360"/>
      </w:tabs>
      <w:adjustRightInd w:val="0"/>
      <w:spacing w:before="156" w:beforeLines="50" w:after="156" w:afterLines="50" w:line="400" w:lineRule="exact"/>
      <w:ind w:left="536" w:hanging="360" w:hangingChars="200"/>
    </w:pPr>
    <w:rPr>
      <w:rFonts w:ascii="宋体" w:hAnsi="宋体" w:eastAsia="宋体" w:cs="Arial"/>
      <w:bCs/>
      <w:sz w:val="24"/>
      <w:szCs w:val="28"/>
      <w:lang w:val="en-US"/>
    </w:rPr>
  </w:style>
  <w:style w:type="paragraph" w:customStyle="1" w:styleId="3438">
    <w:name w:val="Char2 Char Char Char Char Char Char1"/>
    <w:basedOn w:val="1"/>
    <w:qFormat/>
    <w:uiPriority w:val="99"/>
    <w:rPr>
      <w:rFonts w:ascii="Calibri" w:hAnsi="Calibri" w:cs="Calibri"/>
      <w:sz w:val="24"/>
    </w:rPr>
  </w:style>
  <w:style w:type="paragraph" w:customStyle="1" w:styleId="3439">
    <w:name w:val="样式 四号 黑色 首行缩进:  2 字符"/>
    <w:basedOn w:val="1"/>
    <w:qFormat/>
    <w:uiPriority w:val="99"/>
    <w:pPr>
      <w:spacing w:line="480" w:lineRule="atLeast"/>
      <w:ind w:firstLine="200" w:firstLineChars="200"/>
    </w:pPr>
    <w:rPr>
      <w:rFonts w:ascii="Calibri" w:hAnsi="Calibri" w:cs="Calibri"/>
      <w:color w:val="000000"/>
      <w:sz w:val="24"/>
    </w:rPr>
  </w:style>
  <w:style w:type="paragraph" w:customStyle="1" w:styleId="3440">
    <w:name w:val="p2"/>
    <w:basedOn w:val="1"/>
    <w:qFormat/>
    <w:uiPriority w:val="99"/>
    <w:pPr>
      <w:widowControl/>
      <w:autoSpaceDE w:val="0"/>
      <w:autoSpaceDN w:val="0"/>
      <w:spacing w:line="540" w:lineRule="atLeast"/>
      <w:ind w:firstLine="596"/>
    </w:pPr>
    <w:rPr>
      <w:rFonts w:hint="eastAsia" w:ascii="華康中楷體" w:hAnsi="Calibri" w:eastAsia="華康中楷體" w:cs="Calibri"/>
      <w:spacing w:val="20"/>
      <w:kern w:val="0"/>
      <w:sz w:val="28"/>
      <w:szCs w:val="28"/>
      <w:lang w:eastAsia="zh-TW"/>
    </w:rPr>
  </w:style>
  <w:style w:type="paragraph" w:customStyle="1" w:styleId="3441">
    <w:name w:val="xl61"/>
    <w:basedOn w:val="1"/>
    <w:qFormat/>
    <w:uiPriority w:val="0"/>
    <w:pPr>
      <w:widowControl/>
      <w:spacing w:before="100" w:beforeAutospacing="1" w:after="100" w:afterAutospacing="1"/>
      <w:jc w:val="left"/>
    </w:pPr>
    <w:rPr>
      <w:rFonts w:ascii="Arial Unicode MS" w:hAnsi="Arial Unicode MS" w:cs="Calibri"/>
      <w:kern w:val="0"/>
      <w:sz w:val="12"/>
      <w:szCs w:val="12"/>
    </w:rPr>
  </w:style>
  <w:style w:type="paragraph" w:customStyle="1" w:styleId="3442">
    <w:name w:val="默认段落字体 Para Char Char Char1 Char Char"/>
    <w:basedOn w:val="1"/>
    <w:qFormat/>
    <w:uiPriority w:val="99"/>
    <w:rPr>
      <w:rFonts w:ascii="Calibri" w:hAnsi="Calibri" w:cs="Calibri"/>
      <w:sz w:val="24"/>
    </w:rPr>
  </w:style>
  <w:style w:type="paragraph" w:customStyle="1" w:styleId="3443">
    <w:name w:val="標準インデント　2"/>
    <w:basedOn w:val="23"/>
    <w:qFormat/>
    <w:uiPriority w:val="99"/>
    <w:pPr>
      <w:overflowPunct w:val="0"/>
      <w:autoSpaceDE w:val="0"/>
      <w:autoSpaceDN w:val="0"/>
      <w:snapToGrid/>
      <w:spacing w:line="240" w:lineRule="auto"/>
      <w:ind w:left="2900" w:hanging="2038" w:firstLineChars="0"/>
      <w:jc w:val="left"/>
      <w:textAlignment w:val="baseline"/>
    </w:pPr>
    <w:rPr>
      <w:rFonts w:ascii="Calibri" w:hAnsi="Calibri" w:eastAsia="MS Mincho" w:cs="Calibri"/>
      <w:kern w:val="0"/>
      <w:sz w:val="20"/>
      <w:lang w:val="en-US" w:eastAsia="ja-JP"/>
    </w:rPr>
  </w:style>
  <w:style w:type="paragraph" w:customStyle="1" w:styleId="3444">
    <w:name w:val="样式 首行缩进:  0.77 厘米 行距: 1.5 倍行距"/>
    <w:basedOn w:val="1"/>
    <w:qFormat/>
    <w:uiPriority w:val="0"/>
    <w:pPr>
      <w:spacing w:line="360" w:lineRule="auto"/>
      <w:ind w:firstLine="435"/>
    </w:pPr>
    <w:rPr>
      <w:rFonts w:ascii="宋体" w:hAnsi="宋体" w:cs="宋体"/>
      <w:snapToGrid w:val="0"/>
      <w:kern w:val="0"/>
      <w:sz w:val="24"/>
    </w:rPr>
  </w:style>
  <w:style w:type="paragraph" w:customStyle="1" w:styleId="3445">
    <w:name w:val="样式 宋体 首行缩进:  0.85 厘米 右侧:  0.99 厘米"/>
    <w:basedOn w:val="1"/>
    <w:qFormat/>
    <w:uiPriority w:val="99"/>
    <w:pPr>
      <w:spacing w:line="500" w:lineRule="exact"/>
      <w:ind w:firstLine="480" w:firstLineChars="200"/>
    </w:pPr>
    <w:rPr>
      <w:rFonts w:ascii="仿宋_GB2312" w:hAnsi="宋体" w:eastAsia="仿宋_GB2312" w:cs="Calibri"/>
      <w:color w:val="000000"/>
      <w:sz w:val="24"/>
      <w:szCs w:val="20"/>
    </w:rPr>
  </w:style>
  <w:style w:type="paragraph" w:customStyle="1" w:styleId="3446">
    <w:name w:val="xl327"/>
    <w:basedOn w:val="1"/>
    <w:semiHidden/>
    <w:qFormat/>
    <w:uiPriority w:val="0"/>
    <w:pPr>
      <w:widowControl/>
      <w:pBdr>
        <w:top w:val="single" w:color="auto" w:sz="12" w:space="0"/>
        <w:bottom w:val="single" w:color="auto" w:sz="12" w:space="0"/>
      </w:pBdr>
      <w:spacing w:before="100" w:beforeAutospacing="1" w:after="100" w:afterAutospacing="1"/>
      <w:jc w:val="center"/>
    </w:pPr>
    <w:rPr>
      <w:rFonts w:ascii="Calibri" w:hAnsi="Calibri" w:cs="Calibri"/>
      <w:color w:val="993300"/>
      <w:kern w:val="0"/>
      <w:sz w:val="18"/>
      <w:szCs w:val="18"/>
    </w:rPr>
  </w:style>
  <w:style w:type="paragraph" w:customStyle="1" w:styleId="3447">
    <w:name w:val="Char Char Char Char Char Char Char Char Char Char Char Char Char Char Char Char Char Char Char Char Char Char Char Char Char Char Char Char Char Char Char2"/>
    <w:basedOn w:val="1"/>
    <w:semiHidden/>
    <w:qFormat/>
    <w:uiPriority w:val="0"/>
    <w:pPr>
      <w:spacing w:line="360" w:lineRule="auto"/>
      <w:ind w:firstLine="200" w:firstLineChars="200"/>
    </w:pPr>
    <w:rPr>
      <w:rFonts w:ascii="@黑体" w:hAnsi="@黑体" w:eastAsia="黑体" w:cs="@黑体"/>
      <w:sz w:val="24"/>
    </w:rPr>
  </w:style>
  <w:style w:type="paragraph" w:customStyle="1" w:styleId="3448">
    <w:name w:val="样式 小二 加粗 段前: 7.8 磅 段后: 7.8 磅 行距: 固定值 22 磅"/>
    <w:basedOn w:val="1"/>
    <w:semiHidden/>
    <w:qFormat/>
    <w:uiPriority w:val="0"/>
    <w:pPr>
      <w:spacing w:beforeLines="50" w:afterLines="50" w:line="440" w:lineRule="exact"/>
    </w:pPr>
    <w:rPr>
      <w:rFonts w:ascii="Calibri" w:hAnsi="Calibri" w:cs="宋体"/>
      <w:b/>
      <w:bCs/>
      <w:sz w:val="36"/>
      <w:szCs w:val="20"/>
    </w:rPr>
  </w:style>
  <w:style w:type="paragraph" w:customStyle="1" w:styleId="3449">
    <w:name w:val="Char Char Char Char Char Char Char Char"/>
    <w:basedOn w:val="1"/>
    <w:qFormat/>
    <w:uiPriority w:val="0"/>
    <w:rPr>
      <w:rFonts w:ascii="Calibri" w:hAnsi="Calibri" w:cs="Calibri"/>
      <w:sz w:val="24"/>
    </w:rPr>
  </w:style>
  <w:style w:type="paragraph" w:customStyle="1" w:styleId="3450">
    <w:name w:val="Char Char Char Char Char Char Char Char3"/>
    <w:basedOn w:val="1"/>
    <w:semiHidden/>
    <w:qFormat/>
    <w:uiPriority w:val="0"/>
    <w:rPr>
      <w:rFonts w:ascii="Calibri" w:hAnsi="Calibri" w:cs="Calibri"/>
      <w:sz w:val="24"/>
    </w:rPr>
  </w:style>
  <w:style w:type="paragraph" w:customStyle="1" w:styleId="3451">
    <w:name w:val="xl157"/>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Calibri"/>
      <w:kern w:val="0"/>
      <w:sz w:val="20"/>
      <w:szCs w:val="20"/>
    </w:rPr>
  </w:style>
  <w:style w:type="paragraph" w:customStyle="1" w:styleId="3452">
    <w:name w:val="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453">
    <w:name w:val="xl283"/>
    <w:basedOn w:val="1"/>
    <w:semiHidden/>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454">
    <w:name w:val="Char Char Char Char Char Char Char Char Char Char Char1 Char Char Char Char2"/>
    <w:basedOn w:val="1"/>
    <w:semiHidden/>
    <w:qFormat/>
    <w:uiPriority w:val="0"/>
    <w:rPr>
      <w:rFonts w:ascii="Calibri" w:hAnsi="Calibri" w:cs="Calibri"/>
      <w:sz w:val="24"/>
    </w:rPr>
  </w:style>
  <w:style w:type="paragraph" w:customStyle="1" w:styleId="3455">
    <w:name w:val="样式 五号"/>
    <w:basedOn w:val="1"/>
    <w:semiHidden/>
    <w:qFormat/>
    <w:uiPriority w:val="0"/>
    <w:pPr>
      <w:spacing w:line="400" w:lineRule="exact"/>
      <w:jc w:val="center"/>
    </w:pPr>
    <w:rPr>
      <w:rFonts w:ascii="Calibri" w:hAnsi="Calibri" w:cs="宋体"/>
      <w:szCs w:val="20"/>
    </w:rPr>
  </w:style>
  <w:style w:type="paragraph" w:customStyle="1" w:styleId="3456">
    <w:name w:val="Char Char Char1 Char3"/>
    <w:basedOn w:val="1"/>
    <w:qFormat/>
    <w:uiPriority w:val="99"/>
    <w:rPr>
      <w:rFonts w:ascii="Calibri" w:hAnsi="Calibri" w:cs="Calibri"/>
    </w:rPr>
  </w:style>
  <w:style w:type="paragraph" w:customStyle="1" w:styleId="3457">
    <w:name w:val="Char Char Char Char Char Char Char Char Char Char Char Char Char Char Char Char Char Char Char Char Char Char Char Char Char Char Char Char Char Char Char Char Char1 Char Char Char Char Char Char1"/>
    <w:basedOn w:val="1"/>
    <w:qFormat/>
    <w:uiPriority w:val="99"/>
    <w:rPr>
      <w:rFonts w:ascii="Calibri" w:hAnsi="Calibri" w:cs="Calibri"/>
      <w:sz w:val="24"/>
    </w:rPr>
  </w:style>
  <w:style w:type="paragraph" w:customStyle="1" w:styleId="3458">
    <w:name w:val="xl111"/>
    <w:basedOn w:val="1"/>
    <w:qFormat/>
    <w:uiPriority w:val="0"/>
    <w:pPr>
      <w:widowControl/>
      <w:pBdr>
        <w:top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459">
    <w:name w:val="Pa9"/>
    <w:basedOn w:val="1"/>
    <w:next w:val="1"/>
    <w:semiHidden/>
    <w:qFormat/>
    <w:uiPriority w:val="0"/>
    <w:pPr>
      <w:autoSpaceDE w:val="0"/>
      <w:autoSpaceDN w:val="0"/>
      <w:adjustRightInd w:val="0"/>
      <w:spacing w:line="241" w:lineRule="atLeast"/>
      <w:jc w:val="left"/>
    </w:pPr>
    <w:rPr>
      <w:rFonts w:ascii="宋体" w:hAnsi="Calibri" w:cs="Calibri"/>
      <w:kern w:val="0"/>
      <w:sz w:val="24"/>
    </w:rPr>
  </w:style>
  <w:style w:type="paragraph" w:customStyle="1" w:styleId="3460">
    <w:name w:val="Char Char Char Char Char Char Char Char Char Char Char1 Char Char Char Char Char Char Char Char Char Char Char Char Char Char Char Char1"/>
    <w:basedOn w:val="1"/>
    <w:qFormat/>
    <w:uiPriority w:val="99"/>
    <w:rPr>
      <w:rFonts w:ascii="Calibri" w:hAnsi="Calibri" w:cs="Calibri"/>
      <w:sz w:val="24"/>
    </w:rPr>
  </w:style>
  <w:style w:type="paragraph" w:customStyle="1" w:styleId="3461">
    <w:name w:val="MFS正文 Char Char"/>
    <w:basedOn w:val="88"/>
    <w:semiHidden/>
    <w:qFormat/>
    <w:uiPriority w:val="0"/>
    <w:pPr>
      <w:widowControl w:val="0"/>
      <w:adjustRightInd w:val="0"/>
      <w:snapToGrid w:val="0"/>
      <w:spacing w:before="93" w:line="360" w:lineRule="auto"/>
      <w:ind w:firstLine="487" w:firstLineChars="200"/>
      <w:jc w:val="both"/>
    </w:pPr>
    <w:rPr>
      <w:rFonts w:ascii="Calibri" w:hAnsi="Calibri" w:eastAsia="楷体_GB2312" w:cs="Calibri"/>
      <w:kern w:val="2"/>
      <w:sz w:val="24"/>
      <w:szCs w:val="24"/>
    </w:rPr>
  </w:style>
  <w:style w:type="paragraph" w:customStyle="1" w:styleId="3462">
    <w:name w:val="样式 标题 1 + (符号) 宋体 居中"/>
    <w:basedOn w:val="3"/>
    <w:semiHidden/>
    <w:qFormat/>
    <w:uiPriority w:val="0"/>
    <w:pPr>
      <w:keepLines/>
      <w:overflowPunct/>
      <w:adjustRightInd w:val="0"/>
      <w:snapToGrid/>
      <w:spacing w:before="0" w:after="0" w:line="360" w:lineRule="auto"/>
      <w:ind w:left="425" w:hanging="425"/>
      <w:jc w:val="center"/>
    </w:pPr>
    <w:rPr>
      <w:rFonts w:ascii="宋体" w:hAnsi="宋体" w:eastAsia="宋体" w:cs="宋体"/>
      <w:b w:val="0"/>
      <w:color w:val="auto"/>
      <w:kern w:val="2"/>
      <w:sz w:val="24"/>
      <w:szCs w:val="20"/>
    </w:rPr>
  </w:style>
  <w:style w:type="paragraph" w:customStyle="1" w:styleId="3463">
    <w:name w:val="Char Char Char Char Char Char1 Char Char Char Char Char Char Char2"/>
    <w:basedOn w:val="1"/>
    <w:semiHidden/>
    <w:qFormat/>
    <w:uiPriority w:val="0"/>
    <w:rPr>
      <w:rFonts w:ascii="Calibri" w:hAnsi="Calibri" w:cs="Calibri"/>
    </w:rPr>
  </w:style>
  <w:style w:type="paragraph" w:customStyle="1" w:styleId="3464">
    <w:name w:val="Char Char Char Char Char Char Char Char Char1"/>
    <w:basedOn w:val="1"/>
    <w:qFormat/>
    <w:uiPriority w:val="99"/>
    <w:rPr>
      <w:rFonts w:ascii="Calibri" w:hAnsi="Calibri" w:cs="Calibri"/>
    </w:rPr>
  </w:style>
  <w:style w:type="paragraph" w:customStyle="1" w:styleId="3465">
    <w:name w:val="Char Char1 Char Char Char Char2"/>
    <w:basedOn w:val="1"/>
    <w:qFormat/>
    <w:uiPriority w:val="99"/>
    <w:rPr>
      <w:rFonts w:ascii="Calibri" w:hAnsi="Calibri" w:cs="Calibri"/>
      <w:sz w:val="24"/>
    </w:rPr>
  </w:style>
  <w:style w:type="paragraph" w:customStyle="1" w:styleId="3466">
    <w:name w:val="张小雄五"/>
    <w:basedOn w:val="1"/>
    <w:semiHidden/>
    <w:qFormat/>
    <w:uiPriority w:val="0"/>
    <w:pPr>
      <w:adjustRightInd w:val="0"/>
      <w:snapToGrid w:val="0"/>
      <w:spacing w:line="360" w:lineRule="auto"/>
      <w:ind w:firstLine="200" w:firstLineChars="200"/>
    </w:pPr>
    <w:rPr>
      <w:rFonts w:ascii="宋体" w:hAnsi="Calibri" w:cs="Calibri"/>
      <w:snapToGrid w:val="0"/>
      <w:spacing w:val="4"/>
      <w:sz w:val="28"/>
    </w:rPr>
  </w:style>
  <w:style w:type="paragraph" w:customStyle="1" w:styleId="3467">
    <w:name w:val="表格五号"/>
    <w:basedOn w:val="1"/>
    <w:qFormat/>
    <w:uiPriority w:val="99"/>
    <w:pPr>
      <w:tabs>
        <w:tab w:val="right" w:leader="dot" w:pos="8721"/>
      </w:tabs>
      <w:adjustRightInd w:val="0"/>
      <w:snapToGrid w:val="0"/>
      <w:spacing w:line="320" w:lineRule="exact"/>
      <w:ind w:left="-42" w:leftChars="-20" w:right="-42" w:rightChars="-20"/>
      <w:jc w:val="center"/>
      <w:textAlignment w:val="baseline"/>
    </w:pPr>
    <w:rPr>
      <w:rFonts w:ascii="Calibri" w:hAnsi="Calibri" w:cs="Calibri"/>
      <w:snapToGrid w:val="0"/>
      <w:kern w:val="0"/>
      <w:szCs w:val="20"/>
    </w:rPr>
  </w:style>
  <w:style w:type="paragraph" w:customStyle="1" w:styleId="3468">
    <w:name w:val="Char Char 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3469">
    <w:name w:val="xl329"/>
    <w:basedOn w:val="1"/>
    <w:semiHidden/>
    <w:qFormat/>
    <w:uiPriority w:val="0"/>
    <w:pPr>
      <w:widowControl/>
      <w:pBdr>
        <w:top w:val="single" w:color="auto" w:sz="12" w:space="0"/>
        <w:bottom w:val="single" w:color="auto" w:sz="8" w:space="0"/>
      </w:pBdr>
      <w:spacing w:before="100" w:beforeAutospacing="1" w:after="100" w:afterAutospacing="1"/>
      <w:jc w:val="center"/>
    </w:pPr>
    <w:rPr>
      <w:rFonts w:ascii="Calibri" w:hAnsi="Calibri" w:cs="Calibri"/>
      <w:color w:val="000000"/>
      <w:kern w:val="0"/>
      <w:sz w:val="18"/>
      <w:szCs w:val="18"/>
    </w:rPr>
  </w:style>
  <w:style w:type="paragraph" w:customStyle="1" w:styleId="3470">
    <w:name w:val="xl225"/>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471">
    <w:name w:val="t2"/>
    <w:basedOn w:val="1"/>
    <w:semiHidden/>
    <w:qFormat/>
    <w:uiPriority w:val="0"/>
    <w:pPr>
      <w:spacing w:line="480" w:lineRule="exact"/>
      <w:ind w:firstLine="480" w:firstLineChars="200"/>
    </w:pPr>
    <w:rPr>
      <w:rFonts w:ascii="@黑体" w:hAnsi="@黑体" w:eastAsia="黑体" w:cs="Calibri"/>
      <w:sz w:val="24"/>
    </w:rPr>
  </w:style>
  <w:style w:type="paragraph" w:customStyle="1" w:styleId="3472">
    <w:name w:val="Char Char Char7"/>
    <w:basedOn w:val="1"/>
    <w:semiHidden/>
    <w:qFormat/>
    <w:uiPriority w:val="0"/>
    <w:rPr>
      <w:rFonts w:ascii="Calibri" w:hAnsi="Calibri" w:cs="Calibri"/>
      <w:sz w:val="24"/>
    </w:rPr>
  </w:style>
  <w:style w:type="paragraph" w:customStyle="1" w:styleId="3473">
    <w:name w:val="Char Char Char Char12"/>
    <w:basedOn w:val="1"/>
    <w:qFormat/>
    <w:uiPriority w:val="99"/>
    <w:rPr>
      <w:rFonts w:ascii="Calibri" w:hAnsi="Calibri" w:cs="Calibri"/>
      <w:sz w:val="28"/>
    </w:rPr>
  </w:style>
  <w:style w:type="paragraph" w:customStyle="1" w:styleId="3474">
    <w:name w:val="Char Char Char Char Char Char Char Char Char Char Char Char Char Char Char Char Char Char Char Char Char Char1"/>
    <w:basedOn w:val="1"/>
    <w:qFormat/>
    <w:uiPriority w:val="99"/>
    <w:rPr>
      <w:rFonts w:ascii="Calibri" w:hAnsi="Calibri" w:cs="Calibri"/>
      <w:sz w:val="24"/>
    </w:rPr>
  </w:style>
  <w:style w:type="paragraph" w:customStyle="1" w:styleId="3475">
    <w:name w:val="1说明"/>
    <w:basedOn w:val="342"/>
    <w:qFormat/>
    <w:uiPriority w:val="99"/>
    <w:pPr>
      <w:widowControl w:val="0"/>
      <w:adjustRightInd/>
      <w:ind w:firstLine="0" w:firstLineChars="0"/>
    </w:pPr>
    <w:rPr>
      <w:rFonts w:ascii="Calibri" w:hAnsi="Calibri" w:cs="Calibri"/>
      <w:kern w:val="2"/>
      <w:sz w:val="21"/>
      <w:lang w:eastAsia="zh-CN" w:bidi="ar-SA"/>
    </w:rPr>
  </w:style>
  <w:style w:type="paragraph" w:customStyle="1" w:styleId="3476">
    <w:name w:val="font32"/>
    <w:basedOn w:val="1"/>
    <w:semiHidden/>
    <w:qFormat/>
    <w:uiPriority w:val="0"/>
    <w:pPr>
      <w:widowControl/>
      <w:spacing w:before="100" w:beforeAutospacing="1" w:after="100" w:afterAutospacing="1"/>
      <w:jc w:val="left"/>
    </w:pPr>
    <w:rPr>
      <w:rFonts w:ascii="Calibri" w:hAnsi="Calibri" w:cs="Calibri"/>
      <w:color w:val="993300"/>
      <w:kern w:val="0"/>
      <w:sz w:val="18"/>
      <w:szCs w:val="18"/>
    </w:rPr>
  </w:style>
  <w:style w:type="paragraph" w:customStyle="1" w:styleId="3477">
    <w:name w:val="样式 正文新 Char + 首行缩进:  2 字符"/>
    <w:basedOn w:val="1"/>
    <w:qFormat/>
    <w:uiPriority w:val="0"/>
    <w:pPr>
      <w:spacing w:line="360" w:lineRule="auto"/>
      <w:ind w:firstLine="480" w:firstLineChars="200"/>
    </w:pPr>
    <w:rPr>
      <w:rFonts w:ascii="Calibri" w:hAnsi="Calibri" w:cs="Calibri"/>
      <w:sz w:val="24"/>
      <w:szCs w:val="20"/>
    </w:rPr>
  </w:style>
  <w:style w:type="paragraph" w:customStyle="1" w:styleId="3478">
    <w:name w:val="样式 仿宋_GB2312 小四1"/>
    <w:basedOn w:val="1"/>
    <w:qFormat/>
    <w:uiPriority w:val="99"/>
    <w:pPr>
      <w:adjustRightInd w:val="0"/>
      <w:spacing w:line="360" w:lineRule="auto"/>
      <w:ind w:firstLine="480" w:firstLineChars="200"/>
      <w:textAlignment w:val="baseline"/>
    </w:pPr>
    <w:rPr>
      <w:rFonts w:ascii="Calibri" w:hAnsi="Calibri" w:eastAsia="仿宋_GB2312" w:cs="Calibri"/>
      <w:kern w:val="0"/>
      <w:sz w:val="24"/>
    </w:rPr>
  </w:style>
  <w:style w:type="paragraph" w:customStyle="1" w:styleId="3479">
    <w:name w:val="样式 标题 1 + (符号) 黑体 行距: 固定值 25 磅"/>
    <w:basedOn w:val="3"/>
    <w:qFormat/>
    <w:uiPriority w:val="99"/>
    <w:pPr>
      <w:keepLines/>
      <w:overflowPunct/>
      <w:adjustRightInd w:val="0"/>
      <w:snapToGrid/>
      <w:spacing w:before="0" w:after="0" w:line="500" w:lineRule="exact"/>
      <w:ind w:left="0" w:firstLine="0"/>
    </w:pPr>
    <w:rPr>
      <w:rFonts w:ascii="黑体" w:hAnsi="黑体" w:eastAsia="宋体"/>
      <w:b w:val="0"/>
      <w:bCs w:val="0"/>
      <w:kern w:val="2"/>
      <w:sz w:val="28"/>
      <w:szCs w:val="20"/>
    </w:rPr>
  </w:style>
  <w:style w:type="paragraph" w:customStyle="1" w:styleId="3480">
    <w:name w:val="Char Char421"/>
    <w:basedOn w:val="1"/>
    <w:qFormat/>
    <w:uiPriority w:val="99"/>
    <w:rPr>
      <w:rFonts w:ascii="Calibri" w:hAnsi="Calibri" w:cs="Calibri"/>
      <w:sz w:val="24"/>
    </w:rPr>
  </w:style>
  <w:style w:type="paragraph" w:customStyle="1" w:styleId="3481">
    <w:name w:val="w"/>
    <w:basedOn w:val="1"/>
    <w:semiHidden/>
    <w:qFormat/>
    <w:uiPriority w:val="0"/>
    <w:pPr>
      <w:widowControl/>
      <w:spacing w:before="100" w:beforeAutospacing="1" w:after="100" w:afterAutospacing="1" w:line="360" w:lineRule="auto"/>
      <w:jc w:val="left"/>
    </w:pPr>
    <w:rPr>
      <w:rFonts w:ascii="Arial" w:hAnsi="Arial" w:cs="Arial"/>
      <w:kern w:val="0"/>
      <w:sz w:val="18"/>
      <w:szCs w:val="18"/>
    </w:rPr>
  </w:style>
  <w:style w:type="paragraph" w:customStyle="1" w:styleId="3482">
    <w:name w:val="样式 样式 标题2.2 + 段前: 0.5 行"/>
    <w:basedOn w:val="2933"/>
    <w:semiHidden/>
    <w:qFormat/>
    <w:uiPriority w:val="0"/>
    <w:pPr>
      <w:spacing w:before="156"/>
    </w:pPr>
  </w:style>
  <w:style w:type="paragraph" w:customStyle="1" w:styleId="3483">
    <w:name w:val="Char4 Char Char Char Char Char Char Char Char Char Char Char Char Char Char Char Char Char1 Char Char Char Char1"/>
    <w:basedOn w:val="1"/>
    <w:qFormat/>
    <w:uiPriority w:val="99"/>
    <w:pPr>
      <w:spacing w:line="240" w:lineRule="exact"/>
      <w:ind w:firstLine="200" w:firstLineChars="200"/>
    </w:pPr>
    <w:rPr>
      <w:rFonts w:ascii="Calibri" w:hAnsi="Calibri" w:cs="Calibri"/>
      <w:sz w:val="28"/>
      <w:szCs w:val="28"/>
    </w:rPr>
  </w:style>
  <w:style w:type="paragraph" w:customStyle="1" w:styleId="3484">
    <w:name w:val="样式 宋体 小四 行距: 固定值 25 磅"/>
    <w:basedOn w:val="1"/>
    <w:qFormat/>
    <w:uiPriority w:val="99"/>
    <w:pPr>
      <w:spacing w:line="500" w:lineRule="exact"/>
      <w:ind w:firstLine="480" w:firstLineChars="200"/>
    </w:pPr>
    <w:rPr>
      <w:rFonts w:ascii="宋体" w:hAnsi="宋体" w:eastAsia="仿宋_GB2312" w:cs="Calibri"/>
      <w:bCs/>
      <w:sz w:val="24"/>
      <w:szCs w:val="20"/>
      <w:lang w:val="zh-CN"/>
    </w:rPr>
  </w:style>
  <w:style w:type="paragraph" w:customStyle="1" w:styleId="3485">
    <w:name w:val="Char Char Char Char Char Char Char Char Char1 Char Char Char Char Char Char Char Char1 Char Char Char3"/>
    <w:basedOn w:val="1"/>
    <w:semiHidden/>
    <w:qFormat/>
    <w:uiPriority w:val="0"/>
    <w:pPr>
      <w:snapToGrid w:val="0"/>
      <w:spacing w:line="360" w:lineRule="auto"/>
      <w:ind w:firstLine="200" w:firstLineChars="200"/>
    </w:pPr>
    <w:rPr>
      <w:rFonts w:ascii="Calibri" w:hAnsi="Calibri" w:eastAsia="仿宋_GB2312" w:cs="Calibri"/>
      <w:sz w:val="24"/>
    </w:rPr>
  </w:style>
  <w:style w:type="paragraph" w:customStyle="1" w:styleId="3486">
    <w:name w:val="正文 首行缩进:  2 字符"/>
    <w:basedOn w:val="1"/>
    <w:qFormat/>
    <w:uiPriority w:val="99"/>
    <w:pPr>
      <w:ind w:firstLine="579" w:firstLineChars="200"/>
    </w:pPr>
    <w:rPr>
      <w:rFonts w:ascii="Calibri" w:hAnsi="Calibri" w:cs="Calibri"/>
      <w:sz w:val="28"/>
      <w:szCs w:val="20"/>
    </w:rPr>
  </w:style>
  <w:style w:type="paragraph" w:customStyle="1" w:styleId="3487">
    <w:name w:val="ST20_32"/>
    <w:basedOn w:val="57"/>
    <w:semiHidden/>
    <w:qFormat/>
    <w:uiPriority w:val="0"/>
    <w:pPr>
      <w:keepLines/>
      <w:tabs>
        <w:tab w:val="center" w:pos="4320"/>
        <w:tab w:val="clear" w:pos="4153"/>
        <w:tab w:val="clear" w:pos="8306"/>
      </w:tabs>
      <w:autoSpaceDE w:val="0"/>
      <w:autoSpaceDN w:val="0"/>
      <w:adjustRightInd w:val="0"/>
      <w:snapToGrid/>
      <w:spacing w:line="360" w:lineRule="atLeast"/>
      <w:jc w:val="center"/>
      <w:textAlignment w:val="baseline"/>
    </w:pPr>
    <w:rPr>
      <w:rFonts w:ascii="@黑体" w:hAnsi="Tahoma" w:eastAsia="黑体" w:cs="Calibri"/>
      <w:sz w:val="28"/>
      <w:lang w:val="en-US"/>
    </w:rPr>
  </w:style>
  <w:style w:type="paragraph" w:customStyle="1" w:styleId="3488">
    <w:name w:val="Char Char Char Char Char Char Char Char Char Char Char Char Char Char Char Char Char1 Char1"/>
    <w:basedOn w:val="1"/>
    <w:qFormat/>
    <w:uiPriority w:val="99"/>
    <w:rPr>
      <w:rFonts w:ascii="Calibri" w:hAnsi="Calibri" w:cs="Calibri"/>
      <w:sz w:val="24"/>
    </w:rPr>
  </w:style>
  <w:style w:type="paragraph" w:customStyle="1" w:styleId="3489">
    <w:name w:val="Char Char Char Char Char Char Char Char Char1 Char Char Char Char Char Char1 Char3"/>
    <w:basedOn w:val="1"/>
    <w:semiHidden/>
    <w:qFormat/>
    <w:uiPriority w:val="0"/>
    <w:rPr>
      <w:rFonts w:ascii="Calibri" w:hAnsi="Calibri" w:cs="Calibri"/>
      <w:szCs w:val="21"/>
    </w:rPr>
  </w:style>
  <w:style w:type="paragraph" w:customStyle="1" w:styleId="3490">
    <w:name w:val="正文文本缩进 313"/>
    <w:basedOn w:val="1"/>
    <w:semiHidden/>
    <w:qFormat/>
    <w:uiPriority w:val="0"/>
    <w:pPr>
      <w:adjustRightInd w:val="0"/>
      <w:spacing w:line="480" w:lineRule="exact"/>
      <w:ind w:firstLine="525"/>
      <w:textAlignment w:val="baseline"/>
    </w:pPr>
    <w:rPr>
      <w:rFonts w:ascii="宋体" w:hAnsi="Calibri" w:cs="Calibri"/>
      <w:sz w:val="28"/>
      <w:szCs w:val="20"/>
    </w:rPr>
  </w:style>
  <w:style w:type="paragraph" w:customStyle="1" w:styleId="3491">
    <w:name w:val="样式 小四 行距: 固定值 25 磅"/>
    <w:basedOn w:val="1"/>
    <w:qFormat/>
    <w:uiPriority w:val="99"/>
    <w:pPr>
      <w:spacing w:line="500" w:lineRule="exact"/>
      <w:ind w:firstLine="200" w:firstLineChars="200"/>
    </w:pPr>
    <w:rPr>
      <w:rFonts w:ascii="Calibri" w:hAnsi="Calibri" w:cs="Calibri"/>
      <w:color w:val="000000"/>
      <w:sz w:val="24"/>
    </w:rPr>
  </w:style>
  <w:style w:type="paragraph" w:customStyle="1" w:styleId="3492">
    <w:name w:val="Char2 Char Char Char Char Char Char Char Char Char Char Char Char Char Char Char Char Char Char Char Char Char1"/>
    <w:basedOn w:val="1"/>
    <w:semiHidden/>
    <w:qFormat/>
    <w:uiPriority w:val="0"/>
    <w:pPr>
      <w:snapToGrid w:val="0"/>
      <w:spacing w:line="360" w:lineRule="auto"/>
      <w:ind w:firstLine="200" w:firstLineChars="200"/>
    </w:pPr>
    <w:rPr>
      <w:rFonts w:ascii="Calibri" w:hAnsi="Calibri" w:eastAsia="仿宋_GB2312" w:cs="Calibri"/>
      <w:sz w:val="24"/>
    </w:rPr>
  </w:style>
  <w:style w:type="paragraph" w:customStyle="1" w:styleId="3493">
    <w:name w:val="表格居中"/>
    <w:basedOn w:val="1"/>
    <w:qFormat/>
    <w:uiPriority w:val="0"/>
    <w:pPr>
      <w:jc w:val="center"/>
    </w:pPr>
    <w:rPr>
      <w:rFonts w:ascii="宋体" w:hAnsi="宋体" w:cs="宋体"/>
      <w:snapToGrid w:val="0"/>
      <w:spacing w:val="-4"/>
      <w:w w:val="90"/>
      <w:kern w:val="0"/>
      <w:sz w:val="24"/>
    </w:rPr>
  </w:style>
  <w:style w:type="paragraph" w:customStyle="1" w:styleId="3494">
    <w:name w:val="已访问的超级链接"/>
    <w:next w:val="1"/>
    <w:qFormat/>
    <w:uiPriority w:val="99"/>
    <w:pPr>
      <w:widowControl w:val="0"/>
      <w:snapToGrid w:val="0"/>
      <w:spacing w:line="360" w:lineRule="auto"/>
    </w:pPr>
    <w:rPr>
      <w:rFonts w:ascii="Calibri" w:hAnsi="Calibri" w:eastAsia="宋体" w:cs="Calibri"/>
      <w:kern w:val="2"/>
      <w:sz w:val="24"/>
      <w:szCs w:val="22"/>
      <w:lang w:val="en-US" w:eastAsia="zh-CN" w:bidi="ar-SA"/>
    </w:rPr>
  </w:style>
  <w:style w:type="paragraph" w:customStyle="1" w:styleId="3495">
    <w:name w:val="样式 表格 + 左  25 字符1"/>
    <w:basedOn w:val="167"/>
    <w:qFormat/>
    <w:uiPriority w:val="99"/>
    <w:pPr>
      <w:widowControl/>
      <w:adjustRightInd/>
      <w:spacing w:beforeLines="0" w:afterLines="0" w:line="240" w:lineRule="auto"/>
    </w:pPr>
    <w:rPr>
      <w:rFonts w:ascii="Calibri" w:hAnsi="宋体" w:cs="宋体"/>
      <w:color w:val="FF0000"/>
      <w:sz w:val="18"/>
      <w:szCs w:val="21"/>
      <w:lang w:val="en-US"/>
    </w:rPr>
  </w:style>
  <w:style w:type="paragraph" w:customStyle="1" w:styleId="3496">
    <w:name w:val="Char Char Char Char Char Char1 Char3"/>
    <w:basedOn w:val="1"/>
    <w:qFormat/>
    <w:uiPriority w:val="99"/>
    <w:rPr>
      <w:rFonts w:ascii="Calibri" w:hAnsi="Calibri" w:cs="Calibri"/>
    </w:rPr>
  </w:style>
  <w:style w:type="paragraph" w:customStyle="1" w:styleId="3497">
    <w:name w:val="样式 三级 + 段前: 12 磅 段后: 12 磅"/>
    <w:basedOn w:val="2379"/>
    <w:semiHidden/>
    <w:qFormat/>
    <w:uiPriority w:val="0"/>
    <w:pPr>
      <w:spacing w:line="500" w:lineRule="exact"/>
      <w:ind w:right="100" w:rightChars="100" w:firstLine="0" w:firstLineChars="0"/>
    </w:pPr>
    <w:rPr>
      <w:rFonts w:eastAsia="宋体"/>
      <w:spacing w:val="0"/>
      <w:szCs w:val="20"/>
    </w:rPr>
  </w:style>
  <w:style w:type="paragraph" w:customStyle="1" w:styleId="3498">
    <w:name w:val="xl290"/>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499">
    <w:name w:val="正文改动"/>
    <w:basedOn w:val="1"/>
    <w:semiHidden/>
    <w:qFormat/>
    <w:uiPriority w:val="0"/>
    <w:rPr>
      <w:rFonts w:ascii="Calibri" w:hAnsi="Calibri" w:cs="Calibri"/>
      <w:color w:val="0000FF"/>
    </w:rPr>
  </w:style>
  <w:style w:type="paragraph" w:customStyle="1" w:styleId="3500">
    <w:name w:val="Char Char2 Char Char Char Char Char Char4"/>
    <w:basedOn w:val="1"/>
    <w:qFormat/>
    <w:uiPriority w:val="99"/>
    <w:pPr>
      <w:spacing w:line="480" w:lineRule="exact"/>
    </w:pPr>
    <w:rPr>
      <w:rFonts w:ascii="Calibri" w:hAnsi="Calibri" w:cs="Calibri"/>
      <w:sz w:val="22"/>
    </w:rPr>
  </w:style>
  <w:style w:type="paragraph" w:customStyle="1" w:styleId="3501">
    <w:name w:val="正文+首行缩进"/>
    <w:basedOn w:val="1"/>
    <w:qFormat/>
    <w:uiPriority w:val="0"/>
    <w:pPr>
      <w:overflowPunct w:val="0"/>
      <w:topLinePunct/>
      <w:adjustRightInd w:val="0"/>
      <w:spacing w:line="460" w:lineRule="atLeast"/>
      <w:ind w:firstLine="200" w:firstLineChars="200"/>
      <w:jc w:val="left"/>
      <w:textAlignment w:val="baseline"/>
    </w:pPr>
    <w:rPr>
      <w:rFonts w:ascii="Calibri" w:hAnsi="Calibri" w:cs="Calibri"/>
      <w:kern w:val="0"/>
      <w:sz w:val="28"/>
      <w:szCs w:val="20"/>
    </w:rPr>
  </w:style>
  <w:style w:type="paragraph" w:customStyle="1" w:styleId="3502">
    <w:name w:val="正文文本缩进11"/>
    <w:basedOn w:val="1"/>
    <w:qFormat/>
    <w:uiPriority w:val="99"/>
    <w:pPr>
      <w:spacing w:after="120" w:line="360" w:lineRule="auto"/>
      <w:ind w:left="420" w:leftChars="200" w:firstLine="200" w:firstLineChars="200"/>
    </w:pPr>
    <w:rPr>
      <w:rFonts w:ascii="Calibri" w:hAnsi="Calibri" w:cs="Calibri"/>
      <w:sz w:val="24"/>
    </w:rPr>
  </w:style>
  <w:style w:type="paragraph" w:customStyle="1" w:styleId="3503">
    <w:name w:val="xl292"/>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504">
    <w:name w:val="xl147"/>
    <w:basedOn w:val="1"/>
    <w:qFormat/>
    <w:uiPriority w:val="99"/>
    <w:pPr>
      <w:widowControl/>
      <w:spacing w:before="100" w:beforeAutospacing="1" w:after="100" w:afterAutospacing="1"/>
      <w:jc w:val="center"/>
    </w:pPr>
    <w:rPr>
      <w:rFonts w:ascii="Arial Unicode MS" w:hAnsi="Arial Unicode MS" w:cs="Calibri"/>
      <w:kern w:val="0"/>
    </w:rPr>
  </w:style>
  <w:style w:type="paragraph" w:customStyle="1" w:styleId="3505">
    <w:name w:val="列表3"/>
    <w:basedOn w:val="1"/>
    <w:semiHidden/>
    <w:qFormat/>
    <w:uiPriority w:val="0"/>
    <w:pPr>
      <w:widowControl/>
      <w:jc w:val="left"/>
    </w:pPr>
    <w:rPr>
      <w:rFonts w:ascii="Arial" w:hAnsi="Arial" w:cs="Arial"/>
      <w:color w:val="333333"/>
      <w:kern w:val="0"/>
      <w:sz w:val="24"/>
    </w:rPr>
  </w:style>
  <w:style w:type="paragraph" w:customStyle="1" w:styleId="3506">
    <w:name w:val="Char Char Char Char Char Char Char Char1 Char Char Char Char Char Char Char Char Char Char3"/>
    <w:basedOn w:val="1"/>
    <w:semiHidden/>
    <w:qFormat/>
    <w:uiPriority w:val="0"/>
    <w:rPr>
      <w:rFonts w:ascii="Calibri" w:hAnsi="Calibri" w:cs="Calibri"/>
      <w:sz w:val="24"/>
    </w:rPr>
  </w:style>
  <w:style w:type="paragraph" w:customStyle="1" w:styleId="3507">
    <w:name w:val="样式a"/>
    <w:basedOn w:val="1"/>
    <w:qFormat/>
    <w:uiPriority w:val="0"/>
    <w:pPr>
      <w:adjustRightInd w:val="0"/>
      <w:snapToGrid w:val="0"/>
      <w:spacing w:line="420" w:lineRule="exact"/>
      <w:ind w:firstLine="200" w:firstLineChars="200"/>
      <w:textAlignment w:val="baseline"/>
    </w:pPr>
    <w:rPr>
      <w:rFonts w:ascii="Calibri" w:hAnsi="Calibri" w:cs="Calibri"/>
      <w:kern w:val="0"/>
      <w:sz w:val="24"/>
    </w:rPr>
  </w:style>
  <w:style w:type="paragraph" w:customStyle="1" w:styleId="3508">
    <w:name w:val="表内式样"/>
    <w:qFormat/>
    <w:uiPriority w:val="0"/>
    <w:pPr>
      <w:keepLines/>
      <w:widowControl w:val="0"/>
      <w:kinsoku w:val="0"/>
      <w:overflowPunct w:val="0"/>
      <w:adjustRightInd w:val="0"/>
      <w:spacing w:line="360" w:lineRule="atLeast"/>
      <w:jc w:val="center"/>
    </w:pPr>
    <w:rPr>
      <w:rFonts w:ascii="宋体" w:hAnsi="Calibri" w:eastAsia="宋体" w:cs="Calibri"/>
      <w:kern w:val="21"/>
      <w:sz w:val="21"/>
      <w:lang w:val="en-US" w:eastAsia="zh-CN" w:bidi="ar-SA"/>
    </w:rPr>
  </w:style>
  <w:style w:type="paragraph" w:customStyle="1" w:styleId="3509">
    <w:name w:val="普通(Web)6"/>
    <w:basedOn w:val="1"/>
    <w:qFormat/>
    <w:uiPriority w:val="99"/>
    <w:pPr>
      <w:widowControl/>
      <w:jc w:val="left"/>
    </w:pPr>
    <w:rPr>
      <w:rFonts w:ascii="宋体" w:hAnsi="宋体" w:cs="宋体"/>
      <w:kern w:val="0"/>
      <w:szCs w:val="21"/>
    </w:rPr>
  </w:style>
  <w:style w:type="paragraph" w:customStyle="1" w:styleId="3510">
    <w:name w:val="样式19"/>
    <w:basedOn w:val="4"/>
    <w:qFormat/>
    <w:uiPriority w:val="99"/>
    <w:pPr>
      <w:keepNext w:val="0"/>
      <w:keepLines w:val="0"/>
      <w:numPr>
        <w:ilvl w:val="0"/>
        <w:numId w:val="0"/>
      </w:numPr>
      <w:tabs>
        <w:tab w:val="left" w:pos="630"/>
        <w:tab w:val="left" w:pos="840"/>
        <w:tab w:val="left" w:pos="1287"/>
        <w:tab w:val="left" w:pos="3920"/>
        <w:tab w:val="left" w:pos="5670"/>
      </w:tabs>
      <w:adjustRightInd w:val="0"/>
      <w:snapToGrid w:val="0"/>
      <w:spacing w:before="60" w:after="60" w:line="520" w:lineRule="exact"/>
      <w:ind w:firstLine="567"/>
    </w:pPr>
    <w:rPr>
      <w:rFonts w:ascii="Times New Roman" w:hAnsi="Times New Roman" w:eastAsia="华文行楷"/>
      <w:b w:val="0"/>
      <w:color w:val="000000"/>
      <w:kern w:val="0"/>
      <w:sz w:val="24"/>
      <w:szCs w:val="30"/>
      <w:lang w:val="en-US"/>
    </w:rPr>
  </w:style>
  <w:style w:type="paragraph" w:customStyle="1" w:styleId="3511">
    <w:name w:val="xl240"/>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FFFF00"/>
      <w:kern w:val="0"/>
      <w:sz w:val="18"/>
      <w:szCs w:val="18"/>
    </w:rPr>
  </w:style>
  <w:style w:type="paragraph" w:customStyle="1" w:styleId="3512">
    <w:name w:val="默认段落字体 Para Char Char Char1 Char Char Char Char Char Char Char Char Char Char Char Char1"/>
    <w:basedOn w:val="1"/>
    <w:qFormat/>
    <w:uiPriority w:val="99"/>
    <w:rPr>
      <w:rFonts w:ascii="Calibri" w:hAnsi="Calibri" w:cs="Calibri"/>
      <w:sz w:val="24"/>
    </w:rPr>
  </w:style>
  <w:style w:type="paragraph" w:customStyle="1" w:styleId="3513">
    <w:name w:val="正文图竖五"/>
    <w:basedOn w:val="1"/>
    <w:qFormat/>
    <w:uiPriority w:val="99"/>
    <w:pPr>
      <w:jc w:val="center"/>
    </w:pPr>
    <w:rPr>
      <w:rFonts w:ascii="Calibri" w:hAnsi="Calibri" w:eastAsia="仿宋_GB2312" w:cs="Calibri"/>
      <w:color w:val="000000"/>
      <w:kern w:val="0"/>
      <w:szCs w:val="21"/>
    </w:rPr>
  </w:style>
  <w:style w:type="paragraph" w:customStyle="1" w:styleId="3514">
    <w:name w:val="InstÀÀll7"/>
    <w:semiHidden/>
    <w:qFormat/>
    <w:uiPriority w:val="0"/>
    <w:pPr>
      <w:tabs>
        <w:tab w:val="left" w:pos="-720"/>
      </w:tabs>
      <w:suppressAutoHyphens/>
      <w:jc w:val="both"/>
    </w:pPr>
    <w:rPr>
      <w:rFonts w:ascii="Courier" w:hAnsi="Courier" w:eastAsia="宋体" w:cs="Calibri"/>
      <w:spacing w:val="-3"/>
      <w:sz w:val="24"/>
      <w:lang w:val="en-US" w:eastAsia="sv-SE" w:bidi="ar-SA"/>
    </w:rPr>
  </w:style>
  <w:style w:type="paragraph" w:customStyle="1" w:styleId="3515">
    <w:name w:val="Char Char Char Char Char Char Char Char Char Char Char Char Char Char2"/>
    <w:basedOn w:val="1"/>
    <w:semiHidden/>
    <w:qFormat/>
    <w:uiPriority w:val="0"/>
    <w:rPr>
      <w:rFonts w:ascii="Calibri" w:hAnsi="Calibri" w:cs="Calibri"/>
      <w:sz w:val="24"/>
    </w:rPr>
  </w:style>
  <w:style w:type="paragraph" w:customStyle="1" w:styleId="3516">
    <w:name w:val="样式 标题 4标题 4 Char第三层条PIM 4h4款标题1.1.1.1H4Fab-4T5Ref Headi..."/>
    <w:basedOn w:val="6"/>
    <w:semiHidden/>
    <w:qFormat/>
    <w:uiPriority w:val="0"/>
    <w:pPr>
      <w:numPr>
        <w:ilvl w:val="0"/>
        <w:numId w:val="0"/>
      </w:numPr>
      <w:tabs>
        <w:tab w:val="left" w:pos="1044"/>
      </w:tabs>
      <w:adjustRightInd w:val="0"/>
      <w:spacing w:before="120" w:after="120" w:line="500" w:lineRule="atLeast"/>
      <w:ind w:left="1044" w:hanging="864"/>
    </w:pPr>
    <w:rPr>
      <w:rFonts w:eastAsia="仿宋_GB2312" w:cs="宋体"/>
      <w:b w:val="0"/>
      <w:bCs/>
      <w:kern w:val="0"/>
      <w:lang w:val="en-US"/>
    </w:rPr>
  </w:style>
  <w:style w:type="paragraph" w:customStyle="1" w:styleId="3517">
    <w:name w:val="Char Char Char Char Char Char Char Char Char3"/>
    <w:basedOn w:val="1"/>
    <w:qFormat/>
    <w:uiPriority w:val="99"/>
    <w:rPr>
      <w:rFonts w:ascii="Calibri" w:hAnsi="Calibri" w:cs="Calibri"/>
    </w:rPr>
  </w:style>
  <w:style w:type="paragraph" w:customStyle="1" w:styleId="3518">
    <w:name w:val="Char1 Char Char Char7"/>
    <w:basedOn w:val="1"/>
    <w:semiHidden/>
    <w:qFormat/>
    <w:uiPriority w:val="0"/>
    <w:rPr>
      <w:rFonts w:ascii="Tahoma" w:hAnsi="Tahoma" w:cs="Calibri"/>
      <w:sz w:val="24"/>
      <w:szCs w:val="20"/>
    </w:rPr>
  </w:style>
  <w:style w:type="paragraph" w:customStyle="1" w:styleId="3519">
    <w:name w:val="Char1 Char Char Char8"/>
    <w:basedOn w:val="1"/>
    <w:semiHidden/>
    <w:qFormat/>
    <w:uiPriority w:val="0"/>
    <w:rPr>
      <w:rFonts w:ascii="Tahoma" w:hAnsi="Tahoma" w:cs="Calibri"/>
      <w:sz w:val="24"/>
      <w:szCs w:val="20"/>
    </w:rPr>
  </w:style>
  <w:style w:type="paragraph" w:customStyle="1" w:styleId="3520">
    <w:name w:val="Char Char Char Char Char Char Char Char Char Char Char Char2"/>
    <w:basedOn w:val="1"/>
    <w:qFormat/>
    <w:uiPriority w:val="99"/>
    <w:rPr>
      <w:rFonts w:ascii="Calibri" w:hAnsi="Calibri" w:cs="Calibri"/>
      <w:sz w:val="24"/>
    </w:rPr>
  </w:style>
  <w:style w:type="paragraph" w:customStyle="1" w:styleId="3521">
    <w:name w:val="样式 文本123 + 段前: 0.2 行1"/>
    <w:basedOn w:val="2854"/>
    <w:semiHidden/>
    <w:qFormat/>
    <w:uiPriority w:val="0"/>
    <w:pPr>
      <w:tabs>
        <w:tab w:val="left" w:pos="780"/>
        <w:tab w:val="clear" w:pos="958"/>
      </w:tabs>
      <w:snapToGrid w:val="0"/>
      <w:spacing w:before="20" w:beforeLines="20" w:line="480" w:lineRule="exact"/>
      <w:ind w:left="0" w:firstLine="510"/>
    </w:pPr>
  </w:style>
  <w:style w:type="paragraph" w:customStyle="1" w:styleId="3522">
    <w:name w:val="Char Char Char Char Char Char Char Char Char Char Char Char Char Char Char Char Char Char Char Char Char Char Char Char Char Char Char Char Char Char Char Char Char Char Char Char Char Char Char Char Char Char1"/>
    <w:basedOn w:val="1"/>
    <w:qFormat/>
    <w:uiPriority w:val="99"/>
    <w:rPr>
      <w:rFonts w:ascii="Calibri" w:hAnsi="Calibri" w:cs="Calibri"/>
    </w:rPr>
  </w:style>
  <w:style w:type="paragraph" w:customStyle="1" w:styleId="3523">
    <w:name w:val="Char Char Char1 Char Char Char Char1"/>
    <w:basedOn w:val="1"/>
    <w:next w:val="1"/>
    <w:qFormat/>
    <w:uiPriority w:val="99"/>
    <w:pPr>
      <w:spacing w:line="360" w:lineRule="auto"/>
      <w:ind w:firstLine="200" w:firstLineChars="200"/>
    </w:pPr>
    <w:rPr>
      <w:rFonts w:ascii="宋体" w:hAnsi="宋体" w:eastAsia="汉鼎简书宋" w:cs="宋体"/>
      <w:sz w:val="24"/>
    </w:rPr>
  </w:style>
  <w:style w:type="paragraph" w:customStyle="1" w:styleId="3524">
    <w:name w:val="xl202"/>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3525">
    <w:name w:val="xl258"/>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526">
    <w:name w:val="description"/>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527">
    <w:name w:val="9 Char"/>
    <w:basedOn w:val="1"/>
    <w:qFormat/>
    <w:uiPriority w:val="99"/>
    <w:pPr>
      <w:spacing w:line="240" w:lineRule="exact"/>
      <w:ind w:firstLine="200" w:firstLineChars="200"/>
    </w:pPr>
    <w:rPr>
      <w:rFonts w:ascii="Calibri" w:hAnsi="Calibri" w:cs="Calibri"/>
      <w:sz w:val="28"/>
      <w:szCs w:val="28"/>
    </w:rPr>
  </w:style>
  <w:style w:type="paragraph" w:customStyle="1" w:styleId="3528">
    <w:name w:val="style39"/>
    <w:basedOn w:val="1"/>
    <w:semiHidden/>
    <w:qFormat/>
    <w:uiPriority w:val="0"/>
    <w:pPr>
      <w:widowControl/>
      <w:spacing w:before="100" w:beforeAutospacing="1" w:after="100" w:afterAutospacing="1"/>
      <w:jc w:val="left"/>
    </w:pPr>
    <w:rPr>
      <w:rFonts w:ascii="宋体" w:hAnsi="宋体" w:cs="Calibri"/>
      <w:kern w:val="0"/>
      <w:sz w:val="18"/>
      <w:szCs w:val="18"/>
    </w:rPr>
  </w:style>
  <w:style w:type="paragraph" w:customStyle="1" w:styleId="3529">
    <w:name w:val="xl257"/>
    <w:basedOn w:val="1"/>
    <w:semiHidden/>
    <w:qFormat/>
    <w:uiPriority w:val="0"/>
    <w:pPr>
      <w:widowControl/>
      <w:pBdr>
        <w:top w:val="single" w:color="auto" w:sz="8" w:space="0"/>
        <w:left w:val="single" w:color="auto" w:sz="8" w:space="0"/>
        <w:right w:val="single" w:color="auto" w:sz="12" w:space="0"/>
      </w:pBdr>
      <w:spacing w:before="100" w:beforeAutospacing="1" w:after="100" w:afterAutospacing="1"/>
      <w:jc w:val="center"/>
    </w:pPr>
    <w:rPr>
      <w:rFonts w:ascii="Calibri" w:hAnsi="Calibri" w:cs="Calibri"/>
      <w:color w:val="00CCFF"/>
      <w:kern w:val="0"/>
      <w:sz w:val="18"/>
      <w:szCs w:val="18"/>
    </w:rPr>
  </w:style>
  <w:style w:type="paragraph" w:customStyle="1" w:styleId="3530">
    <w:name w:val="正文文本缩进 314"/>
    <w:basedOn w:val="1"/>
    <w:semiHidden/>
    <w:qFormat/>
    <w:uiPriority w:val="0"/>
    <w:pPr>
      <w:adjustRightInd w:val="0"/>
      <w:spacing w:line="480" w:lineRule="exact"/>
      <w:ind w:firstLine="525"/>
      <w:textAlignment w:val="baseline"/>
    </w:pPr>
    <w:rPr>
      <w:rFonts w:ascii="宋体" w:hAnsi="Calibri" w:cs="Calibri"/>
      <w:sz w:val="28"/>
      <w:szCs w:val="20"/>
    </w:rPr>
  </w:style>
  <w:style w:type="paragraph" w:customStyle="1" w:styleId="3531">
    <w:name w:val="Char Char Char Char Char Char Char Char Char1 Char Char Char1 Char3"/>
    <w:basedOn w:val="1"/>
    <w:semiHidden/>
    <w:qFormat/>
    <w:uiPriority w:val="0"/>
    <w:pPr>
      <w:spacing w:line="360" w:lineRule="auto"/>
      <w:ind w:firstLine="200" w:firstLineChars="200"/>
    </w:pPr>
    <w:rPr>
      <w:rFonts w:ascii="宋体" w:hAnsi="宋体" w:cs="宋体"/>
      <w:sz w:val="24"/>
    </w:rPr>
  </w:style>
  <w:style w:type="paragraph" w:customStyle="1" w:styleId="3532">
    <w:name w:val="样式 宋体 首行缩进:  0.93 厘米 段前: 6 磅 段后: 6 磅 行距: 固定值 16 磅"/>
    <w:basedOn w:val="1"/>
    <w:qFormat/>
    <w:uiPriority w:val="0"/>
    <w:pPr>
      <w:snapToGrid w:val="0"/>
      <w:spacing w:before="160" w:after="160" w:line="320" w:lineRule="exact"/>
      <w:ind w:firstLine="527"/>
    </w:pPr>
    <w:rPr>
      <w:rFonts w:ascii="宋体" w:hAnsi="宋体" w:cs="宋体"/>
      <w:sz w:val="24"/>
      <w:szCs w:val="20"/>
    </w:rPr>
  </w:style>
  <w:style w:type="paragraph" w:customStyle="1" w:styleId="3533">
    <w:name w:val="样式 样式 报告书表格 + 字距调整二号 +"/>
    <w:basedOn w:val="1596"/>
    <w:qFormat/>
    <w:uiPriority w:val="0"/>
  </w:style>
  <w:style w:type="paragraph" w:customStyle="1" w:styleId="3534">
    <w:name w:val="_Style 16"/>
    <w:basedOn w:val="1"/>
    <w:next w:val="53"/>
    <w:qFormat/>
    <w:uiPriority w:val="99"/>
    <w:pPr>
      <w:widowControl/>
      <w:spacing w:line="360" w:lineRule="auto"/>
      <w:ind w:firstLine="285"/>
      <w:jc w:val="left"/>
    </w:pPr>
    <w:rPr>
      <w:rFonts w:ascii="宋体" w:hAnsi="Arial Black" w:cs="Calibri"/>
      <w:sz w:val="24"/>
      <w:szCs w:val="20"/>
    </w:rPr>
  </w:style>
  <w:style w:type="paragraph" w:customStyle="1" w:styleId="3535">
    <w:name w:val="Char Char Char Char Char Char Char Char Char Char Char1 Char Char Char Char Char Char4"/>
    <w:basedOn w:val="1"/>
    <w:semiHidden/>
    <w:qFormat/>
    <w:uiPriority w:val="0"/>
    <w:rPr>
      <w:rFonts w:ascii="Calibri" w:hAnsi="Calibri" w:cs="Calibri"/>
      <w:sz w:val="24"/>
    </w:rPr>
  </w:style>
  <w:style w:type="paragraph" w:customStyle="1" w:styleId="3536">
    <w:name w:val="样式 标题 3条标题1.1.1条标题1.1.11条标题1.1.12条标题1.1.13条标题1.1.111条标题1.1..."/>
    <w:basedOn w:val="5"/>
    <w:qFormat/>
    <w:uiPriority w:val="0"/>
    <w:pPr>
      <w:numPr>
        <w:ilvl w:val="0"/>
        <w:numId w:val="0"/>
      </w:numPr>
      <w:adjustRightInd w:val="0"/>
      <w:spacing w:before="120" w:beforeLines="50" w:after="120" w:afterLines="50" w:line="360" w:lineRule="auto"/>
    </w:pPr>
    <w:rPr>
      <w:rFonts w:cs="Calibri"/>
      <w:b w:val="0"/>
      <w:bCs w:val="0"/>
      <w:sz w:val="24"/>
      <w:szCs w:val="20"/>
      <w:lang w:val="en-US"/>
    </w:rPr>
  </w:style>
  <w:style w:type="paragraph" w:customStyle="1" w:styleId="3537">
    <w:name w:val="Char Char Char Char15"/>
    <w:basedOn w:val="1"/>
    <w:semiHidden/>
    <w:qFormat/>
    <w:uiPriority w:val="0"/>
    <w:rPr>
      <w:rFonts w:ascii="Calibri" w:hAnsi="Calibri" w:cs="Calibri"/>
      <w:sz w:val="28"/>
    </w:rPr>
  </w:style>
  <w:style w:type="paragraph" w:customStyle="1" w:styleId="3538">
    <w:name w:val="样式 标题 2mystyle2style2 + 四号 非加粗 居中 行距: 多倍行距 1.73 字行"/>
    <w:basedOn w:val="4"/>
    <w:qFormat/>
    <w:uiPriority w:val="99"/>
    <w:pPr>
      <w:numPr>
        <w:ilvl w:val="0"/>
        <w:numId w:val="0"/>
      </w:numPr>
      <w:adjustRightInd w:val="0"/>
      <w:spacing w:before="260" w:after="260" w:line="415" w:lineRule="auto"/>
      <w:jc w:val="center"/>
    </w:pPr>
    <w:rPr>
      <w:rFonts w:eastAsia="宋体" w:cs="Century"/>
      <w:bCs w:val="0"/>
      <w:szCs w:val="20"/>
      <w:lang w:val="en-US"/>
    </w:rPr>
  </w:style>
  <w:style w:type="paragraph" w:customStyle="1" w:styleId="3539">
    <w:name w:val="Char10"/>
    <w:basedOn w:val="1"/>
    <w:qFormat/>
    <w:uiPriority w:val="0"/>
    <w:rPr>
      <w:rFonts w:ascii="宋体" w:hAnsi="Calibri" w:cs="Calibri"/>
      <w:sz w:val="24"/>
    </w:rPr>
  </w:style>
  <w:style w:type="paragraph" w:customStyle="1" w:styleId="3540">
    <w:name w:val="font17"/>
    <w:basedOn w:val="1"/>
    <w:qFormat/>
    <w:uiPriority w:val="0"/>
    <w:pPr>
      <w:widowControl/>
      <w:spacing w:before="100" w:beforeAutospacing="1" w:after="100" w:afterAutospacing="1"/>
      <w:jc w:val="left"/>
    </w:pPr>
    <w:rPr>
      <w:rFonts w:ascii="Calibri" w:hAnsi="Calibri" w:cs="Calibri"/>
      <w:color w:val="FF6600"/>
      <w:kern w:val="0"/>
      <w:sz w:val="18"/>
      <w:szCs w:val="18"/>
    </w:rPr>
  </w:style>
  <w:style w:type="paragraph" w:customStyle="1" w:styleId="3541">
    <w:name w:val="正文22"/>
    <w:qFormat/>
    <w:uiPriority w:val="0"/>
    <w:pPr>
      <w:tabs>
        <w:tab w:val="right" w:pos="1474"/>
      </w:tabs>
      <w:spacing w:line="360" w:lineRule="auto"/>
    </w:pPr>
    <w:rPr>
      <w:rFonts w:ascii="Calibri" w:hAnsi="Calibri" w:eastAsia="宋体" w:cs="Calibri"/>
      <w:sz w:val="24"/>
      <w:lang w:val="en-US" w:eastAsia="zh-CN" w:bidi="ar-SA"/>
    </w:rPr>
  </w:style>
  <w:style w:type="paragraph" w:customStyle="1" w:styleId="3542">
    <w:name w:val="样式 标题 2正式H2（一）Underrubrik1prop2Heading 2 HiddenHeading 2 ..."/>
    <w:basedOn w:val="4"/>
    <w:semiHidden/>
    <w:qFormat/>
    <w:uiPriority w:val="0"/>
    <w:pPr>
      <w:numPr>
        <w:ilvl w:val="0"/>
        <w:numId w:val="0"/>
      </w:numPr>
      <w:tabs>
        <w:tab w:val="left" w:pos="0"/>
      </w:tabs>
      <w:adjustRightInd w:val="0"/>
      <w:snapToGrid w:val="0"/>
      <w:spacing w:before="120" w:after="120"/>
      <w:ind w:firstLine="200" w:firstLineChars="200"/>
    </w:pPr>
    <w:rPr>
      <w:rFonts w:ascii="Times New Roman" w:hAnsi="Times New Roman" w:eastAsia="宋体"/>
      <w:b w:val="0"/>
      <w:snapToGrid w:val="0"/>
      <w:spacing w:val="4"/>
      <w:kern w:val="0"/>
      <w:szCs w:val="24"/>
      <w:lang w:val="en-US"/>
    </w:rPr>
  </w:style>
  <w:style w:type="paragraph" w:customStyle="1" w:styleId="3543">
    <w:name w:val="xl271"/>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b/>
      <w:bCs/>
      <w:color w:val="00CCFF"/>
      <w:kern w:val="0"/>
      <w:sz w:val="18"/>
      <w:szCs w:val="18"/>
    </w:rPr>
  </w:style>
  <w:style w:type="paragraph" w:customStyle="1" w:styleId="3544">
    <w:name w:val="Section Subtitle"/>
    <w:basedOn w:val="3395"/>
    <w:next w:val="1"/>
    <w:semiHidden/>
    <w:qFormat/>
    <w:uiPriority w:val="0"/>
    <w:pPr>
      <w:pBdr>
        <w:top w:val="none" w:color="auto" w:sz="0" w:space="0"/>
      </w:pBdr>
    </w:pPr>
    <w:rPr>
      <w:b w:val="0"/>
      <w:spacing w:val="0"/>
      <w:position w:val="6"/>
    </w:rPr>
  </w:style>
  <w:style w:type="paragraph" w:customStyle="1" w:styleId="3545">
    <w:name w:val="Char1 Char Char Char Char Char Char Char Char Char Char Char Char Char Char Char Char Char1"/>
    <w:basedOn w:val="1"/>
    <w:semiHidden/>
    <w:qFormat/>
    <w:uiPriority w:val="0"/>
    <w:rPr>
      <w:rFonts w:ascii="Calibri" w:hAnsi="Calibri" w:cs="Calibri"/>
      <w:sz w:val="24"/>
    </w:rPr>
  </w:style>
  <w:style w:type="paragraph" w:customStyle="1" w:styleId="3546">
    <w:name w:val="表序号"/>
    <w:basedOn w:val="7"/>
    <w:qFormat/>
    <w:uiPriority w:val="0"/>
    <w:pPr>
      <w:keepNext/>
      <w:keepLines/>
      <w:numPr>
        <w:ilvl w:val="0"/>
        <w:numId w:val="0"/>
      </w:numPr>
      <w:tabs>
        <w:tab w:val="left" w:pos="3093"/>
      </w:tabs>
      <w:adjustRightInd/>
      <w:snapToGrid/>
      <w:spacing w:before="0" w:after="0"/>
      <w:ind w:left="3093" w:hanging="420"/>
      <w:jc w:val="center"/>
    </w:pPr>
    <w:rPr>
      <w:rFonts w:ascii="宋体" w:hAnsi="Arial" w:cs="Calibri"/>
      <w:bCs w:val="0"/>
      <w:i w:val="0"/>
      <w:iCs w:val="0"/>
      <w:sz w:val="24"/>
      <w:szCs w:val="20"/>
      <w:lang w:val="en-US" w:eastAsia="zh-CN" w:bidi="ar-SA"/>
    </w:rPr>
  </w:style>
  <w:style w:type="paragraph" w:customStyle="1" w:styleId="3547">
    <w:name w:val="样式 样式 标题 3 + 段前: 0.5 行 段后: 0.5 行 + 段前: 0.5 行 段后: 0.5 行"/>
    <w:basedOn w:val="1"/>
    <w:qFormat/>
    <w:uiPriority w:val="99"/>
    <w:pPr>
      <w:keepNext/>
      <w:keepLines/>
      <w:adjustRightInd w:val="0"/>
      <w:snapToGrid w:val="0"/>
      <w:spacing w:before="156" w:beforeLines="50" w:after="156" w:afterLines="50" w:line="300" w:lineRule="auto"/>
      <w:ind w:left="180"/>
      <w:jc w:val="left"/>
      <w:outlineLvl w:val="2"/>
    </w:pPr>
    <w:rPr>
      <w:rFonts w:ascii="仿宋_GB2312" w:hAnsi="宋体" w:eastAsia="仿宋_GB2312" w:cs="宋体"/>
      <w:b/>
      <w:sz w:val="30"/>
      <w:szCs w:val="30"/>
    </w:rPr>
  </w:style>
  <w:style w:type="paragraph" w:customStyle="1" w:styleId="3548">
    <w:name w:val="xl267"/>
    <w:basedOn w:val="1"/>
    <w:semiHidden/>
    <w:qFormat/>
    <w:uiPriority w:val="0"/>
    <w:pPr>
      <w:widowControl/>
      <w:pBdr>
        <w:left w:val="single" w:color="auto" w:sz="8" w:space="0"/>
        <w:bottom w:val="single" w:color="auto" w:sz="8" w:space="0"/>
        <w:right w:val="single" w:color="auto" w:sz="12" w:space="0"/>
      </w:pBdr>
      <w:spacing w:before="100" w:beforeAutospacing="1" w:after="100" w:afterAutospacing="1"/>
      <w:jc w:val="center"/>
    </w:pPr>
    <w:rPr>
      <w:rFonts w:ascii="Calibri" w:hAnsi="Calibri" w:cs="Calibri"/>
      <w:color w:val="00CCFF"/>
      <w:kern w:val="0"/>
      <w:sz w:val="18"/>
      <w:szCs w:val="18"/>
    </w:rPr>
  </w:style>
  <w:style w:type="paragraph" w:customStyle="1" w:styleId="3549">
    <w:name w:val="2 Char Char Char Char Char Char Char"/>
    <w:basedOn w:val="1"/>
    <w:qFormat/>
    <w:uiPriority w:val="99"/>
    <w:rPr>
      <w:rFonts w:ascii="Calibri" w:hAnsi="Calibri" w:cs="Calibri"/>
    </w:rPr>
  </w:style>
  <w:style w:type="paragraph" w:customStyle="1" w:styleId="3550">
    <w:name w:val="预评价二"/>
    <w:basedOn w:val="1"/>
    <w:qFormat/>
    <w:uiPriority w:val="99"/>
    <w:pPr>
      <w:spacing w:line="360" w:lineRule="auto"/>
      <w:ind w:right="-22" w:rightChars="-22"/>
      <w:jc w:val="left"/>
    </w:pPr>
    <w:rPr>
      <w:rFonts w:ascii="宋体" w:hAnsi="宋体" w:eastAsia="楷体_GB2312" w:cs="Calibri"/>
      <w:b/>
      <w:bCs/>
      <w:sz w:val="32"/>
    </w:rPr>
  </w:style>
  <w:style w:type="paragraph" w:customStyle="1" w:styleId="3551">
    <w:name w:val="正文样式100"/>
    <w:basedOn w:val="1"/>
    <w:qFormat/>
    <w:uiPriority w:val="99"/>
    <w:pPr>
      <w:adjustRightInd w:val="0"/>
      <w:spacing w:line="360" w:lineRule="auto"/>
      <w:ind w:firstLine="510"/>
      <w:jc w:val="left"/>
      <w:textAlignment w:val="baseline"/>
    </w:pPr>
    <w:rPr>
      <w:rFonts w:ascii="Calibri" w:hAnsi="Calibri" w:cs="Calibri"/>
      <w:sz w:val="24"/>
    </w:rPr>
  </w:style>
  <w:style w:type="paragraph" w:customStyle="1" w:styleId="3552">
    <w:name w:val="+标题1"/>
    <w:basedOn w:val="3"/>
    <w:qFormat/>
    <w:uiPriority w:val="0"/>
    <w:pPr>
      <w:keepLines/>
      <w:pageBreakBefore/>
      <w:tabs>
        <w:tab w:val="left" w:pos="432"/>
      </w:tabs>
      <w:overflowPunct/>
      <w:adjustRightInd w:val="0"/>
      <w:snapToGrid/>
      <w:spacing w:before="240" w:beforeLines="100" w:after="240" w:afterLines="100" w:line="360" w:lineRule="auto"/>
      <w:ind w:hanging="632"/>
      <w:jc w:val="center"/>
    </w:pPr>
    <w:rPr>
      <w:rFonts w:eastAsia="楷体_GB2312"/>
      <w:b w:val="0"/>
      <w:color w:val="auto"/>
      <w:sz w:val="28"/>
      <w:szCs w:val="32"/>
    </w:rPr>
  </w:style>
  <w:style w:type="paragraph" w:customStyle="1" w:styleId="3553">
    <w:name w:val="HLZW + (中文)"/>
    <w:basedOn w:val="1"/>
    <w:semiHidden/>
    <w:qFormat/>
    <w:uiPriority w:val="0"/>
    <w:pPr>
      <w:spacing w:line="500" w:lineRule="exact"/>
      <w:ind w:firstLine="480" w:firstLineChars="200"/>
    </w:pPr>
    <w:rPr>
      <w:rFonts w:ascii="Calibri" w:hAnsi="Calibri" w:eastAsia="仿宋_GB2312" w:cs="宋体"/>
      <w:color w:val="000000"/>
      <w:sz w:val="28"/>
      <w:szCs w:val="20"/>
    </w:rPr>
  </w:style>
  <w:style w:type="paragraph" w:customStyle="1" w:styleId="3554">
    <w:name w:val="Char Char Char4"/>
    <w:basedOn w:val="1"/>
    <w:qFormat/>
    <w:uiPriority w:val="99"/>
    <w:rPr>
      <w:rFonts w:ascii="Calibri" w:hAnsi="Calibri" w:cs="Calibri"/>
      <w:sz w:val="24"/>
    </w:rPr>
  </w:style>
  <w:style w:type="paragraph" w:customStyle="1" w:styleId="3555">
    <w:name w:val="列表4"/>
    <w:basedOn w:val="1"/>
    <w:next w:val="1"/>
    <w:semiHidden/>
    <w:qFormat/>
    <w:uiPriority w:val="0"/>
    <w:pPr>
      <w:spacing w:line="360" w:lineRule="atLeast"/>
    </w:pPr>
    <w:rPr>
      <w:rFonts w:ascii="Calibri" w:hAnsi="Calibri" w:cs="Calibri"/>
      <w:spacing w:val="5"/>
      <w:sz w:val="24"/>
      <w:szCs w:val="20"/>
    </w:rPr>
  </w:style>
  <w:style w:type="paragraph" w:customStyle="1" w:styleId="3556">
    <w:name w:val="Char1 Char Char Char Char Char Char Char Char1"/>
    <w:basedOn w:val="1"/>
    <w:semiHidden/>
    <w:qFormat/>
    <w:uiPriority w:val="0"/>
    <w:rPr>
      <w:rFonts w:ascii="Calibri" w:hAnsi="Calibri" w:cs="Calibri"/>
      <w:sz w:val="24"/>
    </w:rPr>
  </w:style>
  <w:style w:type="paragraph" w:customStyle="1" w:styleId="3557">
    <w:name w:val="Char4 Char Char Char Char Char Char Char Char Char Char Char Char Char Char Char Char Char1 Char Char Char Char Char Char1 Char Char Char Char Char Char Char Char Char Char Char Char Char Char Char Char2"/>
    <w:basedOn w:val="1"/>
    <w:semiHidden/>
    <w:qFormat/>
    <w:uiPriority w:val="0"/>
    <w:pPr>
      <w:spacing w:line="240" w:lineRule="exact"/>
      <w:ind w:firstLine="200" w:firstLineChars="200"/>
    </w:pPr>
    <w:rPr>
      <w:rFonts w:ascii="Calibri" w:hAnsi="Calibri" w:cs="Calibri"/>
      <w:sz w:val="28"/>
      <w:szCs w:val="28"/>
    </w:rPr>
  </w:style>
  <w:style w:type="paragraph" w:customStyle="1" w:styleId="3558">
    <w:name w:val="Char Char Char Char Char3"/>
    <w:basedOn w:val="1"/>
    <w:qFormat/>
    <w:uiPriority w:val="99"/>
    <w:rPr>
      <w:rFonts w:ascii="Calibri" w:hAnsi="Calibri" w:cs="Calibri"/>
      <w:sz w:val="24"/>
    </w:rPr>
  </w:style>
  <w:style w:type="paragraph" w:customStyle="1" w:styleId="3559">
    <w:name w:val="xl164"/>
    <w:basedOn w:val="1"/>
    <w:qFormat/>
    <w:uiPriority w:val="99"/>
    <w:pPr>
      <w:widowControl/>
      <w:pBdr>
        <w:left w:val="single" w:color="auto" w:sz="12" w:space="0"/>
        <w:bottom w:val="single" w:color="auto" w:sz="12" w:space="0"/>
      </w:pBdr>
      <w:spacing w:before="100" w:beforeAutospacing="1" w:after="100" w:afterAutospacing="1"/>
      <w:jc w:val="center"/>
    </w:pPr>
    <w:rPr>
      <w:rFonts w:ascii="Arial Unicode MS" w:hAnsi="Arial Unicode MS" w:cs="Calibri"/>
      <w:kern w:val="0"/>
    </w:rPr>
  </w:style>
  <w:style w:type="paragraph" w:customStyle="1" w:styleId="3560">
    <w:name w:val="Char Char Char1 Char Char Char Char Char Char Char Char Char Char Char Char Char Char Char1 Char Char Char Char Char Char Char Char Char Char Char Char3"/>
    <w:basedOn w:val="1"/>
    <w:semiHidden/>
    <w:qFormat/>
    <w:uiPriority w:val="0"/>
    <w:rPr>
      <w:rFonts w:ascii="Calibri" w:hAnsi="Calibri" w:cs="Calibri"/>
      <w:szCs w:val="21"/>
    </w:rPr>
  </w:style>
  <w:style w:type="paragraph" w:customStyle="1" w:styleId="3561">
    <w:name w:val="正文文本缩进 32"/>
    <w:basedOn w:val="1"/>
    <w:qFormat/>
    <w:uiPriority w:val="99"/>
    <w:pPr>
      <w:adjustRightInd w:val="0"/>
      <w:spacing w:line="480" w:lineRule="exact"/>
      <w:ind w:firstLine="525"/>
      <w:textAlignment w:val="baseline"/>
    </w:pPr>
    <w:rPr>
      <w:rFonts w:ascii="宋体" w:hAnsi="Calibri" w:cs="Calibri"/>
      <w:sz w:val="28"/>
      <w:szCs w:val="20"/>
    </w:rPr>
  </w:style>
  <w:style w:type="paragraph" w:customStyle="1" w:styleId="3562">
    <w:name w:val="纯文本13"/>
    <w:basedOn w:val="1"/>
    <w:semiHidden/>
    <w:qFormat/>
    <w:uiPriority w:val="0"/>
    <w:pPr>
      <w:adjustRightInd w:val="0"/>
      <w:textAlignment w:val="baseline"/>
    </w:pPr>
    <w:rPr>
      <w:rFonts w:ascii="宋体" w:hAnsi="Courier New" w:cs="Calibri"/>
      <w:szCs w:val="20"/>
    </w:rPr>
  </w:style>
  <w:style w:type="paragraph" w:customStyle="1" w:styleId="3563">
    <w:name w:val="MTDisplayEquation"/>
    <w:basedOn w:val="2053"/>
    <w:next w:val="1"/>
    <w:qFormat/>
    <w:uiPriority w:val="0"/>
    <w:pPr>
      <w:tabs>
        <w:tab w:val="center" w:pos="4160"/>
        <w:tab w:val="right" w:pos="8300"/>
      </w:tabs>
    </w:pPr>
  </w:style>
  <w:style w:type="paragraph" w:customStyle="1" w:styleId="3564">
    <w:name w:val="表居中（中文）"/>
    <w:basedOn w:val="1"/>
    <w:qFormat/>
    <w:uiPriority w:val="0"/>
    <w:pPr>
      <w:adjustRightInd w:val="0"/>
      <w:spacing w:line="380" w:lineRule="atLeast"/>
      <w:jc w:val="center"/>
      <w:textAlignment w:val="baseline"/>
    </w:pPr>
    <w:rPr>
      <w:rFonts w:ascii="Calibri" w:hAnsi="Calibri" w:eastAsia="楷体_GB2312" w:cs="Calibri"/>
      <w:kern w:val="0"/>
      <w:szCs w:val="20"/>
    </w:rPr>
  </w:style>
  <w:style w:type="paragraph" w:customStyle="1" w:styleId="3565">
    <w:name w:val="项目编号文字"/>
    <w:basedOn w:val="1"/>
    <w:next w:val="23"/>
    <w:qFormat/>
    <w:uiPriority w:val="0"/>
    <w:pPr>
      <w:spacing w:before="120" w:after="120" w:line="360" w:lineRule="auto"/>
      <w:ind w:left="1077"/>
    </w:pPr>
    <w:rPr>
      <w:rFonts w:ascii="Calibri" w:hAnsi="Calibri" w:cs="Calibri"/>
      <w:sz w:val="24"/>
      <w:szCs w:val="20"/>
    </w:rPr>
  </w:style>
  <w:style w:type="paragraph" w:customStyle="1" w:styleId="3566">
    <w:name w:val="样式 标题 4"/>
    <w:basedOn w:val="6"/>
    <w:semiHidden/>
    <w:qFormat/>
    <w:uiPriority w:val="0"/>
    <w:pPr>
      <w:numPr>
        <w:ilvl w:val="0"/>
        <w:numId w:val="0"/>
      </w:numPr>
      <w:tabs>
        <w:tab w:val="left" w:pos="0"/>
      </w:tabs>
      <w:adjustRightInd w:val="0"/>
      <w:spacing w:before="0" w:after="0" w:line="480" w:lineRule="exact"/>
      <w:ind w:left="425" w:hanging="425"/>
    </w:pPr>
    <w:rPr>
      <w:rFonts w:ascii="宋体" w:eastAsia="宋体" w:cs="Calibri"/>
      <w:color w:val="000000"/>
      <w:sz w:val="24"/>
      <w:szCs w:val="28"/>
      <w:lang w:val="en-US"/>
    </w:rPr>
  </w:style>
  <w:style w:type="paragraph" w:customStyle="1" w:styleId="3567">
    <w:name w:val="样式 (符号) 宋体 首行缩进:  0.99 厘米 行距: 固定值 25 磅"/>
    <w:basedOn w:val="1"/>
    <w:semiHidden/>
    <w:qFormat/>
    <w:uiPriority w:val="0"/>
    <w:pPr>
      <w:spacing w:line="500" w:lineRule="exact"/>
      <w:ind w:firstLine="561"/>
    </w:pPr>
    <w:rPr>
      <w:rFonts w:ascii="Calibri" w:hAnsi="宋体" w:cs="宋体"/>
      <w:sz w:val="24"/>
      <w:szCs w:val="20"/>
    </w:rPr>
  </w:style>
  <w:style w:type="paragraph" w:customStyle="1" w:styleId="3568">
    <w:name w:val="BGBT"/>
    <w:basedOn w:val="24"/>
    <w:semiHidden/>
    <w:qFormat/>
    <w:uiPriority w:val="0"/>
    <w:pPr>
      <w:jc w:val="center"/>
    </w:pPr>
    <w:rPr>
      <w:rFonts w:ascii="Times New Roman" w:hAnsi="Times New Roman" w:eastAsia="宋体" w:cs="宋体"/>
      <w:sz w:val="24"/>
      <w:szCs w:val="24"/>
      <w:lang w:val="en-US"/>
    </w:rPr>
  </w:style>
  <w:style w:type="paragraph" w:customStyle="1" w:styleId="3569">
    <w:name w:val="hb4"/>
    <w:basedOn w:val="6"/>
    <w:semiHidden/>
    <w:qFormat/>
    <w:uiPriority w:val="0"/>
    <w:pPr>
      <w:numPr>
        <w:ilvl w:val="0"/>
        <w:numId w:val="0"/>
      </w:numPr>
      <w:topLinePunct/>
      <w:adjustRightInd w:val="0"/>
      <w:spacing w:before="120" w:beforeLines="50" w:after="120" w:afterLines="50" w:line="300" w:lineRule="exact"/>
    </w:pPr>
    <w:rPr>
      <w:rFonts w:ascii="宋体" w:hAnsi="宋体" w:eastAsia="宋体" w:cs="Calibri"/>
      <w:kern w:val="0"/>
      <w:sz w:val="24"/>
      <w:szCs w:val="24"/>
      <w:lang w:val="en-US"/>
    </w:rPr>
  </w:style>
  <w:style w:type="paragraph" w:customStyle="1" w:styleId="3570">
    <w:name w:val="Chapter"/>
    <w:basedOn w:val="3"/>
    <w:qFormat/>
    <w:uiPriority w:val="99"/>
    <w:pPr>
      <w:keepLines/>
      <w:tabs>
        <w:tab w:val="left" w:pos="926"/>
      </w:tabs>
      <w:overflowPunct/>
      <w:adjustRightInd w:val="0"/>
      <w:snapToGrid/>
      <w:spacing w:before="340" w:after="330" w:line="578" w:lineRule="auto"/>
      <w:ind w:left="-16" w:firstLine="0"/>
      <w:jc w:val="center"/>
    </w:pPr>
    <w:rPr>
      <w:rFonts w:eastAsia="宋体"/>
      <w:b w:val="0"/>
      <w:color w:val="auto"/>
      <w:sz w:val="36"/>
      <w:szCs w:val="36"/>
    </w:rPr>
  </w:style>
  <w:style w:type="paragraph" w:customStyle="1" w:styleId="3571">
    <w:name w:val="广西炼油"/>
    <w:basedOn w:val="1"/>
    <w:qFormat/>
    <w:uiPriority w:val="0"/>
    <w:pPr>
      <w:spacing w:before="15" w:beforeLines="5" w:line="360" w:lineRule="auto"/>
      <w:ind w:firstLine="480"/>
    </w:pPr>
    <w:rPr>
      <w:rFonts w:ascii="宋体" w:hAnsi="宋体" w:cs="Calibri"/>
      <w:sz w:val="24"/>
      <w:szCs w:val="20"/>
    </w:rPr>
  </w:style>
  <w:style w:type="paragraph" w:customStyle="1" w:styleId="3572">
    <w:name w:val="正文 New"/>
    <w:semiHidden/>
    <w:qFormat/>
    <w:uiPriority w:val="0"/>
    <w:pPr>
      <w:widowControl w:val="0"/>
      <w:jc w:val="both"/>
    </w:pPr>
    <w:rPr>
      <w:rFonts w:ascii="Calibri" w:hAnsi="Calibri" w:eastAsia="宋体" w:cs="Calibri"/>
      <w:kern w:val="2"/>
      <w:sz w:val="21"/>
      <w:szCs w:val="24"/>
      <w:lang w:val="en-US" w:eastAsia="zh-CN" w:bidi="ar-SA"/>
    </w:rPr>
  </w:style>
  <w:style w:type="paragraph" w:customStyle="1" w:styleId="3573">
    <w:name w:val="Char6 Char Char Char11"/>
    <w:basedOn w:val="1"/>
    <w:semiHidden/>
    <w:qFormat/>
    <w:uiPriority w:val="0"/>
    <w:rPr>
      <w:rFonts w:ascii="Calibri" w:hAnsi="Calibri" w:cs="Calibri"/>
      <w:szCs w:val="21"/>
    </w:rPr>
  </w:style>
  <w:style w:type="paragraph" w:customStyle="1" w:styleId="3574">
    <w:name w:val="xl328"/>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993300"/>
      <w:kern w:val="0"/>
      <w:sz w:val="18"/>
      <w:szCs w:val="18"/>
    </w:rPr>
  </w:style>
  <w:style w:type="paragraph" w:customStyle="1" w:styleId="3575">
    <w:name w:val="Char Char1 Char Char Char1"/>
    <w:basedOn w:val="1"/>
    <w:semiHidden/>
    <w:qFormat/>
    <w:uiPriority w:val="0"/>
    <w:rPr>
      <w:rFonts w:ascii="Calibri" w:hAnsi="Calibri" w:cs="Calibri"/>
      <w:szCs w:val="21"/>
    </w:rPr>
  </w:style>
  <w:style w:type="paragraph" w:customStyle="1" w:styleId="3576">
    <w:name w:val="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3577">
    <w:name w:val="xl247"/>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578">
    <w:name w:val="框图格式2"/>
    <w:basedOn w:val="1"/>
    <w:qFormat/>
    <w:uiPriority w:val="99"/>
    <w:rPr>
      <w:rFonts w:ascii="Calibri" w:hAnsi="Calibri" w:cs="Calibri"/>
      <w:sz w:val="18"/>
    </w:rPr>
  </w:style>
  <w:style w:type="paragraph" w:customStyle="1" w:styleId="3579">
    <w:name w:val="Char Char1 Char Char Char Char5"/>
    <w:basedOn w:val="1"/>
    <w:semiHidden/>
    <w:qFormat/>
    <w:uiPriority w:val="0"/>
    <w:rPr>
      <w:rFonts w:ascii="Calibri" w:hAnsi="Calibri" w:cs="Calibri"/>
      <w:szCs w:val="20"/>
    </w:rPr>
  </w:style>
  <w:style w:type="paragraph" w:customStyle="1" w:styleId="3580">
    <w:name w:val="文本框5号两端齐"/>
    <w:basedOn w:val="1"/>
    <w:qFormat/>
    <w:uiPriority w:val="99"/>
    <w:pPr>
      <w:widowControl/>
    </w:pPr>
    <w:rPr>
      <w:rFonts w:ascii="Calibri" w:hAnsi="Calibri" w:eastAsia="仿宋_GB2312" w:cs="Calibri"/>
      <w:szCs w:val="21"/>
    </w:rPr>
  </w:style>
  <w:style w:type="paragraph" w:customStyle="1" w:styleId="3581">
    <w:name w:val="样式 表标题 + 段前: 0.5 行1"/>
    <w:basedOn w:val="4"/>
    <w:qFormat/>
    <w:uiPriority w:val="99"/>
    <w:pPr>
      <w:keepNext w:val="0"/>
      <w:keepLines w:val="0"/>
      <w:numPr>
        <w:ilvl w:val="0"/>
        <w:numId w:val="0"/>
      </w:numPr>
      <w:tabs>
        <w:tab w:val="left" w:pos="420"/>
      </w:tabs>
      <w:adjustRightInd w:val="0"/>
      <w:snapToGrid w:val="0"/>
      <w:spacing w:before="206" w:beforeLines="50" w:line="480" w:lineRule="exact"/>
      <w:jc w:val="center"/>
      <w:outlineLvl w:val="9"/>
    </w:pPr>
    <w:rPr>
      <w:rFonts w:ascii="Times New Roman" w:hAnsi="Times New Roman" w:eastAsia="宋体"/>
      <w:bCs w:val="0"/>
      <w:szCs w:val="20"/>
      <w:lang w:val="en-US"/>
    </w:rPr>
  </w:style>
  <w:style w:type="paragraph" w:customStyle="1" w:styleId="3582">
    <w:name w:val="xl59"/>
    <w:basedOn w:val="1"/>
    <w:qFormat/>
    <w:uiPriority w:val="0"/>
    <w:pPr>
      <w:widowControl/>
      <w:pBdr>
        <w:bottom w:val="single" w:color="auto" w:sz="12" w:space="0"/>
      </w:pBdr>
      <w:spacing w:before="100" w:beforeAutospacing="1" w:after="100" w:afterAutospacing="1"/>
      <w:jc w:val="left"/>
      <w:textAlignment w:val="center"/>
    </w:pPr>
    <w:rPr>
      <w:rFonts w:ascii="Calibri" w:hAnsi="Calibri" w:cs="Calibri"/>
      <w:kern w:val="0"/>
      <w:sz w:val="12"/>
      <w:szCs w:val="12"/>
    </w:rPr>
  </w:style>
  <w:style w:type="paragraph" w:customStyle="1" w:styleId="3583">
    <w:name w:val="Char Char Char1 Char Char Char Char Char Char Char Char Char Char Char Char Char Char Char1 Char Char Char Char Char Char Char Char Char"/>
    <w:basedOn w:val="1"/>
    <w:semiHidden/>
    <w:qFormat/>
    <w:uiPriority w:val="0"/>
    <w:rPr>
      <w:rFonts w:ascii="Calibri" w:hAnsi="Calibri" w:cs="Calibri"/>
      <w:szCs w:val="21"/>
    </w:rPr>
  </w:style>
  <w:style w:type="paragraph" w:customStyle="1" w:styleId="3584">
    <w:name w:val="正文文本 21"/>
    <w:basedOn w:val="1"/>
    <w:qFormat/>
    <w:uiPriority w:val="99"/>
    <w:pPr>
      <w:autoSpaceDE w:val="0"/>
      <w:autoSpaceDN w:val="0"/>
      <w:adjustRightInd w:val="0"/>
      <w:spacing w:line="360" w:lineRule="atLeast"/>
      <w:ind w:firstLine="425"/>
      <w:textAlignment w:val="baseline"/>
    </w:pPr>
    <w:rPr>
      <w:rFonts w:ascii="宋体" w:hAnsi="Tms Rmn" w:cs="Calibri"/>
      <w:kern w:val="0"/>
      <w:sz w:val="28"/>
      <w:szCs w:val="20"/>
    </w:rPr>
  </w:style>
  <w:style w:type="paragraph" w:customStyle="1" w:styleId="3585">
    <w:name w:val="xl128"/>
    <w:basedOn w:val="1"/>
    <w:qFormat/>
    <w:uiPriority w:val="99"/>
    <w:pPr>
      <w:widowControl/>
      <w:pBdr>
        <w:bottom w:val="single" w:color="auto" w:sz="8" w:space="0"/>
      </w:pBdr>
      <w:spacing w:before="100" w:beforeAutospacing="1" w:after="100" w:afterAutospacing="1"/>
      <w:jc w:val="center"/>
      <w:textAlignment w:val="center"/>
    </w:pPr>
    <w:rPr>
      <w:rFonts w:ascii="Arial Unicode MS" w:hAnsi="Arial Unicode MS" w:cs="Calibri"/>
      <w:kern w:val="0"/>
      <w:sz w:val="12"/>
      <w:szCs w:val="12"/>
    </w:rPr>
  </w:style>
  <w:style w:type="paragraph" w:customStyle="1" w:styleId="3586">
    <w:name w:val="条款"/>
    <w:basedOn w:val="1"/>
    <w:qFormat/>
    <w:uiPriority w:val="0"/>
    <w:rPr>
      <w:rFonts w:ascii="Calibri" w:hAnsi="Calibri" w:cs="Calibri"/>
      <w:szCs w:val="20"/>
    </w:rPr>
  </w:style>
  <w:style w:type="paragraph" w:customStyle="1" w:styleId="3587">
    <w:name w:val="Char Char Char Char Char Char Char Char Char Char Char Char1"/>
    <w:basedOn w:val="1"/>
    <w:qFormat/>
    <w:uiPriority w:val="99"/>
    <w:rPr>
      <w:rFonts w:ascii="Calibri" w:hAnsi="Calibri" w:cs="Calibri"/>
      <w:sz w:val="24"/>
    </w:rPr>
  </w:style>
  <w:style w:type="paragraph" w:customStyle="1" w:styleId="3588">
    <w:name w:val="ST20_2"/>
    <w:basedOn w:val="1"/>
    <w:qFormat/>
    <w:uiPriority w:val="99"/>
    <w:pPr>
      <w:autoSpaceDE w:val="0"/>
      <w:autoSpaceDN w:val="0"/>
      <w:adjustRightInd w:val="0"/>
      <w:spacing w:line="360" w:lineRule="atLeast"/>
      <w:ind w:firstLine="576" w:firstLineChars="200"/>
      <w:jc w:val="left"/>
      <w:textAlignment w:val="baseline"/>
    </w:pPr>
    <w:rPr>
      <w:rFonts w:ascii="宋体" w:hAnsi="Tms Rmn" w:eastAsia="仿宋_GB2312" w:cs="Calibri"/>
      <w:spacing w:val="4"/>
      <w:kern w:val="0"/>
      <w:sz w:val="28"/>
      <w:szCs w:val="20"/>
    </w:rPr>
  </w:style>
  <w:style w:type="paragraph" w:customStyle="1" w:styleId="3589">
    <w:name w:val="xl334"/>
    <w:basedOn w:val="1"/>
    <w:semiHidden/>
    <w:qFormat/>
    <w:uiPriority w:val="0"/>
    <w:pPr>
      <w:widowControl/>
      <w:pBdr>
        <w:left w:val="single" w:color="auto" w:sz="12" w:space="0"/>
        <w:bottom w:val="single" w:color="auto" w:sz="12" w:space="0"/>
        <w:right w:val="single" w:color="auto" w:sz="8" w:space="0"/>
      </w:pBdr>
      <w:spacing w:before="100" w:beforeAutospacing="1" w:after="100" w:afterAutospacing="1"/>
      <w:jc w:val="center"/>
    </w:pPr>
    <w:rPr>
      <w:rFonts w:ascii="Calibri" w:hAnsi="Calibri" w:cs="Calibri"/>
      <w:color w:val="FF0000"/>
      <w:kern w:val="0"/>
      <w:sz w:val="18"/>
      <w:szCs w:val="18"/>
    </w:rPr>
  </w:style>
  <w:style w:type="paragraph" w:customStyle="1" w:styleId="3590">
    <w:name w:val="xl234"/>
    <w:basedOn w:val="1"/>
    <w:semiHidden/>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FFFF00"/>
      <w:kern w:val="0"/>
      <w:sz w:val="18"/>
      <w:szCs w:val="18"/>
    </w:rPr>
  </w:style>
  <w:style w:type="paragraph" w:customStyle="1" w:styleId="3591">
    <w:name w:val="CM117"/>
    <w:basedOn w:val="314"/>
    <w:next w:val="314"/>
    <w:qFormat/>
    <w:uiPriority w:val="99"/>
    <w:pPr>
      <w:tabs>
        <w:tab w:val="left" w:pos="315"/>
      </w:tabs>
      <w:spacing w:after="58" w:line="360" w:lineRule="auto"/>
      <w:ind w:left="1855" w:hanging="720"/>
    </w:pPr>
    <w:rPr>
      <w:rFonts w:ascii="楷体_GB2312" w:hAnsi="Calibri" w:eastAsia="楷体_GB2312" w:cs="Times New Roman"/>
      <w:color w:val="auto"/>
      <w:kern w:val="2"/>
    </w:rPr>
  </w:style>
  <w:style w:type="paragraph" w:customStyle="1" w:styleId="3592">
    <w:name w:val="样式 首行缩进:  0.93 厘米"/>
    <w:basedOn w:val="1"/>
    <w:semiHidden/>
    <w:qFormat/>
    <w:uiPriority w:val="0"/>
    <w:pPr>
      <w:widowControl/>
      <w:spacing w:line="500" w:lineRule="exact"/>
      <w:ind w:firstLine="528"/>
      <w:jc w:val="left"/>
    </w:pPr>
    <w:rPr>
      <w:rFonts w:ascii="仿宋_GB2312" w:hAnsi="Calibri" w:eastAsia="仿宋_GB2312" w:cs="Calibri"/>
      <w:kern w:val="28"/>
      <w:sz w:val="28"/>
      <w:szCs w:val="28"/>
    </w:rPr>
  </w:style>
  <w:style w:type="paragraph" w:customStyle="1" w:styleId="3593">
    <w:name w:val="Char4 Char Char Char Char Char Char Char Char Char Char Char Char Char Char Char Char Char1 Char Char Char Char Char Char1 Char Char Char Char Char Char Char Char Char Char Char Char Char Char Char Char3"/>
    <w:basedOn w:val="1"/>
    <w:semiHidden/>
    <w:qFormat/>
    <w:uiPriority w:val="0"/>
    <w:pPr>
      <w:spacing w:line="240" w:lineRule="exact"/>
      <w:ind w:firstLine="200" w:firstLineChars="200"/>
    </w:pPr>
    <w:rPr>
      <w:rFonts w:ascii="Calibri" w:hAnsi="Calibri" w:cs="Calibri"/>
      <w:sz w:val="28"/>
      <w:szCs w:val="28"/>
    </w:rPr>
  </w:style>
  <w:style w:type="paragraph" w:customStyle="1" w:styleId="3594">
    <w:name w:val="默认段落字体 Para Char Char Char Char Char Char Char Char Char"/>
    <w:basedOn w:val="1"/>
    <w:semiHidden/>
    <w:qFormat/>
    <w:uiPriority w:val="0"/>
    <w:pPr>
      <w:keepNext/>
      <w:keepLines/>
      <w:spacing w:line="360" w:lineRule="auto"/>
      <w:jc w:val="left"/>
    </w:pPr>
    <w:rPr>
      <w:rFonts w:ascii="Tahoma" w:hAnsi="Tahoma" w:cs="Calibri"/>
      <w:b/>
      <w:sz w:val="30"/>
      <w:szCs w:val="20"/>
    </w:rPr>
  </w:style>
  <w:style w:type="paragraph" w:customStyle="1" w:styleId="3595">
    <w:name w:val="xl155"/>
    <w:basedOn w:val="1"/>
    <w:qFormat/>
    <w:uiPriority w:val="99"/>
    <w:pPr>
      <w:widowControl/>
      <w:pBdr>
        <w:top w:val="single" w:color="auto" w:sz="4" w:space="0"/>
        <w:left w:val="single" w:color="auto" w:sz="4" w:space="0"/>
        <w:right w:val="single" w:color="auto" w:sz="4" w:space="0"/>
      </w:pBdr>
      <w:spacing w:before="100" w:beforeAutospacing="1" w:after="100" w:afterAutospacing="1"/>
      <w:jc w:val="left"/>
    </w:pPr>
    <w:rPr>
      <w:rFonts w:ascii="Arial Unicode MS" w:hAnsi="Arial Unicode MS" w:cs="Calibri"/>
      <w:kern w:val="0"/>
      <w:sz w:val="20"/>
      <w:szCs w:val="20"/>
    </w:rPr>
  </w:style>
  <w:style w:type="paragraph" w:customStyle="1" w:styleId="3596">
    <w:name w:val="Char Char Char Char Char Char Char Char Char Char Char Char Char Char1"/>
    <w:basedOn w:val="1"/>
    <w:semiHidden/>
    <w:qFormat/>
    <w:uiPriority w:val="0"/>
    <w:rPr>
      <w:rFonts w:ascii="Calibri" w:hAnsi="Calibri" w:cs="Calibri"/>
      <w:sz w:val="24"/>
    </w:rPr>
  </w:style>
  <w:style w:type="paragraph" w:customStyle="1" w:styleId="3597">
    <w:name w:val="样式 样式 正文首行缩进 + 首行缩进:  2 字符 + 首行缩进:  2 字符"/>
    <w:basedOn w:val="1"/>
    <w:qFormat/>
    <w:uiPriority w:val="99"/>
    <w:pPr>
      <w:topLinePunct/>
      <w:adjustRightInd w:val="0"/>
      <w:snapToGrid w:val="0"/>
      <w:spacing w:line="360" w:lineRule="auto"/>
      <w:ind w:firstLine="480"/>
      <w:textAlignment w:val="baseline"/>
    </w:pPr>
    <w:rPr>
      <w:rFonts w:ascii="Calibri" w:hAnsi="宋体" w:eastAsia="Times New Roman" w:cs="Calibri"/>
      <w:kern w:val="0"/>
      <w:sz w:val="24"/>
      <w:szCs w:val="20"/>
    </w:rPr>
  </w:style>
  <w:style w:type="paragraph" w:customStyle="1" w:styleId="3598">
    <w:name w:val="样式 标准文本 首行缩进:2 字符 行距1.5倍 + 首行缩进:  2 字符1"/>
    <w:basedOn w:val="2284"/>
    <w:semiHidden/>
    <w:qFormat/>
    <w:uiPriority w:val="0"/>
    <w:pPr>
      <w:spacing w:line="240" w:lineRule="auto"/>
    </w:pPr>
  </w:style>
  <w:style w:type="paragraph" w:customStyle="1" w:styleId="3599">
    <w:name w:val="字元1"/>
    <w:basedOn w:val="1"/>
    <w:qFormat/>
    <w:uiPriority w:val="0"/>
    <w:rPr>
      <w:rFonts w:ascii="Calibri" w:hAnsi="Calibri" w:cs="Calibri"/>
      <w:sz w:val="24"/>
    </w:rPr>
  </w:style>
  <w:style w:type="paragraph" w:customStyle="1" w:styleId="3600">
    <w:name w:val="xl233"/>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601">
    <w:name w:val="Char Char Char1 Char Char Char Char Char Char"/>
    <w:basedOn w:val="1"/>
    <w:qFormat/>
    <w:uiPriority w:val="0"/>
    <w:rPr>
      <w:rFonts w:ascii="黑体" w:hAnsi="黑体" w:eastAsia="黑体" w:cs="Calibri"/>
      <w:b/>
      <w:spacing w:val="10"/>
      <w:sz w:val="28"/>
      <w:szCs w:val="20"/>
    </w:rPr>
  </w:style>
  <w:style w:type="paragraph" w:customStyle="1" w:styleId="3602">
    <w:name w:val="reader-word-layer reader-word-s1-1"/>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603">
    <w:name w:val="xl210"/>
    <w:basedOn w:val="1"/>
    <w:semiHidden/>
    <w:qFormat/>
    <w:uiPriority w:val="0"/>
    <w:pPr>
      <w:widowControl/>
      <w:pBdr>
        <w:left w:val="single" w:color="auto" w:sz="8" w:space="0"/>
        <w:bottom w:val="single" w:color="auto" w:sz="12"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604">
    <w:name w:val="xl300"/>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605">
    <w:name w:val="样式 样式 加粗 黑色 段后: 0.5 行 行距: 最小值 20 磅 + 段后: 0.5 行"/>
    <w:basedOn w:val="1"/>
    <w:semiHidden/>
    <w:qFormat/>
    <w:uiPriority w:val="0"/>
    <w:pPr>
      <w:tabs>
        <w:tab w:val="left" w:pos="1190"/>
      </w:tabs>
      <w:spacing w:beforeLines="50" w:afterLines="50" w:line="400" w:lineRule="atLeast"/>
      <w:ind w:left="425" w:hanging="425"/>
    </w:pPr>
    <w:rPr>
      <w:rFonts w:ascii="Calibri" w:hAnsi="Calibri" w:cs="Calibri"/>
      <w:b/>
      <w:snapToGrid w:val="0"/>
      <w:color w:val="000000"/>
      <w:kern w:val="0"/>
      <w:sz w:val="24"/>
      <w:szCs w:val="20"/>
    </w:rPr>
  </w:style>
  <w:style w:type="paragraph" w:customStyle="1" w:styleId="3606">
    <w:name w:val="条4"/>
    <w:basedOn w:val="1"/>
    <w:next w:val="1"/>
    <w:qFormat/>
    <w:uiPriority w:val="99"/>
    <w:pPr>
      <w:tabs>
        <w:tab w:val="left" w:pos="992"/>
      </w:tabs>
      <w:ind w:left="992" w:hanging="992"/>
      <w:outlineLvl w:val="1"/>
    </w:pPr>
    <w:rPr>
      <w:rFonts w:hint="eastAsia" w:ascii="黑体" w:hAnsi="Calibri" w:eastAsia="黑体" w:cs="Calibri"/>
      <w:kern w:val="21"/>
      <w:szCs w:val="20"/>
    </w:rPr>
  </w:style>
  <w:style w:type="paragraph" w:customStyle="1" w:styleId="3607">
    <w:name w:val="样式 标题 3标题 一sect1.2.3标题 3 Char Char标题 3 Char Char Char标题 3 C..."/>
    <w:basedOn w:val="5"/>
    <w:semiHidden/>
    <w:qFormat/>
    <w:uiPriority w:val="0"/>
    <w:pPr>
      <w:numPr>
        <w:ilvl w:val="0"/>
        <w:numId w:val="0"/>
      </w:numPr>
      <w:adjustRightInd w:val="0"/>
      <w:spacing w:before="0" w:after="0" w:line="360" w:lineRule="auto"/>
    </w:pPr>
    <w:rPr>
      <w:rFonts w:ascii="@黑体" w:hAnsi="@黑体" w:eastAsia="@黑体" w:cs="Calibri"/>
      <w:b w:val="0"/>
      <w:sz w:val="24"/>
      <w:lang w:val="en-US"/>
    </w:rPr>
  </w:style>
  <w:style w:type="paragraph" w:customStyle="1" w:styleId="3608">
    <w:name w:val="8"/>
    <w:basedOn w:val="1"/>
    <w:next w:val="71"/>
    <w:qFormat/>
    <w:uiPriority w:val="0"/>
    <w:pPr>
      <w:ind w:firstLine="556"/>
      <w:jc w:val="left"/>
    </w:pPr>
    <w:rPr>
      <w:rFonts w:ascii="仿宋_GB2312" w:hAnsi="宋体" w:eastAsia="仿宋_GB2312" w:cs="Calibri"/>
      <w:sz w:val="28"/>
    </w:rPr>
  </w:style>
  <w:style w:type="paragraph" w:customStyle="1" w:styleId="3609">
    <w:name w:val="Char Char Char2 Char Char Char Char Char Char Char Char Char Char Char Char 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3610">
    <w:name w:val="3 Char"/>
    <w:basedOn w:val="1"/>
    <w:semiHidden/>
    <w:qFormat/>
    <w:uiPriority w:val="0"/>
    <w:rPr>
      <w:rFonts w:ascii="Calibri" w:hAnsi="Calibri" w:cs="Calibri"/>
      <w:sz w:val="24"/>
    </w:rPr>
  </w:style>
  <w:style w:type="paragraph" w:customStyle="1" w:styleId="3611">
    <w:name w:val="样式 标题 3 + (西文) Times New Roman (中文) 宋体 行距: 固定值 24 磅1"/>
    <w:basedOn w:val="5"/>
    <w:qFormat/>
    <w:uiPriority w:val="0"/>
    <w:pPr>
      <w:keepNext w:val="0"/>
      <w:keepLines w:val="0"/>
      <w:numPr>
        <w:ilvl w:val="0"/>
        <w:numId w:val="0"/>
      </w:numPr>
      <w:tabs>
        <w:tab w:val="left" w:pos="1560"/>
      </w:tabs>
      <w:adjustRightInd w:val="0"/>
      <w:spacing w:before="0" w:after="0" w:line="500" w:lineRule="exact"/>
      <w:ind w:firstLine="615" w:firstLineChars="200"/>
      <w:outlineLvl w:val="9"/>
    </w:pPr>
    <w:rPr>
      <w:rFonts w:ascii="宋体" w:hAnsi="宋体" w:cs="宋体"/>
      <w:sz w:val="24"/>
      <w:szCs w:val="28"/>
      <w:lang w:val="en-US"/>
    </w:rPr>
  </w:style>
  <w:style w:type="paragraph" w:customStyle="1" w:styleId="3612">
    <w:name w:val="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613">
    <w:name w:val="jcss"/>
    <w:basedOn w:val="1"/>
    <w:qFormat/>
    <w:uiPriority w:val="99"/>
    <w:pPr>
      <w:widowControl/>
      <w:spacing w:before="100" w:beforeAutospacing="1" w:after="100" w:afterAutospacing="1" w:line="375" w:lineRule="atLeast"/>
      <w:jc w:val="left"/>
    </w:pPr>
    <w:rPr>
      <w:rFonts w:ascii="宋体" w:hAnsi="宋体" w:cs="宋体"/>
      <w:color w:val="000000"/>
      <w:kern w:val="0"/>
      <w:sz w:val="18"/>
      <w:szCs w:val="18"/>
    </w:rPr>
  </w:style>
  <w:style w:type="paragraph" w:customStyle="1" w:styleId="3614">
    <w:name w:val="字元 字元2"/>
    <w:basedOn w:val="1"/>
    <w:qFormat/>
    <w:uiPriority w:val="99"/>
    <w:rPr>
      <w:rFonts w:ascii="Calibri" w:hAnsi="Calibri" w:cs="Calibri"/>
      <w:sz w:val="24"/>
    </w:rPr>
  </w:style>
  <w:style w:type="paragraph" w:customStyle="1" w:styleId="3615">
    <w:name w:val="Char Char Char Char Char Char Char Char Char Char1"/>
    <w:basedOn w:val="1"/>
    <w:qFormat/>
    <w:uiPriority w:val="0"/>
    <w:rPr>
      <w:rFonts w:ascii="黑体" w:hAnsi="黑体" w:eastAsia="黑体" w:cs="Calibri"/>
      <w:b/>
      <w:spacing w:val="10"/>
      <w:sz w:val="28"/>
      <w:szCs w:val="20"/>
    </w:rPr>
  </w:style>
  <w:style w:type="paragraph" w:customStyle="1" w:styleId="3616">
    <w:name w:val="font26"/>
    <w:basedOn w:val="1"/>
    <w:semiHidden/>
    <w:qFormat/>
    <w:uiPriority w:val="0"/>
    <w:pPr>
      <w:widowControl/>
      <w:spacing w:before="100" w:beforeAutospacing="1" w:after="100" w:afterAutospacing="1"/>
      <w:jc w:val="left"/>
    </w:pPr>
    <w:rPr>
      <w:rFonts w:ascii="Calibri" w:hAnsi="Calibri" w:cs="Calibri"/>
      <w:color w:val="333399"/>
      <w:kern w:val="0"/>
      <w:sz w:val="18"/>
      <w:szCs w:val="18"/>
    </w:rPr>
  </w:style>
  <w:style w:type="paragraph" w:customStyle="1" w:styleId="3617">
    <w:name w:val="Char1 Char Char Char Char Char Char12"/>
    <w:basedOn w:val="1"/>
    <w:qFormat/>
    <w:uiPriority w:val="99"/>
    <w:rPr>
      <w:rFonts w:ascii="Calibri" w:hAnsi="Calibri" w:cs="Calibri"/>
      <w:sz w:val="24"/>
    </w:rPr>
  </w:style>
  <w:style w:type="paragraph" w:customStyle="1" w:styleId="3618">
    <w:name w:val="样式 样式 (中文) 仿宋_GB2312 四号 首行缩进:  0.98 厘米 行距: 固定值 22 磅 + (中文) 宋体 行..."/>
    <w:basedOn w:val="1"/>
    <w:semiHidden/>
    <w:qFormat/>
    <w:uiPriority w:val="0"/>
    <w:pPr>
      <w:spacing w:line="480" w:lineRule="exact"/>
      <w:jc w:val="center"/>
    </w:pPr>
    <w:rPr>
      <w:rFonts w:ascii="Calibri" w:hAnsi="Calibri" w:cs="宋体"/>
      <w:spacing w:val="-2"/>
      <w:sz w:val="24"/>
      <w:szCs w:val="20"/>
    </w:rPr>
  </w:style>
  <w:style w:type="paragraph" w:customStyle="1" w:styleId="3619">
    <w:name w:val="样式 标题 2节第一章 标题 2Heading 2 HiddenHeading 2 CCBSheading 2H2...1"/>
    <w:basedOn w:val="4"/>
    <w:qFormat/>
    <w:uiPriority w:val="0"/>
    <w:pPr>
      <w:numPr>
        <w:ilvl w:val="0"/>
        <w:numId w:val="0"/>
      </w:numPr>
      <w:adjustRightInd w:val="0"/>
      <w:spacing w:before="120" w:after="120" w:line="500" w:lineRule="exact"/>
    </w:pPr>
    <w:rPr>
      <w:rFonts w:ascii="宋体" w:hAnsi="宋体" w:eastAsia="宋体"/>
      <w:b w:val="0"/>
      <w:bCs w:val="0"/>
      <w:sz w:val="24"/>
      <w:szCs w:val="20"/>
      <w:lang w:val="en-US"/>
    </w:rPr>
  </w:style>
  <w:style w:type="paragraph" w:customStyle="1" w:styleId="3620">
    <w:name w:val="报告标题1"/>
    <w:basedOn w:val="3"/>
    <w:semiHidden/>
    <w:qFormat/>
    <w:uiPriority w:val="0"/>
    <w:pPr>
      <w:keepLines/>
      <w:overflowPunct/>
      <w:adjustRightInd w:val="0"/>
      <w:snapToGrid/>
      <w:spacing w:before="200" w:after="200" w:line="360" w:lineRule="auto"/>
      <w:ind w:left="0" w:firstLine="0"/>
    </w:pPr>
    <w:rPr>
      <w:rFonts w:eastAsia="宋体"/>
      <w:b w:val="0"/>
      <w:color w:val="auto"/>
      <w:sz w:val="44"/>
      <w:szCs w:val="28"/>
    </w:rPr>
  </w:style>
  <w:style w:type="paragraph" w:customStyle="1" w:styleId="3621">
    <w:name w:val="样式 标题 3 + 黑色 Char Char Char Char"/>
    <w:basedOn w:val="5"/>
    <w:qFormat/>
    <w:uiPriority w:val="0"/>
    <w:pPr>
      <w:keepNext w:val="0"/>
      <w:keepLines w:val="0"/>
      <w:numPr>
        <w:ilvl w:val="0"/>
        <w:numId w:val="0"/>
      </w:numPr>
      <w:tabs>
        <w:tab w:val="left" w:pos="993"/>
        <w:tab w:val="left" w:pos="1260"/>
      </w:tabs>
      <w:adjustRightInd w:val="0"/>
      <w:snapToGrid w:val="0"/>
      <w:spacing w:before="120" w:beforeLines="50" w:after="120" w:afterLines="50" w:line="360" w:lineRule="auto"/>
      <w:outlineLvl w:val="9"/>
    </w:pPr>
    <w:rPr>
      <w:rFonts w:cs="Calibri"/>
      <w:color w:val="000000"/>
      <w:sz w:val="24"/>
      <w:lang w:val="en-US"/>
    </w:rPr>
  </w:style>
  <w:style w:type="paragraph" w:customStyle="1" w:styleId="3622">
    <w:name w:val="流程"/>
    <w:basedOn w:val="1"/>
    <w:semiHidden/>
    <w:qFormat/>
    <w:uiPriority w:val="0"/>
    <w:pPr>
      <w:adjustRightInd w:val="0"/>
      <w:snapToGrid w:val="0"/>
      <w:jc w:val="center"/>
    </w:pPr>
    <w:rPr>
      <w:rFonts w:ascii="Calibri" w:hAnsi="Calibri" w:eastAsia="仿宋_GB2312" w:cs="Calibri"/>
      <w:color w:val="000000"/>
    </w:rPr>
  </w:style>
  <w:style w:type="paragraph" w:customStyle="1" w:styleId="3623">
    <w:name w:val="Char4 Char Char Char Char Char Char Char Char Char Char Char Char Char Char Char Char Char1 Char Char Char Char3"/>
    <w:basedOn w:val="1"/>
    <w:semiHidden/>
    <w:qFormat/>
    <w:uiPriority w:val="0"/>
    <w:pPr>
      <w:spacing w:line="240" w:lineRule="exact"/>
      <w:ind w:firstLine="200" w:firstLineChars="200"/>
    </w:pPr>
    <w:rPr>
      <w:rFonts w:ascii="Calibri" w:hAnsi="Calibri" w:cs="Calibri"/>
      <w:sz w:val="28"/>
      <w:szCs w:val="28"/>
    </w:rPr>
  </w:style>
  <w:style w:type="paragraph" w:customStyle="1" w:styleId="3624">
    <w:name w:val="Char1 Char Char Char5"/>
    <w:basedOn w:val="1"/>
    <w:qFormat/>
    <w:uiPriority w:val="99"/>
    <w:rPr>
      <w:rFonts w:ascii="Tahoma" w:hAnsi="Tahoma" w:cs="Calibri"/>
      <w:sz w:val="24"/>
      <w:szCs w:val="20"/>
    </w:rPr>
  </w:style>
  <w:style w:type="paragraph" w:customStyle="1" w:styleId="3625">
    <w:name w:val="Body Text Indent2"/>
    <w:basedOn w:val="1"/>
    <w:semiHidden/>
    <w:qFormat/>
    <w:uiPriority w:val="0"/>
    <w:pPr>
      <w:spacing w:after="120" w:line="360" w:lineRule="auto"/>
      <w:ind w:left="420" w:leftChars="200" w:firstLine="200" w:firstLineChars="200"/>
    </w:pPr>
    <w:rPr>
      <w:rFonts w:ascii="Calibri" w:hAnsi="Calibri" w:cs="Calibri"/>
      <w:sz w:val="24"/>
    </w:rPr>
  </w:style>
  <w:style w:type="paragraph" w:customStyle="1" w:styleId="3626">
    <w:name w:val="xl54"/>
    <w:basedOn w:val="1"/>
    <w:qFormat/>
    <w:uiPriority w:val="0"/>
    <w:pPr>
      <w:widowControl/>
      <w:pBdr>
        <w:left w:val="single" w:color="auto" w:sz="4" w:space="0"/>
        <w:bottom w:val="single" w:color="auto" w:sz="12" w:space="0"/>
      </w:pBdr>
      <w:spacing w:before="100" w:beforeAutospacing="1" w:after="100" w:afterAutospacing="1"/>
      <w:jc w:val="left"/>
    </w:pPr>
    <w:rPr>
      <w:rFonts w:ascii="Arial Unicode MS" w:hAnsi="Arial Unicode MS" w:cs="Calibri"/>
      <w:kern w:val="0"/>
      <w:sz w:val="16"/>
      <w:szCs w:val="16"/>
    </w:rPr>
  </w:style>
  <w:style w:type="paragraph" w:customStyle="1" w:styleId="3627">
    <w:name w:val="xl276"/>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628">
    <w:name w:val="表X"/>
    <w:basedOn w:val="47"/>
    <w:qFormat/>
    <w:uiPriority w:val="99"/>
    <w:pPr>
      <w:keepNext/>
      <w:tabs>
        <w:tab w:val="left" w:pos="1200"/>
      </w:tabs>
      <w:adjustRightInd w:val="0"/>
      <w:spacing w:before="240" w:line="240" w:lineRule="auto"/>
      <w:ind w:left="1200" w:hanging="360" w:firstLineChars="0"/>
      <w:jc w:val="left"/>
      <w:outlineLvl w:val="8"/>
    </w:pPr>
    <w:rPr>
      <w:rFonts w:ascii="Courier New" w:cs="Calibri"/>
      <w:sz w:val="28"/>
      <w:szCs w:val="20"/>
      <w:lang w:val="en-US"/>
    </w:rPr>
  </w:style>
  <w:style w:type="paragraph" w:customStyle="1" w:styleId="3629">
    <w:name w:val="样式 样式 样式 标题 2H2标题 2 Char Char节标题 1.1（一）Underrubrik1prop2Heading...."/>
    <w:basedOn w:val="3116"/>
    <w:qFormat/>
    <w:uiPriority w:val="99"/>
    <w:pPr>
      <w:tabs>
        <w:tab w:val="clear" w:pos="720"/>
      </w:tabs>
      <w:spacing w:before="166" w:after="166"/>
      <w:ind w:left="576" w:hanging="576"/>
    </w:pPr>
  </w:style>
  <w:style w:type="paragraph" w:customStyle="1" w:styleId="3630">
    <w:name w:val="Char Char Char Char Char Char Char Char Char Char Char Char Char11"/>
    <w:basedOn w:val="1"/>
    <w:semiHidden/>
    <w:qFormat/>
    <w:uiPriority w:val="0"/>
    <w:pPr>
      <w:spacing w:line="360" w:lineRule="auto"/>
      <w:ind w:firstLine="200" w:firstLineChars="200"/>
    </w:pPr>
    <w:rPr>
      <w:rFonts w:ascii="宋体" w:hAnsi="宋体" w:cs="宋体"/>
      <w:sz w:val="24"/>
    </w:rPr>
  </w:style>
  <w:style w:type="paragraph" w:customStyle="1" w:styleId="3631">
    <w:name w:val="Char Char Char Char Char Char Char Char Char Char Char1 Char Char Char Char Char Char1 Char Char Char Char Char Char Char Char Char Char Char Char2"/>
    <w:basedOn w:val="1"/>
    <w:semiHidden/>
    <w:qFormat/>
    <w:uiPriority w:val="0"/>
    <w:rPr>
      <w:rFonts w:ascii="Calibri" w:hAnsi="Calibri" w:cs="Calibri"/>
      <w:sz w:val="24"/>
    </w:rPr>
  </w:style>
  <w:style w:type="paragraph" w:customStyle="1" w:styleId="3632">
    <w:name w:val="Style1"/>
    <w:basedOn w:val="1"/>
    <w:qFormat/>
    <w:uiPriority w:val="0"/>
    <w:pPr>
      <w:spacing w:after="120"/>
      <w:ind w:left="851"/>
    </w:pPr>
    <w:rPr>
      <w:rFonts w:ascii="Calibri" w:hAnsi="Calibri" w:cs="Calibri"/>
      <w:szCs w:val="20"/>
    </w:rPr>
  </w:style>
  <w:style w:type="paragraph" w:customStyle="1" w:styleId="3633">
    <w:name w:val="日期 Char Char"/>
    <w:basedOn w:val="1"/>
    <w:next w:val="1"/>
    <w:qFormat/>
    <w:uiPriority w:val="0"/>
    <w:pPr>
      <w:spacing w:line="351" w:lineRule="atLeast"/>
      <w:ind w:firstLine="419"/>
    </w:pPr>
    <w:rPr>
      <w:rFonts w:hint="eastAsia" w:ascii="Calibri" w:hAnsi="Calibri" w:eastAsia="仿宋_GB2312" w:cs="Calibri"/>
      <w:sz w:val="31"/>
      <w:szCs w:val="20"/>
    </w:rPr>
  </w:style>
  <w:style w:type="paragraph" w:customStyle="1" w:styleId="3634">
    <w:name w:val="xl262"/>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635">
    <w:name w:val="样式 标题 4 + (西文) Times New Roman (中文) 宋体 非加粗 段前: 0 磅 段后: 0 磅 ..."/>
    <w:basedOn w:val="6"/>
    <w:semiHidden/>
    <w:qFormat/>
    <w:uiPriority w:val="0"/>
    <w:pPr>
      <w:numPr>
        <w:ilvl w:val="0"/>
        <w:numId w:val="0"/>
      </w:numPr>
      <w:adjustRightInd w:val="0"/>
      <w:spacing w:before="0" w:after="0" w:line="480" w:lineRule="exact"/>
      <w:ind w:firstLine="426" w:firstLineChars="152"/>
    </w:pPr>
    <w:rPr>
      <w:rFonts w:ascii="Times New Roman" w:hAnsi="Times New Roman" w:eastAsia="宋体" w:cs="宋体"/>
      <w:b w:val="0"/>
      <w:kern w:val="28"/>
      <w:lang w:val="en-US"/>
    </w:rPr>
  </w:style>
  <w:style w:type="paragraph" w:customStyle="1" w:styleId="3636">
    <w:name w:val="Header Base"/>
    <w:basedOn w:val="1"/>
    <w:semiHidden/>
    <w:qFormat/>
    <w:uiPriority w:val="0"/>
    <w:pPr>
      <w:widowControl/>
      <w:ind w:right="-360"/>
      <w:jc w:val="left"/>
    </w:pPr>
    <w:rPr>
      <w:rFonts w:ascii="@黑体" w:hAnsi="@黑体" w:eastAsia="黑体" w:cs="Calibri"/>
      <w:kern w:val="0"/>
      <w:sz w:val="20"/>
      <w:szCs w:val="20"/>
    </w:rPr>
  </w:style>
  <w:style w:type="paragraph" w:customStyle="1" w:styleId="3637">
    <w:name w:val="xl197"/>
    <w:basedOn w:val="1"/>
    <w:qFormat/>
    <w:uiPriority w:val="99"/>
    <w:pPr>
      <w:widowControl/>
      <w:pBdr>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cs="Calibri"/>
      <w:kern w:val="0"/>
    </w:rPr>
  </w:style>
  <w:style w:type="paragraph" w:customStyle="1" w:styleId="3638">
    <w:name w:val="框图内容"/>
    <w:basedOn w:val="1"/>
    <w:qFormat/>
    <w:uiPriority w:val="99"/>
    <w:pPr>
      <w:jc w:val="center"/>
    </w:pPr>
    <w:rPr>
      <w:rFonts w:ascii="宋体" w:hAnsi="Calibri" w:cs="Calibri"/>
      <w:lang w:val="en-GB"/>
    </w:rPr>
  </w:style>
  <w:style w:type="paragraph" w:customStyle="1" w:styleId="3639">
    <w:name w:val="Char Char1 Char Char Char Char Char Char1"/>
    <w:basedOn w:val="1"/>
    <w:qFormat/>
    <w:uiPriority w:val="99"/>
    <w:rPr>
      <w:rFonts w:ascii="Calibri" w:hAnsi="Calibri" w:cs="Calibri"/>
    </w:rPr>
  </w:style>
  <w:style w:type="paragraph" w:customStyle="1" w:styleId="3640">
    <w:name w:val="宋体"/>
    <w:basedOn w:val="1"/>
    <w:qFormat/>
    <w:uiPriority w:val="99"/>
    <w:rPr>
      <w:rFonts w:ascii="宋体" w:hAnsi="宋体" w:cs="Calibri"/>
      <w:szCs w:val="21"/>
    </w:rPr>
  </w:style>
  <w:style w:type="paragraph" w:customStyle="1" w:styleId="3641">
    <w:name w:val="xl19"/>
    <w:basedOn w:val="1"/>
    <w:qFormat/>
    <w:uiPriority w:val="99"/>
    <w:pPr>
      <w:widowControl/>
      <w:spacing w:before="100" w:beforeAutospacing="1" w:after="100" w:afterAutospacing="1"/>
      <w:jc w:val="center"/>
      <w:textAlignment w:val="center"/>
    </w:pPr>
    <w:rPr>
      <w:rFonts w:ascii="宋体" w:hAnsi="宋体" w:cs="Calibri"/>
      <w:kern w:val="0"/>
      <w:sz w:val="18"/>
      <w:szCs w:val="18"/>
    </w:rPr>
  </w:style>
  <w:style w:type="paragraph" w:customStyle="1" w:styleId="3642">
    <w:name w:val="样式 标题 3头 + (中文) 黑体 四号 段前: 0 磅 段后: 0 磅 行距: 1.5 倍行距3"/>
    <w:basedOn w:val="5"/>
    <w:qFormat/>
    <w:uiPriority w:val="0"/>
    <w:pPr>
      <w:numPr>
        <w:ilvl w:val="0"/>
        <w:numId w:val="0"/>
      </w:numPr>
      <w:tabs>
        <w:tab w:val="left" w:pos="720"/>
      </w:tabs>
      <w:adjustRightInd w:val="0"/>
      <w:spacing w:before="0" w:after="0" w:line="360" w:lineRule="auto"/>
      <w:ind w:left="720" w:hanging="720"/>
    </w:pPr>
    <w:rPr>
      <w:rFonts w:ascii="仿宋_GB2312" w:hAnsi="Courier New" w:eastAsia="仿宋_GB2312" w:cs="Calibri"/>
      <w:b w:val="0"/>
      <w:lang w:val="en-US"/>
    </w:rPr>
  </w:style>
  <w:style w:type="paragraph" w:customStyle="1" w:styleId="3643">
    <w:name w:val="样式 (符号) 宋体 首行缩进:  0.93 厘米 段前: 6 磅 段后: 6 磅 行距: 固定值 18 磅1"/>
    <w:basedOn w:val="1"/>
    <w:semiHidden/>
    <w:qFormat/>
    <w:uiPriority w:val="0"/>
    <w:pPr>
      <w:spacing w:before="160" w:after="160" w:line="320" w:lineRule="exact"/>
      <w:ind w:firstLine="527"/>
    </w:pPr>
    <w:rPr>
      <w:rFonts w:ascii="Calibri" w:hAnsi="宋体" w:cs="Calibri"/>
      <w:sz w:val="24"/>
      <w:szCs w:val="20"/>
    </w:rPr>
  </w:style>
  <w:style w:type="paragraph" w:customStyle="1" w:styleId="3644">
    <w:name w:val="字元 字元1 Char Char 字元 字元 Char Char 字元 字元"/>
    <w:basedOn w:val="1"/>
    <w:semiHidden/>
    <w:qFormat/>
    <w:uiPriority w:val="0"/>
    <w:rPr>
      <w:rFonts w:ascii="Calibri" w:hAnsi="Calibri" w:cs="Calibri"/>
      <w:sz w:val="24"/>
    </w:rPr>
  </w:style>
  <w:style w:type="paragraph" w:customStyle="1" w:styleId="3645">
    <w:name w:val="样式 样式4 + 首行缩进:  0.75 字符"/>
    <w:basedOn w:val="1"/>
    <w:qFormat/>
    <w:uiPriority w:val="0"/>
    <w:pPr>
      <w:adjustRightInd w:val="0"/>
      <w:snapToGrid w:val="0"/>
      <w:spacing w:before="240" w:beforeLines="100" w:line="240" w:lineRule="atLeast"/>
      <w:jc w:val="left"/>
    </w:pPr>
    <w:rPr>
      <w:rFonts w:ascii="Calibri" w:hAnsi="Calibri" w:cs="Calibri"/>
      <w:sz w:val="24"/>
    </w:rPr>
  </w:style>
  <w:style w:type="paragraph" w:customStyle="1" w:styleId="3646">
    <w:name w:val="Pa21"/>
    <w:basedOn w:val="1"/>
    <w:next w:val="1"/>
    <w:semiHidden/>
    <w:qFormat/>
    <w:uiPriority w:val="0"/>
    <w:pPr>
      <w:autoSpaceDE w:val="0"/>
      <w:autoSpaceDN w:val="0"/>
      <w:adjustRightInd w:val="0"/>
      <w:spacing w:before="140" w:after="140" w:line="211" w:lineRule="atLeast"/>
      <w:jc w:val="left"/>
    </w:pPr>
    <w:rPr>
      <w:rFonts w:ascii="宋体" w:hAnsi="Calibri" w:cs="Calibri"/>
      <w:kern w:val="0"/>
      <w:sz w:val="24"/>
    </w:rPr>
  </w:style>
  <w:style w:type="paragraph" w:customStyle="1" w:styleId="3647">
    <w:name w:val="Char Char Char Char Char Char Char Char Char Char Char Char Char Char Char Char2"/>
    <w:basedOn w:val="1"/>
    <w:qFormat/>
    <w:uiPriority w:val="99"/>
    <w:rPr>
      <w:rFonts w:ascii="Calibri" w:hAnsi="Calibri" w:cs="宋体"/>
      <w:bCs/>
      <w:color w:val="000000"/>
      <w:szCs w:val="28"/>
    </w:rPr>
  </w:style>
  <w:style w:type="paragraph" w:customStyle="1" w:styleId="3648">
    <w:name w:val="font23"/>
    <w:basedOn w:val="1"/>
    <w:semiHidden/>
    <w:qFormat/>
    <w:uiPriority w:val="0"/>
    <w:pPr>
      <w:widowControl/>
      <w:spacing w:before="100" w:beforeAutospacing="1" w:after="100" w:afterAutospacing="1"/>
      <w:jc w:val="left"/>
    </w:pPr>
    <w:rPr>
      <w:rFonts w:ascii="Calibri" w:hAnsi="Calibri" w:cs="Calibri"/>
      <w:color w:val="339966"/>
      <w:kern w:val="0"/>
      <w:sz w:val="18"/>
      <w:szCs w:val="18"/>
    </w:rPr>
  </w:style>
  <w:style w:type="paragraph" w:customStyle="1" w:styleId="3649">
    <w:name w:val="9"/>
    <w:basedOn w:val="1"/>
    <w:next w:val="36"/>
    <w:qFormat/>
    <w:uiPriority w:val="0"/>
    <w:pPr>
      <w:spacing w:after="120"/>
    </w:pPr>
    <w:rPr>
      <w:rFonts w:ascii="仿宋_GB2312" w:hAnsi="Calibri" w:eastAsia="仿宋_GB2312" w:cs="Calibri"/>
      <w:sz w:val="28"/>
    </w:rPr>
  </w:style>
  <w:style w:type="paragraph" w:customStyle="1" w:styleId="3650">
    <w:name w:val="font12"/>
    <w:basedOn w:val="1"/>
    <w:qFormat/>
    <w:uiPriority w:val="0"/>
    <w:pPr>
      <w:widowControl/>
      <w:spacing w:before="100" w:beforeAutospacing="1" w:after="100" w:afterAutospacing="1"/>
      <w:jc w:val="left"/>
    </w:pPr>
    <w:rPr>
      <w:rFonts w:hint="eastAsia" w:ascii="楷体_GB2312" w:hAnsi="Arial Unicode MS" w:eastAsia="楷体_GB2312" w:cs="Arial Unicode MS"/>
      <w:kern w:val="0"/>
      <w:sz w:val="16"/>
      <w:szCs w:val="16"/>
    </w:rPr>
  </w:style>
  <w:style w:type="paragraph" w:customStyle="1" w:styleId="3651">
    <w:name w:val="Char62"/>
    <w:basedOn w:val="1"/>
    <w:qFormat/>
    <w:uiPriority w:val="0"/>
    <w:rPr>
      <w:rFonts w:ascii="Calibri" w:hAnsi="Calibri" w:cs="Calibri"/>
      <w:szCs w:val="21"/>
    </w:rPr>
  </w:style>
  <w:style w:type="paragraph" w:customStyle="1" w:styleId="3652">
    <w:name w:val="Char Char Char1 Char2"/>
    <w:basedOn w:val="1"/>
    <w:qFormat/>
    <w:uiPriority w:val="0"/>
    <w:rPr>
      <w:rFonts w:ascii="Calibri" w:hAnsi="Calibri" w:cs="Calibri"/>
    </w:rPr>
  </w:style>
  <w:style w:type="paragraph" w:customStyle="1" w:styleId="3653">
    <w:name w:val="样式 样式 首行缩进:  2 字符 + 居中"/>
    <w:basedOn w:val="956"/>
    <w:semiHidden/>
    <w:qFormat/>
    <w:uiPriority w:val="0"/>
    <w:pPr>
      <w:widowControl w:val="0"/>
      <w:tabs>
        <w:tab w:val="left" w:pos="0"/>
      </w:tabs>
      <w:topLinePunct w:val="0"/>
      <w:spacing w:line="560" w:lineRule="exact"/>
      <w:ind w:firstLine="0" w:firstLineChars="0"/>
      <w:jc w:val="center"/>
    </w:pPr>
    <w:rPr>
      <w:rFonts w:hAnsi="Calibri" w:eastAsia="仿宋_GB2312" w:cs="Calibri"/>
      <w:spacing w:val="12"/>
      <w:sz w:val="28"/>
      <w:szCs w:val="20"/>
    </w:rPr>
  </w:style>
  <w:style w:type="paragraph" w:customStyle="1" w:styleId="3654">
    <w:name w:val="默认段落字体 Para Char Char Char Char Char"/>
    <w:basedOn w:val="1"/>
    <w:qFormat/>
    <w:uiPriority w:val="0"/>
    <w:pPr>
      <w:ind w:firstLine="200" w:firstLineChars="200"/>
      <w:jc w:val="left"/>
    </w:pPr>
    <w:rPr>
      <w:rFonts w:ascii="Calibri" w:hAnsi="Calibri" w:cs="Calibri"/>
      <w:sz w:val="28"/>
    </w:rPr>
  </w:style>
  <w:style w:type="paragraph" w:customStyle="1" w:styleId="3655">
    <w:name w:val="正文文本缩进 212"/>
    <w:basedOn w:val="1"/>
    <w:qFormat/>
    <w:uiPriority w:val="99"/>
    <w:pPr>
      <w:adjustRightInd w:val="0"/>
      <w:spacing w:line="480" w:lineRule="atLeast"/>
      <w:ind w:firstLine="630"/>
      <w:textAlignment w:val="baseline"/>
    </w:pPr>
    <w:rPr>
      <w:rFonts w:ascii="宋体" w:hAnsi="Calibri" w:cs="Calibri"/>
      <w:sz w:val="28"/>
      <w:szCs w:val="20"/>
    </w:rPr>
  </w:style>
  <w:style w:type="paragraph" w:customStyle="1" w:styleId="3656">
    <w:name w:val="xl181"/>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657">
    <w:name w:val="目录 9 Char Char"/>
    <w:basedOn w:val="1"/>
    <w:next w:val="1"/>
    <w:qFormat/>
    <w:uiPriority w:val="0"/>
    <w:pPr>
      <w:spacing w:line="351" w:lineRule="atLeast"/>
      <w:ind w:left="1678" w:firstLine="419"/>
      <w:jc w:val="left"/>
    </w:pPr>
    <w:rPr>
      <w:rFonts w:hint="eastAsia" w:ascii="Calibri" w:hAnsi="Calibri" w:cs="Calibri"/>
      <w:szCs w:val="20"/>
    </w:rPr>
  </w:style>
  <w:style w:type="paragraph" w:customStyle="1" w:styleId="3658">
    <w:name w:val="表前文"/>
    <w:basedOn w:val="1"/>
    <w:qFormat/>
    <w:uiPriority w:val="0"/>
    <w:pPr>
      <w:adjustRightInd w:val="0"/>
      <w:spacing w:after="120" w:line="360" w:lineRule="auto"/>
      <w:ind w:firstLine="493"/>
      <w:textAlignment w:val="baseline"/>
    </w:pPr>
    <w:rPr>
      <w:rFonts w:ascii="Calibri" w:hAnsi="Calibri" w:cs="Calibri"/>
      <w:kern w:val="0"/>
      <w:sz w:val="24"/>
    </w:rPr>
  </w:style>
  <w:style w:type="paragraph" w:customStyle="1" w:styleId="3659">
    <w:name w:val="Char4 Char Char Char11"/>
    <w:basedOn w:val="1"/>
    <w:semiHidden/>
    <w:qFormat/>
    <w:uiPriority w:val="0"/>
    <w:rPr>
      <w:rFonts w:ascii="Calibri" w:hAnsi="Calibri" w:cs="Calibri"/>
      <w:sz w:val="24"/>
    </w:rPr>
  </w:style>
  <w:style w:type="paragraph" w:customStyle="1" w:styleId="3660">
    <w:name w:val="p9copy"/>
    <w:basedOn w:val="1"/>
    <w:semiHidden/>
    <w:qFormat/>
    <w:uiPriority w:val="0"/>
    <w:pPr>
      <w:widowControl/>
      <w:adjustRightInd w:val="0"/>
      <w:spacing w:before="100" w:beforeAutospacing="1" w:after="100" w:afterAutospacing="1" w:line="360" w:lineRule="auto"/>
      <w:ind w:firstLine="576" w:firstLineChars="200"/>
      <w:jc w:val="left"/>
    </w:pPr>
    <w:rPr>
      <w:rFonts w:hint="eastAsia" w:ascii="宋体" w:hAnsi="Arial Unicode MS" w:eastAsia="仿宋_GB2312" w:cs="Arial Unicode MS"/>
      <w:color w:val="000000"/>
      <w:spacing w:val="4"/>
      <w:kern w:val="0"/>
      <w:sz w:val="18"/>
      <w:szCs w:val="18"/>
    </w:rPr>
  </w:style>
  <w:style w:type="paragraph" w:customStyle="1" w:styleId="3661">
    <w:name w:val="段落 Char Char2 Char Char Char Char Char"/>
    <w:basedOn w:val="1"/>
    <w:qFormat/>
    <w:uiPriority w:val="99"/>
    <w:pPr>
      <w:tabs>
        <w:tab w:val="left" w:pos="1021"/>
      </w:tabs>
      <w:spacing w:line="360" w:lineRule="auto"/>
      <w:ind w:firstLine="480" w:firstLineChars="200"/>
    </w:pPr>
    <w:rPr>
      <w:rFonts w:ascii="Calibri" w:hAnsi="宋体" w:cs="Calibri"/>
      <w:kern w:val="24"/>
      <w:sz w:val="24"/>
    </w:rPr>
  </w:style>
  <w:style w:type="paragraph" w:customStyle="1" w:styleId="3662">
    <w:name w:val="样式 样式4.1 + 段前: 0.5 行"/>
    <w:semiHidden/>
    <w:qFormat/>
    <w:uiPriority w:val="0"/>
    <w:pPr>
      <w:tabs>
        <w:tab w:val="left" w:pos="0"/>
      </w:tabs>
      <w:spacing w:before="156"/>
      <w:ind w:left="425" w:hanging="425"/>
    </w:pPr>
    <w:rPr>
      <w:rFonts w:ascii="Times New Roman" w:hAnsi="Times New Roman" w:eastAsia="宋体" w:cs="宋体"/>
      <w:lang w:val="en-US" w:eastAsia="zh-CN" w:bidi="ar-SA"/>
    </w:rPr>
  </w:style>
  <w:style w:type="paragraph" w:customStyle="1" w:styleId="3663">
    <w:name w:val="样式4.1"/>
    <w:basedOn w:val="4"/>
    <w:semiHidden/>
    <w:qFormat/>
    <w:uiPriority w:val="0"/>
    <w:pPr>
      <w:numPr>
        <w:ilvl w:val="0"/>
        <w:numId w:val="0"/>
      </w:numPr>
      <w:adjustRightInd w:val="0"/>
      <w:spacing w:before="50" w:beforeLines="50"/>
    </w:pPr>
    <w:rPr>
      <w:rFonts w:ascii="Times New Roman" w:hAnsi="Times New Roman" w:eastAsia="宋体"/>
      <w:b w:val="0"/>
      <w:sz w:val="24"/>
      <w:szCs w:val="30"/>
      <w:lang w:val="en-US"/>
    </w:rPr>
  </w:style>
  <w:style w:type="paragraph" w:customStyle="1" w:styleId="3664">
    <w:name w:val="公式 首行缩进:  2 字符"/>
    <w:basedOn w:val="1"/>
    <w:semiHidden/>
    <w:qFormat/>
    <w:uiPriority w:val="0"/>
    <w:pPr>
      <w:ind w:firstLine="200" w:firstLineChars="200"/>
      <w:textAlignment w:val="center"/>
    </w:pPr>
    <w:rPr>
      <w:rFonts w:ascii="Calibri" w:hAnsi="Calibri" w:cs="宋体"/>
      <w:sz w:val="24"/>
    </w:rPr>
  </w:style>
  <w:style w:type="paragraph" w:customStyle="1" w:styleId="3665">
    <w:name w:val="Char2 Char Char Char Char Char Char Char Char 字元 字元 Char Char Char1"/>
    <w:basedOn w:val="1"/>
    <w:semiHidden/>
    <w:qFormat/>
    <w:uiPriority w:val="0"/>
    <w:rPr>
      <w:rFonts w:ascii="Calibri" w:hAnsi="Calibri" w:cs="Calibri"/>
      <w:sz w:val="24"/>
    </w:rPr>
  </w:style>
  <w:style w:type="paragraph" w:customStyle="1" w:styleId="3666">
    <w:name w:val="样式 样式 标题 3条标题1.1.1h3H3level_3PIM 3Level 3 HeadHeading 3 - ol... +"/>
    <w:basedOn w:val="2763"/>
    <w:semiHidden/>
    <w:qFormat/>
    <w:uiPriority w:val="0"/>
    <w:pPr>
      <w:tabs>
        <w:tab w:val="left" w:pos="0"/>
        <w:tab w:val="clear" w:pos="425"/>
        <w:tab w:val="clear" w:pos="720"/>
      </w:tabs>
      <w:spacing w:after="0" w:afterLines="0"/>
      <w:ind w:left="0" w:firstLine="0"/>
      <w:jc w:val="left"/>
    </w:pPr>
    <w:rPr>
      <w:rFonts w:ascii="Times New Roman" w:hAnsi="Times New Roman"/>
      <w:bCs/>
      <w:color w:val="000000"/>
      <w:kern w:val="2"/>
      <w:szCs w:val="24"/>
    </w:rPr>
  </w:style>
  <w:style w:type="paragraph" w:customStyle="1" w:styleId="3667">
    <w:name w:val="xl208"/>
    <w:basedOn w:val="1"/>
    <w:semiHidden/>
    <w:qFormat/>
    <w:uiPriority w:val="0"/>
    <w:pPr>
      <w:widowControl/>
      <w:pBdr>
        <w:bottom w:val="single" w:color="auto" w:sz="12" w:space="0"/>
        <w:right w:val="single" w:color="auto" w:sz="8" w:space="0"/>
      </w:pBdr>
      <w:spacing w:before="100" w:beforeAutospacing="1" w:after="100" w:afterAutospacing="1"/>
      <w:jc w:val="center"/>
    </w:pPr>
    <w:rPr>
      <w:rFonts w:ascii="宋体" w:hAnsi="宋体" w:cs="宋体"/>
      <w:kern w:val="0"/>
      <w:sz w:val="18"/>
      <w:szCs w:val="18"/>
    </w:rPr>
  </w:style>
  <w:style w:type="paragraph" w:customStyle="1" w:styleId="3668">
    <w:name w:val="目录 1 Char Char"/>
    <w:basedOn w:val="1"/>
    <w:next w:val="1"/>
    <w:qFormat/>
    <w:uiPriority w:val="0"/>
    <w:pPr>
      <w:widowControl/>
      <w:tabs>
        <w:tab w:val="left" w:leader="dot" w:pos="8010"/>
      </w:tabs>
      <w:snapToGrid w:val="0"/>
      <w:spacing w:line="300" w:lineRule="auto"/>
      <w:jc w:val="left"/>
      <w:textAlignment w:val="baseline"/>
    </w:pPr>
    <w:rPr>
      <w:rFonts w:ascii="黑体" w:hAnsi="Calibri" w:eastAsia="黑体" w:cs="Calibri"/>
      <w:color w:val="000000"/>
      <w:kern w:val="0"/>
      <w:sz w:val="28"/>
      <w:szCs w:val="44"/>
      <w:u w:color="000000"/>
    </w:rPr>
  </w:style>
  <w:style w:type="paragraph" w:customStyle="1" w:styleId="3669">
    <w:name w:val="xl38"/>
    <w:basedOn w:val="1"/>
    <w:qFormat/>
    <w:uiPriority w:val="0"/>
    <w:pPr>
      <w:widowControl/>
      <w:pBdr>
        <w:top w:val="single" w:color="auto" w:sz="12" w:space="0"/>
        <w:left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670">
    <w:name w:val="xl114"/>
    <w:basedOn w:val="1"/>
    <w:qFormat/>
    <w:uiPriority w:val="0"/>
    <w:pPr>
      <w:widowControl/>
      <w:pBdr>
        <w:left w:val="single" w:color="auto" w:sz="8" w:space="0"/>
      </w:pBdr>
      <w:spacing w:before="100" w:beforeAutospacing="1" w:after="100" w:afterAutospacing="1"/>
      <w:jc w:val="left"/>
    </w:pPr>
    <w:rPr>
      <w:rFonts w:ascii="Arial Unicode MS" w:hAnsi="Arial Unicode MS" w:cs="Calibri"/>
      <w:kern w:val="0"/>
      <w:sz w:val="16"/>
      <w:szCs w:val="16"/>
    </w:rPr>
  </w:style>
  <w:style w:type="paragraph" w:customStyle="1" w:styleId="3671">
    <w:name w:val="条(四级)"/>
    <w:basedOn w:val="2967"/>
    <w:next w:val="1"/>
    <w:semiHidden/>
    <w:qFormat/>
    <w:uiPriority w:val="0"/>
    <w:pPr>
      <w:snapToGrid/>
      <w:spacing w:before="0" w:beforeLines="0"/>
      <w:jc w:val="left"/>
    </w:pPr>
    <w:rPr>
      <w:rFonts w:ascii="@黑体" w:hAnsi="Tahoma" w:eastAsia="黑体"/>
    </w:rPr>
  </w:style>
  <w:style w:type="paragraph" w:customStyle="1" w:styleId="3672">
    <w:name w:val="正文编号小标题次"/>
    <w:basedOn w:val="1"/>
    <w:semiHidden/>
    <w:qFormat/>
    <w:uiPriority w:val="0"/>
    <w:pPr>
      <w:widowControl/>
      <w:kinsoku w:val="0"/>
      <w:autoSpaceDE w:val="0"/>
      <w:autoSpaceDN w:val="0"/>
      <w:adjustRightInd w:val="0"/>
      <w:snapToGrid w:val="0"/>
      <w:jc w:val="center"/>
    </w:pPr>
    <w:rPr>
      <w:rFonts w:ascii="宋体" w:hAnsi="宋体" w:cs="Calibri"/>
      <w:spacing w:val="10"/>
      <w:kern w:val="0"/>
      <w:sz w:val="24"/>
    </w:rPr>
  </w:style>
  <w:style w:type="paragraph" w:customStyle="1" w:styleId="3673">
    <w:name w:val="Date3"/>
    <w:basedOn w:val="1"/>
    <w:next w:val="1"/>
    <w:semiHidden/>
    <w:qFormat/>
    <w:uiPriority w:val="0"/>
    <w:pPr>
      <w:adjustRightInd w:val="0"/>
      <w:textAlignment w:val="baseline"/>
    </w:pPr>
    <w:rPr>
      <w:rFonts w:ascii="Calibri" w:hAnsi="Calibri" w:cs="Calibri"/>
      <w:szCs w:val="20"/>
    </w:rPr>
  </w:style>
  <w:style w:type="paragraph" w:customStyle="1" w:styleId="3674">
    <w:name w:val="xl330"/>
    <w:basedOn w:val="1"/>
    <w:semiHidden/>
    <w:qFormat/>
    <w:uiPriority w:val="0"/>
    <w:pPr>
      <w:widowControl/>
      <w:pBdr>
        <w:top w:val="single" w:color="auto" w:sz="12" w:space="0"/>
        <w:bottom w:val="single" w:color="auto" w:sz="8" w:space="0"/>
        <w:right w:val="single" w:color="auto" w:sz="8" w:space="0"/>
      </w:pBdr>
      <w:spacing w:before="100" w:beforeAutospacing="1" w:after="100" w:afterAutospacing="1"/>
      <w:jc w:val="center"/>
    </w:pPr>
    <w:rPr>
      <w:rFonts w:ascii="Calibri" w:hAnsi="Calibri" w:cs="Calibri"/>
      <w:color w:val="000000"/>
      <w:kern w:val="0"/>
      <w:sz w:val="18"/>
      <w:szCs w:val="18"/>
    </w:rPr>
  </w:style>
  <w:style w:type="paragraph" w:customStyle="1" w:styleId="3675">
    <w:name w:val="Char6 Char Char Char1 Char Char Char3"/>
    <w:basedOn w:val="1"/>
    <w:semiHidden/>
    <w:qFormat/>
    <w:uiPriority w:val="0"/>
    <w:rPr>
      <w:rFonts w:ascii="Calibri" w:hAnsi="Calibri" w:cs="Calibri"/>
      <w:szCs w:val="21"/>
    </w:rPr>
  </w:style>
  <w:style w:type="paragraph" w:customStyle="1" w:styleId="3676">
    <w:name w:val="样式2.2"/>
    <w:basedOn w:val="2933"/>
    <w:semiHidden/>
    <w:qFormat/>
    <w:uiPriority w:val="0"/>
    <w:pPr>
      <w:numPr>
        <w:ilvl w:val="2"/>
        <w:numId w:val="18"/>
      </w:numPr>
      <w:tabs>
        <w:tab w:val="left" w:pos="-480"/>
      </w:tabs>
      <w:spacing w:before="156"/>
    </w:pPr>
  </w:style>
  <w:style w:type="paragraph" w:customStyle="1" w:styleId="3677">
    <w:name w:val="xl142"/>
    <w:basedOn w:val="1"/>
    <w:qFormat/>
    <w:uiPriority w:val="99"/>
    <w:pPr>
      <w:widowControl/>
      <w:pBdr>
        <w:left w:val="single" w:color="auto" w:sz="4" w:space="0"/>
        <w:bottom w:val="single" w:color="auto" w:sz="8"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678">
    <w:name w:val="样式 首行缩进:  0.85 厘米"/>
    <w:basedOn w:val="1"/>
    <w:qFormat/>
    <w:uiPriority w:val="99"/>
    <w:pPr>
      <w:snapToGrid w:val="0"/>
      <w:spacing w:line="360" w:lineRule="auto"/>
      <w:ind w:firstLine="560" w:firstLineChars="200"/>
    </w:pPr>
    <w:rPr>
      <w:rFonts w:ascii="Calibri" w:hAnsi="Calibri" w:eastAsia="仿宋_GB2312" w:cs="Calibri"/>
      <w:sz w:val="28"/>
      <w:szCs w:val="28"/>
    </w:rPr>
  </w:style>
  <w:style w:type="paragraph" w:customStyle="1" w:styleId="3679">
    <w:name w:val="Char Char1 Char Char Char Char Char Char3"/>
    <w:basedOn w:val="1"/>
    <w:semiHidden/>
    <w:qFormat/>
    <w:uiPriority w:val="0"/>
    <w:rPr>
      <w:rFonts w:ascii="Calibri" w:hAnsi="Calibri" w:cs="Calibri"/>
    </w:rPr>
  </w:style>
  <w:style w:type="paragraph" w:customStyle="1" w:styleId="3680">
    <w:name w:val="正文(1)"/>
    <w:basedOn w:val="1"/>
    <w:qFormat/>
    <w:uiPriority w:val="0"/>
    <w:pPr>
      <w:adjustRightInd w:val="0"/>
      <w:snapToGrid w:val="0"/>
      <w:spacing w:before="60" w:line="288" w:lineRule="auto"/>
      <w:jc w:val="center"/>
    </w:pPr>
    <w:rPr>
      <w:rFonts w:ascii="宋体" w:hAnsi="Calibri" w:cs="Calibri"/>
      <w:snapToGrid w:val="0"/>
      <w:color w:val="000000"/>
      <w:kern w:val="0"/>
      <w:szCs w:val="21"/>
    </w:rPr>
  </w:style>
  <w:style w:type="paragraph" w:customStyle="1" w:styleId="3681">
    <w:name w:val="main"/>
    <w:basedOn w:val="1"/>
    <w:qFormat/>
    <w:uiPriority w:val="99"/>
    <w:pPr>
      <w:widowControl/>
      <w:spacing w:before="100" w:beforeAutospacing="1" w:after="100" w:afterAutospacing="1"/>
      <w:jc w:val="left"/>
    </w:pPr>
    <w:rPr>
      <w:rFonts w:ascii="宋体" w:hAnsi="宋体" w:cs="宋体"/>
      <w:color w:val="000000"/>
      <w:kern w:val="0"/>
      <w:sz w:val="24"/>
    </w:rPr>
  </w:style>
  <w:style w:type="paragraph" w:customStyle="1" w:styleId="3682">
    <w:name w:val="目录B"/>
    <w:basedOn w:val="1"/>
    <w:qFormat/>
    <w:uiPriority w:val="99"/>
    <w:pPr>
      <w:spacing w:line="480" w:lineRule="exact"/>
      <w:outlineLvl w:val="1"/>
    </w:pPr>
    <w:rPr>
      <w:rFonts w:ascii="黑体" w:hAnsi="Calibri" w:eastAsia="黑体" w:cs="Calibri"/>
      <w:sz w:val="28"/>
      <w:szCs w:val="28"/>
    </w:rPr>
  </w:style>
  <w:style w:type="paragraph" w:customStyle="1" w:styleId="3683">
    <w:name w:val="EIA正文"/>
    <w:basedOn w:val="1"/>
    <w:semiHidden/>
    <w:qFormat/>
    <w:uiPriority w:val="0"/>
    <w:pPr>
      <w:ind w:firstLine="200" w:firstLineChars="200"/>
    </w:pPr>
    <w:rPr>
      <w:rFonts w:ascii="Calibri" w:hAnsi="Calibri" w:cs="Calibri"/>
      <w:color w:val="000000"/>
      <w:sz w:val="24"/>
      <w:szCs w:val="20"/>
    </w:rPr>
  </w:style>
  <w:style w:type="paragraph" w:customStyle="1" w:styleId="3684">
    <w:name w:val="表字"/>
    <w:basedOn w:val="1"/>
    <w:qFormat/>
    <w:uiPriority w:val="0"/>
    <w:pPr>
      <w:jc w:val="center"/>
    </w:pPr>
    <w:rPr>
      <w:rFonts w:ascii="宋体" w:hAnsi="Calibri" w:cs="Calibri"/>
      <w:szCs w:val="20"/>
    </w:rPr>
  </w:style>
  <w:style w:type="paragraph" w:customStyle="1" w:styleId="3685">
    <w:name w:val="流程文字"/>
    <w:basedOn w:val="1"/>
    <w:qFormat/>
    <w:uiPriority w:val="99"/>
    <w:pPr>
      <w:tabs>
        <w:tab w:val="left" w:pos="6480"/>
      </w:tabs>
      <w:topLinePunct/>
      <w:adjustRightInd w:val="0"/>
      <w:snapToGrid w:val="0"/>
      <w:spacing w:line="420" w:lineRule="exact"/>
      <w:jc w:val="center"/>
    </w:pPr>
    <w:rPr>
      <w:rFonts w:ascii="仿宋_GB2312" w:hAnsi="Calibri" w:eastAsia="仿宋_GB2312" w:cs="宋体"/>
      <w:bCs/>
      <w:color w:val="000000"/>
      <w:sz w:val="30"/>
      <w:szCs w:val="20"/>
    </w:rPr>
  </w:style>
  <w:style w:type="paragraph" w:customStyle="1" w:styleId="3686">
    <w:name w:val="T表格"/>
    <w:qFormat/>
    <w:uiPriority w:val="0"/>
    <w:pPr>
      <w:spacing w:line="300" w:lineRule="exact"/>
      <w:jc w:val="center"/>
    </w:pPr>
    <w:rPr>
      <w:rFonts w:ascii="仿宋_GB2312" w:hAnsi="Calibri" w:eastAsia="仿宋_GB2312" w:cs="Calibri"/>
      <w:kern w:val="2"/>
      <w:sz w:val="24"/>
      <w:lang w:val="en-US" w:eastAsia="zh-CN" w:bidi="ar-SA"/>
    </w:rPr>
  </w:style>
  <w:style w:type="paragraph" w:customStyle="1" w:styleId="3687">
    <w:name w:val="xl206"/>
    <w:basedOn w:val="1"/>
    <w:semiHidden/>
    <w:qFormat/>
    <w:uiPriority w:val="0"/>
    <w:pPr>
      <w:widowControl/>
      <w:pBdr>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3688">
    <w:name w:val="字元11"/>
    <w:basedOn w:val="1"/>
    <w:semiHidden/>
    <w:qFormat/>
    <w:uiPriority w:val="0"/>
    <w:rPr>
      <w:rFonts w:ascii="Calibri" w:hAnsi="Calibri" w:cs="Calibri"/>
      <w:sz w:val="24"/>
    </w:rPr>
  </w:style>
  <w:style w:type="paragraph" w:customStyle="1" w:styleId="3689">
    <w:name w:val="Normal2"/>
    <w:semiHidden/>
    <w:qFormat/>
    <w:uiPriority w:val="0"/>
    <w:pPr>
      <w:widowControl w:val="0"/>
      <w:tabs>
        <w:tab w:val="left" w:pos="567"/>
      </w:tabs>
      <w:adjustRightInd w:val="0"/>
      <w:spacing w:line="360" w:lineRule="atLeast"/>
      <w:jc w:val="both"/>
      <w:textAlignment w:val="baseline"/>
    </w:pPr>
    <w:rPr>
      <w:rFonts w:ascii="Calibri" w:hAnsi="Courier" w:eastAsia="PMingLiU" w:cs="Calibri"/>
      <w:sz w:val="24"/>
      <w:lang w:val="en-US" w:eastAsia="zh-TW" w:bidi="ar-SA"/>
    </w:rPr>
  </w:style>
  <w:style w:type="paragraph" w:customStyle="1" w:styleId="3690">
    <w:name w:val="样式 样式2.4.1 + 段前: 0.5 行"/>
    <w:basedOn w:val="3029"/>
    <w:semiHidden/>
    <w:qFormat/>
    <w:uiPriority w:val="0"/>
    <w:pPr>
      <w:numPr>
        <w:ilvl w:val="2"/>
        <w:numId w:val="11"/>
      </w:numPr>
      <w:tabs>
        <w:tab w:val="left" w:pos="0"/>
      </w:tabs>
    </w:pPr>
    <w:rPr>
      <w:rFonts w:cs="宋体"/>
      <w:szCs w:val="20"/>
    </w:rPr>
  </w:style>
  <w:style w:type="paragraph" w:customStyle="1" w:styleId="3691">
    <w:name w:val="Char2 Char Char Char4"/>
    <w:basedOn w:val="1"/>
    <w:semiHidden/>
    <w:qFormat/>
    <w:uiPriority w:val="0"/>
    <w:pPr>
      <w:widowControl/>
      <w:spacing w:line="360" w:lineRule="auto"/>
      <w:ind w:firstLine="200" w:firstLineChars="200"/>
      <w:jc w:val="left"/>
    </w:pPr>
    <w:rPr>
      <w:rFonts w:ascii="宋体" w:hAnsi="宋体" w:cs="宋体"/>
      <w:kern w:val="0"/>
      <w:sz w:val="24"/>
      <w:szCs w:val="22"/>
    </w:rPr>
  </w:style>
  <w:style w:type="paragraph" w:customStyle="1" w:styleId="3692">
    <w:name w:val="档案号"/>
    <w:basedOn w:val="11"/>
    <w:semiHidden/>
    <w:qFormat/>
    <w:uiPriority w:val="0"/>
    <w:pPr>
      <w:pBdr>
        <w:bottom w:val="none" w:color="auto" w:sz="0" w:space="0"/>
      </w:pBdr>
      <w:tabs>
        <w:tab w:val="center" w:pos="4320"/>
        <w:tab w:val="right" w:pos="8640"/>
        <w:tab w:val="clear" w:pos="4153"/>
        <w:tab w:val="clear" w:pos="8306"/>
      </w:tabs>
      <w:adjustRightInd w:val="0"/>
      <w:snapToGrid/>
      <w:spacing w:line="460" w:lineRule="exact"/>
      <w:jc w:val="right"/>
      <w:textAlignment w:val="baseline"/>
    </w:pPr>
    <w:rPr>
      <w:rFonts w:ascii="@黑体" w:hAnsi="Tahoma" w:eastAsia="黑体" w:cs="Calibri"/>
      <w:spacing w:val="3"/>
      <w:kern w:val="24"/>
      <w:sz w:val="24"/>
      <w:lang w:val="en-US"/>
    </w:rPr>
  </w:style>
  <w:style w:type="paragraph" w:customStyle="1" w:styleId="3693">
    <w:name w:val="xl282"/>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3694">
    <w:name w:val="Char Char Char Char Char Char Char7"/>
    <w:basedOn w:val="1"/>
    <w:qFormat/>
    <w:uiPriority w:val="0"/>
    <w:rPr>
      <w:rFonts w:ascii="Calibri" w:hAnsi="Calibri" w:cs="Calibri"/>
      <w:szCs w:val="20"/>
    </w:rPr>
  </w:style>
  <w:style w:type="paragraph" w:customStyle="1" w:styleId="3695">
    <w:name w:val="Char Char Char1 Char Char Char Char Char Char Char Char Char Char Char Char Char Char Char1 Char Char Char Char Char Char Char Char Char Char Char Char Char Char Char Char Char Char Char Char Char Char Char Char Char Char Char Char Char Char2"/>
    <w:basedOn w:val="1"/>
    <w:semiHidden/>
    <w:qFormat/>
    <w:uiPriority w:val="0"/>
    <w:pPr>
      <w:spacing w:line="240" w:lineRule="exact"/>
      <w:ind w:firstLine="200" w:firstLineChars="200"/>
    </w:pPr>
    <w:rPr>
      <w:rFonts w:ascii="Calibri" w:hAnsi="Calibri" w:cs="Calibri"/>
      <w:sz w:val="28"/>
      <w:szCs w:val="28"/>
    </w:rPr>
  </w:style>
  <w:style w:type="paragraph" w:customStyle="1" w:styleId="3696">
    <w:name w:val="Char Char Char Char Char Char Char Char Char Char Char Char Char Char Char Char4"/>
    <w:basedOn w:val="1"/>
    <w:next w:val="1"/>
    <w:semiHidden/>
    <w:qFormat/>
    <w:uiPriority w:val="0"/>
    <w:pPr>
      <w:widowControl/>
      <w:spacing w:line="360" w:lineRule="auto"/>
      <w:jc w:val="left"/>
    </w:pPr>
    <w:rPr>
      <w:rFonts w:ascii="仿宋_GB2312" w:hAnsi="Calibri" w:eastAsia="仿宋_GB2312" w:cs="Calibri"/>
      <w:sz w:val="24"/>
      <w:szCs w:val="20"/>
    </w:rPr>
  </w:style>
  <w:style w:type="paragraph" w:customStyle="1" w:styleId="3697">
    <w:name w:val="样式 标题 2二级标题标题 lxb2标题21.1H2h2第一层条二级标题 Char单位名4.1SeHea..."/>
    <w:basedOn w:val="901"/>
    <w:next w:val="901"/>
    <w:qFormat/>
    <w:uiPriority w:val="99"/>
    <w:pPr>
      <w:widowControl w:val="0"/>
      <w:snapToGrid/>
      <w:spacing w:line="360" w:lineRule="auto"/>
      <w:ind w:firstLine="0"/>
      <w:jc w:val="both"/>
    </w:pPr>
    <w:rPr>
      <w:rFonts w:ascii="Calibri" w:hAnsi="Calibri" w:eastAsia="黑体" w:cs="宋体"/>
      <w:b/>
      <w:kern w:val="2"/>
      <w:szCs w:val="24"/>
    </w:rPr>
  </w:style>
  <w:style w:type="paragraph" w:customStyle="1" w:styleId="3698">
    <w:name w:val="表格chenbb"/>
    <w:basedOn w:val="1"/>
    <w:semiHidden/>
    <w:qFormat/>
    <w:uiPriority w:val="0"/>
    <w:pPr>
      <w:spacing w:line="320" w:lineRule="exact"/>
      <w:jc w:val="center"/>
    </w:pPr>
    <w:rPr>
      <w:rFonts w:ascii="Calibri" w:hAnsi="Calibri" w:eastAsia="仿宋_GB2312" w:cs="Calibri"/>
      <w:b/>
      <w:kern w:val="0"/>
      <w:szCs w:val="21"/>
    </w:rPr>
  </w:style>
  <w:style w:type="paragraph" w:customStyle="1" w:styleId="3699">
    <w:name w:val="Char4 Char Char Char Char Char Char Char Char Char Char Char Char Char Char Char Char Char1 Char2"/>
    <w:basedOn w:val="1"/>
    <w:semiHidden/>
    <w:qFormat/>
    <w:uiPriority w:val="0"/>
    <w:pPr>
      <w:spacing w:line="240" w:lineRule="exact"/>
      <w:ind w:firstLine="200" w:firstLineChars="200"/>
    </w:pPr>
    <w:rPr>
      <w:rFonts w:ascii="Calibri" w:hAnsi="Calibri" w:cs="Calibri"/>
      <w:sz w:val="28"/>
      <w:szCs w:val="28"/>
    </w:rPr>
  </w:style>
  <w:style w:type="paragraph" w:customStyle="1" w:styleId="3700">
    <w:name w:val="小3仿"/>
    <w:basedOn w:val="36"/>
    <w:qFormat/>
    <w:uiPriority w:val="99"/>
    <w:pPr>
      <w:widowControl w:val="0"/>
      <w:snapToGrid/>
      <w:spacing w:before="0" w:after="0" w:line="480" w:lineRule="exact"/>
      <w:ind w:right="0" w:firstLine="480" w:firstLineChars="200"/>
    </w:pPr>
    <w:rPr>
      <w:rFonts w:ascii="Calibri" w:hAnsi="Calibri" w:cs="Calibri"/>
      <w:kern w:val="2"/>
      <w:sz w:val="24"/>
      <w:lang w:val="en-US"/>
    </w:rPr>
  </w:style>
  <w:style w:type="paragraph" w:customStyle="1" w:styleId="3701">
    <w:name w:val="默认段落字体 Para Char Char Char Char Char Char Char Char Char Char Char Char"/>
    <w:basedOn w:val="1"/>
    <w:qFormat/>
    <w:uiPriority w:val="99"/>
    <w:rPr>
      <w:rFonts w:ascii="Calibri" w:hAnsi="Calibri" w:cs="Calibri"/>
      <w:sz w:val="24"/>
    </w:rPr>
  </w:style>
  <w:style w:type="paragraph" w:customStyle="1" w:styleId="3702">
    <w:name w:val="正文（行首缩进2字）"/>
    <w:basedOn w:val="1"/>
    <w:qFormat/>
    <w:uiPriority w:val="0"/>
    <w:pPr>
      <w:spacing w:line="360" w:lineRule="auto"/>
      <w:ind w:firstLine="200" w:firstLineChars="200"/>
    </w:pPr>
    <w:rPr>
      <w:rFonts w:ascii="Calibri" w:hAnsi="Calibri" w:cs="Calibri"/>
      <w:sz w:val="28"/>
      <w:szCs w:val="20"/>
    </w:rPr>
  </w:style>
  <w:style w:type="paragraph" w:customStyle="1" w:styleId="3703">
    <w:name w:val="Char Char Char Char Char Char Char Char Char1 Char Char Char1 Char1"/>
    <w:basedOn w:val="1"/>
    <w:qFormat/>
    <w:uiPriority w:val="99"/>
    <w:pPr>
      <w:spacing w:line="360" w:lineRule="auto"/>
      <w:ind w:firstLine="200" w:firstLineChars="200"/>
    </w:pPr>
    <w:rPr>
      <w:rFonts w:ascii="宋体" w:hAnsi="宋体" w:cs="宋体"/>
      <w:sz w:val="24"/>
    </w:rPr>
  </w:style>
  <w:style w:type="paragraph" w:customStyle="1" w:styleId="3704">
    <w:name w:val="样式 正文缩进文本条款表格标题正文（首行缩进两字） Char Char Char Char Char Char Char...2"/>
    <w:basedOn w:val="23"/>
    <w:semiHidden/>
    <w:qFormat/>
    <w:uiPriority w:val="0"/>
    <w:pPr>
      <w:adjustRightInd/>
      <w:spacing w:line="520" w:lineRule="atLeast"/>
    </w:pPr>
    <w:rPr>
      <w:rFonts w:ascii="Calibri" w:hAnsi="Calibri" w:eastAsia="宋体" w:cs="宋体"/>
      <w:color w:val="000000"/>
      <w:lang w:val="en-US"/>
    </w:rPr>
  </w:style>
  <w:style w:type="paragraph" w:customStyle="1" w:styleId="3705">
    <w:name w:val="xl132"/>
    <w:basedOn w:val="1"/>
    <w:qFormat/>
    <w:uiPriority w:val="99"/>
    <w:pPr>
      <w:widowControl/>
      <w:pBdr>
        <w:top w:val="single" w:color="auto" w:sz="12" w:space="0"/>
        <w:left w:val="single" w:color="auto" w:sz="4" w:space="0"/>
      </w:pBdr>
      <w:spacing w:before="100" w:beforeAutospacing="1" w:after="100" w:afterAutospacing="1"/>
      <w:jc w:val="left"/>
    </w:pPr>
    <w:rPr>
      <w:rFonts w:ascii="Arial Unicode MS" w:hAnsi="Arial Unicode MS" w:cs="Calibri"/>
      <w:kern w:val="0"/>
      <w:sz w:val="16"/>
      <w:szCs w:val="16"/>
    </w:rPr>
  </w:style>
  <w:style w:type="paragraph" w:customStyle="1" w:styleId="3706">
    <w:name w:val="标题01"/>
    <w:basedOn w:val="1"/>
    <w:semiHidden/>
    <w:qFormat/>
    <w:uiPriority w:val="0"/>
    <w:pPr>
      <w:spacing w:after="120" w:line="460" w:lineRule="atLeast"/>
      <w:ind w:firstLine="480"/>
      <w:jc w:val="center"/>
      <w:outlineLvl w:val="0"/>
    </w:pPr>
    <w:rPr>
      <w:rFonts w:ascii="@黑体" w:hAnsi="@黑体" w:eastAsia="黑体" w:cs="Calibri"/>
      <w:b/>
      <w:sz w:val="30"/>
      <w:szCs w:val="20"/>
    </w:rPr>
  </w:style>
  <w:style w:type="paragraph" w:customStyle="1" w:styleId="3707">
    <w:name w:val="样式 正文1 + 段前: 0.1 行"/>
    <w:basedOn w:val="1"/>
    <w:semiHidden/>
    <w:qFormat/>
    <w:uiPriority w:val="0"/>
    <w:pPr>
      <w:snapToGrid w:val="0"/>
      <w:spacing w:beforeLines="10" w:line="440" w:lineRule="atLeast"/>
      <w:ind w:firstLine="567"/>
    </w:pPr>
    <w:rPr>
      <w:rFonts w:ascii="Calibri" w:hAnsi="Calibri" w:cs="Calibri"/>
      <w:sz w:val="24"/>
      <w:szCs w:val="20"/>
    </w:rPr>
  </w:style>
  <w:style w:type="paragraph" w:customStyle="1" w:styleId="3708">
    <w:name w:val="字元12"/>
    <w:basedOn w:val="1"/>
    <w:semiHidden/>
    <w:qFormat/>
    <w:uiPriority w:val="0"/>
    <w:rPr>
      <w:rFonts w:ascii="Calibri" w:hAnsi="Calibri" w:cs="Calibri"/>
      <w:szCs w:val="21"/>
    </w:rPr>
  </w:style>
  <w:style w:type="paragraph" w:customStyle="1" w:styleId="3709">
    <w:name w:val="reader-word-layer reader-word-s4-4"/>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710">
    <w:name w:val="Char Char Char Char Char Char Char Char Char1 Char Char Char Char Char Char11"/>
    <w:basedOn w:val="1"/>
    <w:qFormat/>
    <w:uiPriority w:val="99"/>
    <w:rPr>
      <w:rFonts w:ascii="Calibri" w:hAnsi="Calibri" w:cs="Calibri"/>
      <w:szCs w:val="21"/>
    </w:rPr>
  </w:style>
  <w:style w:type="paragraph" w:customStyle="1" w:styleId="3711">
    <w:name w:val="样式14"/>
    <w:qFormat/>
    <w:uiPriority w:val="0"/>
    <w:pPr>
      <w:adjustRightInd w:val="0"/>
      <w:textAlignment w:val="baseline"/>
    </w:pPr>
    <w:rPr>
      <w:rFonts w:ascii="仿宋_GB2312" w:hAnsi="宋体" w:eastAsia="仿宋_GB2312" w:cs="Calibri"/>
      <w:bCs/>
      <w:sz w:val="24"/>
      <w:lang w:val="en-US" w:eastAsia="zh-CN" w:bidi="ar-SA"/>
    </w:rPr>
  </w:style>
  <w:style w:type="paragraph" w:customStyle="1" w:styleId="3712">
    <w:name w:val="Char Char Char Char Char Char Char Char Char1 Char Char Char Char Char Char Char"/>
    <w:basedOn w:val="1"/>
    <w:qFormat/>
    <w:uiPriority w:val="0"/>
    <w:rPr>
      <w:rFonts w:ascii="Calibri" w:hAnsi="Calibri" w:cs="Calibri"/>
      <w:szCs w:val="21"/>
    </w:rPr>
  </w:style>
  <w:style w:type="paragraph" w:customStyle="1" w:styleId="3713">
    <w:name w:val="InstÀÀll4"/>
    <w:qFormat/>
    <w:uiPriority w:val="99"/>
    <w:pPr>
      <w:tabs>
        <w:tab w:val="left" w:pos="-720"/>
      </w:tabs>
      <w:suppressAutoHyphens/>
      <w:jc w:val="both"/>
    </w:pPr>
    <w:rPr>
      <w:rFonts w:ascii="Courier" w:hAnsi="Courier" w:eastAsia="宋体" w:cs="Calibri"/>
      <w:spacing w:val="-3"/>
      <w:sz w:val="24"/>
      <w:lang w:val="en-US" w:eastAsia="sv-SE" w:bidi="ar-SA"/>
    </w:rPr>
  </w:style>
  <w:style w:type="paragraph" w:customStyle="1" w:styleId="3714">
    <w:name w:val="列表31"/>
    <w:basedOn w:val="1"/>
    <w:semiHidden/>
    <w:qFormat/>
    <w:uiPriority w:val="0"/>
    <w:pPr>
      <w:spacing w:before="60"/>
      <w:ind w:left="420" w:hanging="420"/>
    </w:pPr>
    <w:rPr>
      <w:rFonts w:ascii="Arial" w:hAnsi="Arial" w:eastAsia="仿宋_GB2312" w:cs="Calibri"/>
      <w:kern w:val="0"/>
      <w:sz w:val="24"/>
      <w:szCs w:val="20"/>
      <w:lang w:eastAsia="zh-TW"/>
    </w:rPr>
  </w:style>
  <w:style w:type="paragraph" w:customStyle="1" w:styleId="3715">
    <w:name w:val="Char Char Char1 Char Char Char Char Char Char Char Char Char Char Char Char Char Char Char Char2"/>
    <w:basedOn w:val="1"/>
    <w:qFormat/>
    <w:uiPriority w:val="99"/>
    <w:pPr>
      <w:spacing w:line="240" w:lineRule="exact"/>
      <w:ind w:firstLine="200" w:firstLineChars="200"/>
    </w:pPr>
    <w:rPr>
      <w:rFonts w:ascii="Calibri" w:hAnsi="Calibri" w:cs="Calibri"/>
      <w:sz w:val="28"/>
      <w:szCs w:val="28"/>
    </w:rPr>
  </w:style>
  <w:style w:type="paragraph" w:customStyle="1" w:styleId="3716">
    <w:name w:val="xl141"/>
    <w:basedOn w:val="1"/>
    <w:qFormat/>
    <w:uiPriority w:val="99"/>
    <w:pPr>
      <w:widowControl/>
      <w:spacing w:before="100" w:beforeAutospacing="1" w:after="100" w:afterAutospacing="1"/>
      <w:jc w:val="left"/>
    </w:pPr>
    <w:rPr>
      <w:rFonts w:ascii="Arial Unicode MS" w:hAnsi="Arial Unicode MS" w:cs="Calibri"/>
      <w:kern w:val="0"/>
      <w:sz w:val="16"/>
      <w:szCs w:val="16"/>
    </w:rPr>
  </w:style>
  <w:style w:type="paragraph" w:customStyle="1" w:styleId="3717">
    <w:name w:val="样式 标题 3条标题1.1.1条标题1.1.11条标题1.1.12条标题1.1.13条标题1.1.111条标题1.1...1"/>
    <w:basedOn w:val="5"/>
    <w:qFormat/>
    <w:uiPriority w:val="0"/>
    <w:pPr>
      <w:numPr>
        <w:ilvl w:val="0"/>
        <w:numId w:val="0"/>
      </w:numPr>
      <w:adjustRightInd w:val="0"/>
      <w:spacing w:before="120" w:beforeLines="50" w:after="120" w:afterLines="50" w:line="360" w:lineRule="auto"/>
    </w:pPr>
    <w:rPr>
      <w:rFonts w:cs="Calibri"/>
      <w:b w:val="0"/>
      <w:bCs w:val="0"/>
      <w:sz w:val="24"/>
      <w:szCs w:val="20"/>
      <w:lang w:val="en-US"/>
    </w:rPr>
  </w:style>
  <w:style w:type="paragraph" w:customStyle="1" w:styleId="3718">
    <w:name w:val="报告表正文"/>
    <w:basedOn w:val="1"/>
    <w:qFormat/>
    <w:uiPriority w:val="0"/>
    <w:pPr>
      <w:adjustRightInd w:val="0"/>
      <w:spacing w:line="312" w:lineRule="auto"/>
      <w:ind w:left="113" w:right="113" w:firstLine="482"/>
      <w:jc w:val="left"/>
      <w:textAlignment w:val="baseline"/>
    </w:pPr>
    <w:rPr>
      <w:rFonts w:ascii="Calibri" w:hAnsi="Calibri" w:cs="Calibri"/>
      <w:kern w:val="0"/>
      <w:sz w:val="24"/>
      <w:szCs w:val="20"/>
    </w:rPr>
  </w:style>
  <w:style w:type="paragraph" w:customStyle="1" w:styleId="3719">
    <w:name w:val="xl285"/>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b/>
      <w:bCs/>
      <w:color w:val="CC99FF"/>
      <w:kern w:val="0"/>
      <w:sz w:val="18"/>
      <w:szCs w:val="18"/>
    </w:rPr>
  </w:style>
  <w:style w:type="paragraph" w:customStyle="1" w:styleId="3720">
    <w:name w:val="条文"/>
    <w:basedOn w:val="7"/>
    <w:next w:val="1"/>
    <w:qFormat/>
    <w:uiPriority w:val="0"/>
    <w:pPr>
      <w:numPr>
        <w:ilvl w:val="0"/>
        <w:numId w:val="0"/>
      </w:numPr>
      <w:tabs>
        <w:tab w:val="left" w:pos="1320"/>
      </w:tabs>
      <w:adjustRightInd/>
      <w:snapToGrid/>
      <w:spacing w:before="0" w:after="0" w:line="377" w:lineRule="auto"/>
      <w:ind w:left="1320" w:hanging="420"/>
      <w:jc w:val="left"/>
    </w:pPr>
    <w:rPr>
      <w:rFonts w:cs="Calibri"/>
      <w:b w:val="0"/>
      <w:bCs w:val="0"/>
      <w:i w:val="0"/>
      <w:iCs w:val="0"/>
      <w:sz w:val="24"/>
      <w:szCs w:val="20"/>
      <w:lang w:val="en-US" w:eastAsia="zh-CN" w:bidi="ar-SA"/>
    </w:rPr>
  </w:style>
  <w:style w:type="paragraph" w:customStyle="1" w:styleId="3721">
    <w:name w:val="xl176"/>
    <w:basedOn w:val="1"/>
    <w:qFormat/>
    <w:uiPriority w:val="99"/>
    <w:pPr>
      <w:widowControl/>
      <w:pBdr>
        <w:top w:val="single" w:color="auto" w:sz="12" w:space="0"/>
        <w:left w:val="single" w:color="auto" w:sz="12" w:space="0"/>
      </w:pBdr>
      <w:spacing w:before="100" w:beforeAutospacing="1" w:after="100" w:afterAutospacing="1"/>
      <w:jc w:val="left"/>
    </w:pPr>
    <w:rPr>
      <w:rFonts w:ascii="Arial Unicode MS" w:hAnsi="Arial Unicode MS" w:cs="Calibri"/>
      <w:kern w:val="0"/>
    </w:rPr>
  </w:style>
  <w:style w:type="paragraph" w:customStyle="1" w:styleId="3722">
    <w:name w:val="xl119"/>
    <w:basedOn w:val="1"/>
    <w:qFormat/>
    <w:uiPriority w:val="99"/>
    <w:pPr>
      <w:widowControl/>
      <w:spacing w:before="100" w:beforeAutospacing="1" w:after="100" w:afterAutospacing="1"/>
      <w:jc w:val="center"/>
      <w:textAlignment w:val="center"/>
    </w:pPr>
    <w:rPr>
      <w:rFonts w:ascii="Arial Unicode MS" w:hAnsi="Arial Unicode MS" w:cs="Calibri"/>
      <w:kern w:val="0"/>
      <w:sz w:val="16"/>
      <w:szCs w:val="16"/>
    </w:rPr>
  </w:style>
  <w:style w:type="paragraph" w:customStyle="1" w:styleId="3723">
    <w:name w:val="xl218"/>
    <w:basedOn w:val="1"/>
    <w:semiHidden/>
    <w:qFormat/>
    <w:uiPriority w:val="0"/>
    <w:pPr>
      <w:widowControl/>
      <w:pBdr>
        <w:top w:val="single" w:color="auto" w:sz="12" w:space="0"/>
        <w:bottom w:val="single" w:color="auto" w:sz="12" w:space="0"/>
      </w:pBdr>
      <w:spacing w:before="100" w:beforeAutospacing="1" w:after="100" w:afterAutospacing="1"/>
      <w:jc w:val="center"/>
    </w:pPr>
    <w:rPr>
      <w:rFonts w:ascii="Calibri" w:hAnsi="Calibri" w:cs="Calibri"/>
      <w:color w:val="FFFF00"/>
      <w:kern w:val="0"/>
      <w:sz w:val="18"/>
      <w:szCs w:val="18"/>
    </w:rPr>
  </w:style>
  <w:style w:type="paragraph" w:customStyle="1" w:styleId="3724">
    <w:name w:val="样式 标题 3标题 3 Char CharH3h33rd level标题3 + 段前: 0.5 行"/>
    <w:basedOn w:val="5"/>
    <w:qFormat/>
    <w:uiPriority w:val="0"/>
    <w:pPr>
      <w:keepNext w:val="0"/>
      <w:keepLines w:val="0"/>
      <w:widowControl/>
      <w:numPr>
        <w:ilvl w:val="0"/>
        <w:numId w:val="0"/>
      </w:numPr>
      <w:adjustRightInd w:val="0"/>
      <w:spacing w:before="120" w:beforeLines="50" w:after="120" w:afterLines="50" w:line="480" w:lineRule="exact"/>
      <w:ind w:firstLine="560" w:firstLineChars="200"/>
      <w:outlineLvl w:val="9"/>
    </w:pPr>
    <w:rPr>
      <w:rFonts w:ascii="楷体_GB2312" w:eastAsia="楷体_GB2312" w:cs="Calibri"/>
      <w:color w:val="FF0000"/>
      <w:sz w:val="24"/>
      <w:szCs w:val="28"/>
      <w:lang w:val="en-US"/>
    </w:rPr>
  </w:style>
  <w:style w:type="paragraph" w:customStyle="1" w:styleId="3725">
    <w:name w:val="gy"/>
    <w:basedOn w:val="1"/>
    <w:qFormat/>
    <w:uiPriority w:val="0"/>
    <w:pPr>
      <w:widowControl/>
      <w:spacing w:before="100" w:beforeAutospacing="1" w:after="100" w:afterAutospacing="1" w:line="360" w:lineRule="auto"/>
      <w:ind w:left="150" w:right="150" w:firstLine="520"/>
      <w:jc w:val="left"/>
    </w:pPr>
    <w:rPr>
      <w:rFonts w:ascii="Arial Unicode MS" w:hAnsi="Arial Unicode MS" w:eastAsia="Arial Unicode MS" w:cs="Calibri"/>
      <w:kern w:val="0"/>
      <w:sz w:val="18"/>
      <w:szCs w:val="20"/>
    </w:rPr>
  </w:style>
  <w:style w:type="paragraph" w:customStyle="1" w:styleId="3726">
    <w:name w:val="xl224"/>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727">
    <w:name w:val="xl254"/>
    <w:basedOn w:val="1"/>
    <w:semiHidden/>
    <w:qFormat/>
    <w:uiPriority w:val="0"/>
    <w:pPr>
      <w:widowControl/>
      <w:pBdr>
        <w:top w:val="single" w:color="auto" w:sz="12" w:space="0"/>
        <w:left w:val="single" w:color="auto" w:sz="12" w:space="0"/>
        <w:bottom w:val="single" w:color="auto" w:sz="12"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728">
    <w:name w:val="TEXT"/>
    <w:basedOn w:val="1"/>
    <w:semiHidden/>
    <w:qFormat/>
    <w:uiPriority w:val="0"/>
    <w:pPr>
      <w:spacing w:line="440" w:lineRule="exact"/>
      <w:ind w:firstLine="480" w:firstLineChars="200"/>
    </w:pPr>
    <w:rPr>
      <w:rFonts w:ascii="Calibri" w:hAnsi="Calibri" w:cs="宋体"/>
      <w:sz w:val="24"/>
      <w:szCs w:val="20"/>
    </w:rPr>
  </w:style>
  <w:style w:type="paragraph" w:customStyle="1" w:styleId="3729">
    <w:name w:val="xl260"/>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730">
    <w:name w:val="正文图标题"/>
    <w:next w:val="1"/>
    <w:qFormat/>
    <w:uiPriority w:val="99"/>
    <w:pPr>
      <w:tabs>
        <w:tab w:val="left" w:pos="270"/>
      </w:tabs>
      <w:ind w:left="270" w:hanging="270"/>
      <w:jc w:val="center"/>
    </w:pPr>
    <w:rPr>
      <w:rFonts w:ascii="黑体" w:hAnsi="Calibri" w:eastAsia="黑体" w:cs="Calibri"/>
      <w:sz w:val="21"/>
      <w:lang w:val="en-US" w:eastAsia="zh-CN" w:bidi="ar-SA"/>
    </w:rPr>
  </w:style>
  <w:style w:type="paragraph" w:customStyle="1" w:styleId="3731">
    <w:name w:val="aa"/>
    <w:basedOn w:val="1"/>
    <w:qFormat/>
    <w:uiPriority w:val="99"/>
    <w:pPr>
      <w:widowControl/>
      <w:spacing w:before="100" w:beforeAutospacing="1" w:after="100" w:afterAutospacing="1"/>
      <w:jc w:val="left"/>
    </w:pPr>
    <w:rPr>
      <w:rFonts w:ascii="Arial" w:hAnsi="Arial" w:cs="Arial"/>
      <w:kern w:val="0"/>
      <w:sz w:val="18"/>
      <w:szCs w:val="18"/>
    </w:rPr>
  </w:style>
  <w:style w:type="paragraph" w:customStyle="1" w:styleId="3732">
    <w:name w:val="Char Char Char Char1 Char Char Char Char Char Char Char2"/>
    <w:basedOn w:val="1"/>
    <w:semiHidden/>
    <w:qFormat/>
    <w:uiPriority w:val="0"/>
    <w:pPr>
      <w:tabs>
        <w:tab w:val="left" w:pos="360"/>
      </w:tabs>
      <w:snapToGrid w:val="0"/>
      <w:spacing w:line="360" w:lineRule="auto"/>
    </w:pPr>
    <w:rPr>
      <w:rFonts w:ascii="Calibri" w:hAnsi="Calibri" w:eastAsia="仿宋_GB2312" w:cs="宋体"/>
      <w:sz w:val="24"/>
    </w:rPr>
  </w:style>
  <w:style w:type="paragraph" w:customStyle="1" w:styleId="3733">
    <w:name w:val="Char Char Char Char Char Char1 Char Char Char Char2"/>
    <w:basedOn w:val="1"/>
    <w:semiHidden/>
    <w:qFormat/>
    <w:uiPriority w:val="0"/>
    <w:rPr>
      <w:rFonts w:ascii="Calibri" w:hAnsi="Calibri" w:cs="Calibri"/>
      <w:sz w:val="24"/>
    </w:rPr>
  </w:style>
  <w:style w:type="paragraph" w:customStyle="1" w:styleId="3734">
    <w:name w:val="表格 首行文字"/>
    <w:basedOn w:val="1"/>
    <w:link w:val="3735"/>
    <w:semiHidden/>
    <w:qFormat/>
    <w:uiPriority w:val="0"/>
    <w:pPr>
      <w:jc w:val="center"/>
    </w:pPr>
    <w:rPr>
      <w:rFonts w:ascii="Calibri" w:hAnsi="Calibri" w:cs="Calibri"/>
      <w:b/>
      <w:szCs w:val="20"/>
    </w:rPr>
  </w:style>
  <w:style w:type="character" w:customStyle="1" w:styleId="3735">
    <w:name w:val="表格 首行文字 Char Char"/>
    <w:link w:val="3734"/>
    <w:semiHidden/>
    <w:qFormat/>
    <w:uiPriority w:val="0"/>
    <w:rPr>
      <w:rFonts w:ascii="Calibri" w:hAnsi="Calibri" w:cs="Calibri"/>
      <w:b/>
      <w:kern w:val="2"/>
      <w:sz w:val="21"/>
    </w:rPr>
  </w:style>
  <w:style w:type="paragraph" w:customStyle="1" w:styleId="3736">
    <w:name w:val="表头2"/>
    <w:basedOn w:val="1"/>
    <w:semiHidden/>
    <w:qFormat/>
    <w:uiPriority w:val="0"/>
    <w:pPr>
      <w:spacing w:before="50" w:beforeLines="50"/>
      <w:jc w:val="center"/>
    </w:pPr>
    <w:rPr>
      <w:rFonts w:ascii="Calibri" w:hAnsi="Calibri" w:cs="Calibri"/>
      <w:b/>
      <w:sz w:val="24"/>
    </w:rPr>
  </w:style>
  <w:style w:type="paragraph" w:customStyle="1" w:styleId="3737">
    <w:name w:val="正文新"/>
    <w:basedOn w:val="1"/>
    <w:qFormat/>
    <w:uiPriority w:val="99"/>
    <w:pPr>
      <w:spacing w:before="80" w:after="60" w:line="300" w:lineRule="auto"/>
      <w:ind w:firstLine="510"/>
    </w:pPr>
    <w:rPr>
      <w:rFonts w:ascii="Calibri" w:hAnsi="Calibri" w:cs="Calibri"/>
      <w:snapToGrid w:val="0"/>
      <w:kern w:val="0"/>
      <w:sz w:val="24"/>
    </w:rPr>
  </w:style>
  <w:style w:type="paragraph" w:customStyle="1" w:styleId="3738">
    <w:name w:val="正文单倍行距"/>
    <w:basedOn w:val="1"/>
    <w:qFormat/>
    <w:uiPriority w:val="99"/>
    <w:pPr>
      <w:tabs>
        <w:tab w:val="left" w:pos="8640"/>
      </w:tabs>
      <w:snapToGrid w:val="0"/>
      <w:ind w:firstLine="200" w:firstLineChars="200"/>
    </w:pPr>
    <w:rPr>
      <w:rFonts w:ascii="Calibri" w:hAnsi="Calibri" w:eastAsia="仿宋_GB2312" w:cs="Calibri"/>
      <w:sz w:val="24"/>
    </w:rPr>
  </w:style>
  <w:style w:type="paragraph" w:customStyle="1" w:styleId="3739">
    <w:name w:val="药标2"/>
    <w:basedOn w:val="4"/>
    <w:qFormat/>
    <w:uiPriority w:val="99"/>
    <w:pPr>
      <w:numPr>
        <w:ilvl w:val="0"/>
        <w:numId w:val="0"/>
      </w:numPr>
      <w:adjustRightInd w:val="0"/>
      <w:spacing w:before="480" w:after="480" w:line="312" w:lineRule="atLeast"/>
      <w:textAlignment w:val="baseline"/>
    </w:pPr>
    <w:rPr>
      <w:rFonts w:ascii="黑体" w:eastAsia="宋体"/>
      <w:bCs w:val="0"/>
      <w:kern w:val="0"/>
      <w:sz w:val="32"/>
      <w:szCs w:val="20"/>
      <w:lang w:val="en-US"/>
    </w:rPr>
  </w:style>
  <w:style w:type="paragraph" w:customStyle="1" w:styleId="3740">
    <w:name w:val="Char 正文"/>
    <w:basedOn w:val="3"/>
    <w:qFormat/>
    <w:uiPriority w:val="99"/>
    <w:pPr>
      <w:keepLines/>
      <w:overflowPunct/>
      <w:adjustRightInd w:val="0"/>
      <w:spacing w:before="240" w:after="240" w:line="348" w:lineRule="auto"/>
      <w:ind w:left="0" w:firstLine="0"/>
    </w:pPr>
    <w:rPr>
      <w:rFonts w:ascii="Tahoma" w:hAnsi="Tahoma" w:eastAsia="宋体"/>
      <w:b w:val="0"/>
      <w:bCs w:val="0"/>
      <w:color w:val="auto"/>
      <w:sz w:val="24"/>
      <w:szCs w:val="20"/>
    </w:rPr>
  </w:style>
  <w:style w:type="paragraph" w:customStyle="1" w:styleId="3741">
    <w:name w:val="Date2"/>
    <w:basedOn w:val="1"/>
    <w:next w:val="1"/>
    <w:qFormat/>
    <w:uiPriority w:val="0"/>
    <w:pPr>
      <w:adjustRightInd w:val="0"/>
      <w:textAlignment w:val="baseline"/>
    </w:pPr>
    <w:rPr>
      <w:rFonts w:ascii="Calibri" w:hAnsi="Calibri" w:cs="Calibri"/>
      <w:szCs w:val="20"/>
    </w:rPr>
  </w:style>
  <w:style w:type="paragraph" w:customStyle="1" w:styleId="3742">
    <w:name w:val="标题02"/>
    <w:basedOn w:val="1"/>
    <w:next w:val="1"/>
    <w:qFormat/>
    <w:uiPriority w:val="99"/>
    <w:pPr>
      <w:snapToGrid w:val="0"/>
      <w:spacing w:line="440" w:lineRule="atLeast"/>
      <w:outlineLvl w:val="1"/>
    </w:pPr>
    <w:rPr>
      <w:rFonts w:ascii="@黑体" w:hAnsi="@黑体" w:eastAsia="黑体" w:cs="Calibri"/>
      <w:b/>
      <w:sz w:val="24"/>
      <w:szCs w:val="20"/>
    </w:rPr>
  </w:style>
  <w:style w:type="paragraph" w:customStyle="1" w:styleId="3743">
    <w:name w:val="样式 样式3.4.5.1 + 段前: 0.5 行"/>
    <w:semiHidden/>
    <w:qFormat/>
    <w:uiPriority w:val="0"/>
    <w:rPr>
      <w:rFonts w:ascii="Times New Roman" w:hAnsi="Times New Roman" w:eastAsia="宋体" w:cs="宋体"/>
      <w:lang w:val="en-US" w:eastAsia="zh-CN" w:bidi="ar-SA"/>
    </w:rPr>
  </w:style>
  <w:style w:type="paragraph" w:customStyle="1" w:styleId="3744">
    <w:name w:val="样式3.4.5.1"/>
    <w:basedOn w:val="6"/>
    <w:semiHidden/>
    <w:qFormat/>
    <w:uiPriority w:val="0"/>
    <w:pPr>
      <w:numPr>
        <w:ilvl w:val="0"/>
        <w:numId w:val="0"/>
      </w:numPr>
      <w:adjustRightInd w:val="0"/>
      <w:spacing w:before="50" w:beforeLines="50" w:after="0" w:line="480" w:lineRule="exact"/>
    </w:pPr>
    <w:rPr>
      <w:rFonts w:ascii="Times New Roman" w:hAnsi="Times New Roman" w:eastAsia="宋体" w:cs="Calibri"/>
      <w:b w:val="0"/>
      <w:bCs/>
      <w:sz w:val="24"/>
      <w:szCs w:val="24"/>
      <w:lang w:val="en-US"/>
    </w:rPr>
  </w:style>
  <w:style w:type="paragraph" w:customStyle="1" w:styleId="3745">
    <w:name w:val="左五"/>
    <w:basedOn w:val="1"/>
    <w:qFormat/>
    <w:uiPriority w:val="99"/>
    <w:pPr>
      <w:adjustRightInd w:val="0"/>
      <w:snapToGrid w:val="0"/>
      <w:spacing w:line="280" w:lineRule="exact"/>
      <w:jc w:val="left"/>
    </w:pPr>
    <w:rPr>
      <w:rFonts w:ascii="宋体" w:hAnsi="Symusic" w:cs="Calibri"/>
      <w:color w:val="000000"/>
      <w:sz w:val="18"/>
    </w:rPr>
  </w:style>
  <w:style w:type="paragraph" w:customStyle="1" w:styleId="3746">
    <w:name w:val="宏福正文-2"/>
    <w:basedOn w:val="1"/>
    <w:qFormat/>
    <w:uiPriority w:val="99"/>
    <w:pPr>
      <w:adjustRightInd w:val="0"/>
      <w:spacing w:before="240" w:line="400" w:lineRule="atLeast"/>
      <w:ind w:firstLine="567"/>
      <w:jc w:val="left"/>
      <w:textAlignment w:val="baseline"/>
    </w:pPr>
    <w:rPr>
      <w:rFonts w:ascii="Calibri" w:hAnsi="Calibri" w:cs="Calibri"/>
      <w:sz w:val="28"/>
      <w:szCs w:val="20"/>
    </w:rPr>
  </w:style>
  <w:style w:type="paragraph" w:customStyle="1" w:styleId="3747">
    <w:name w:val="目录 4 Char Char"/>
    <w:basedOn w:val="1"/>
    <w:next w:val="1"/>
    <w:qFormat/>
    <w:uiPriority w:val="0"/>
    <w:pPr>
      <w:spacing w:line="351" w:lineRule="atLeast"/>
      <w:ind w:left="629" w:firstLine="419"/>
      <w:jc w:val="left"/>
    </w:pPr>
    <w:rPr>
      <w:rFonts w:hint="eastAsia" w:ascii="Calibri" w:hAnsi="Calibri" w:cs="Calibri"/>
      <w:szCs w:val="20"/>
    </w:rPr>
  </w:style>
  <w:style w:type="paragraph" w:customStyle="1" w:styleId="3748">
    <w:name w:val="xl"/>
    <w:basedOn w:val="1"/>
    <w:qFormat/>
    <w:uiPriority w:val="0"/>
    <w:pPr>
      <w:widowControl/>
      <w:spacing w:before="100" w:beforeAutospacing="1" w:after="100" w:afterAutospacing="1"/>
      <w:jc w:val="left"/>
    </w:pPr>
    <w:rPr>
      <w:rFonts w:hint="eastAsia" w:ascii="隶书" w:hAnsi="Arial Unicode MS" w:eastAsia="隶书" w:cs="Calibri"/>
      <w:color w:val="008000"/>
      <w:kern w:val="0"/>
      <w:sz w:val="36"/>
      <w:szCs w:val="36"/>
    </w:rPr>
  </w:style>
  <w:style w:type="paragraph" w:customStyle="1" w:styleId="3749">
    <w:name w:val="样式 标题 1-*+章标题 11.标题 1h11st levelSection Headl1b1H1Head..."/>
    <w:basedOn w:val="3"/>
    <w:semiHidden/>
    <w:qFormat/>
    <w:uiPriority w:val="0"/>
    <w:pPr>
      <w:keepLines/>
      <w:tabs>
        <w:tab w:val="left" w:pos="432"/>
      </w:tabs>
      <w:overflowPunct/>
      <w:adjustRightInd w:val="0"/>
      <w:snapToGrid/>
      <w:spacing w:before="0" w:after="0" w:line="360" w:lineRule="auto"/>
    </w:pPr>
    <w:rPr>
      <w:rFonts w:ascii="宋体" w:hAnsi="宋体" w:eastAsia="宋体" w:cs="宋体"/>
      <w:b w:val="0"/>
      <w:kern w:val="2"/>
      <w:sz w:val="28"/>
      <w:szCs w:val="20"/>
    </w:rPr>
  </w:style>
  <w:style w:type="paragraph" w:customStyle="1" w:styleId="3750">
    <w:name w:val="表格2"/>
    <w:basedOn w:val="1"/>
    <w:qFormat/>
    <w:uiPriority w:val="0"/>
    <w:pPr>
      <w:spacing w:line="400" w:lineRule="exact"/>
    </w:pPr>
    <w:rPr>
      <w:rFonts w:ascii="Calibri" w:hAnsi="Calibri" w:cs="Calibri"/>
      <w:sz w:val="28"/>
      <w:szCs w:val="20"/>
    </w:rPr>
  </w:style>
  <w:style w:type="paragraph" w:customStyle="1" w:styleId="3751">
    <w:name w:val="样式 标题 1 + 非加粗"/>
    <w:basedOn w:val="3"/>
    <w:semiHidden/>
    <w:qFormat/>
    <w:uiPriority w:val="0"/>
    <w:pPr>
      <w:tabs>
        <w:tab w:val="left" w:pos="425"/>
        <w:tab w:val="left" w:pos="545"/>
      </w:tabs>
      <w:overflowPunct/>
      <w:adjustRightInd w:val="0"/>
      <w:spacing w:before="0" w:beforeLines="100" w:after="0" w:afterLines="100" w:line="360" w:lineRule="auto"/>
      <w:ind w:left="425" w:hanging="425"/>
      <w:textAlignment w:val="baseline"/>
    </w:pPr>
    <w:rPr>
      <w:rFonts w:eastAsia="楷体_GB2312"/>
      <w:b w:val="0"/>
      <w:color w:val="auto"/>
      <w:kern w:val="0"/>
      <w:sz w:val="28"/>
      <w:szCs w:val="32"/>
    </w:rPr>
  </w:style>
  <w:style w:type="paragraph" w:customStyle="1" w:styleId="3752">
    <w:name w:val="InstÀÀll2"/>
    <w:qFormat/>
    <w:uiPriority w:val="99"/>
    <w:pPr>
      <w:tabs>
        <w:tab w:val="left" w:pos="-720"/>
      </w:tabs>
      <w:suppressAutoHyphens/>
      <w:jc w:val="both"/>
    </w:pPr>
    <w:rPr>
      <w:rFonts w:ascii="Courier" w:hAnsi="Courier" w:eastAsia="宋体" w:cs="Calibri"/>
      <w:spacing w:val="-3"/>
      <w:sz w:val="24"/>
      <w:lang w:val="en-US" w:eastAsia="sv-SE" w:bidi="ar-SA"/>
    </w:rPr>
  </w:style>
  <w:style w:type="paragraph" w:customStyle="1" w:styleId="3753">
    <w:name w:val="样式 标题 2H2Heading 2 HiddenHeading 2 CCBSheading 2Titre3mxHe..."/>
    <w:basedOn w:val="4"/>
    <w:semiHidden/>
    <w:qFormat/>
    <w:uiPriority w:val="0"/>
    <w:pPr>
      <w:numPr>
        <w:ilvl w:val="0"/>
        <w:numId w:val="0"/>
      </w:numPr>
      <w:tabs>
        <w:tab w:val="left" w:pos="567"/>
      </w:tabs>
      <w:adjustRightInd w:val="0"/>
      <w:spacing w:before="120" w:after="120" w:line="240" w:lineRule="atLeast"/>
      <w:ind w:left="567" w:hanging="567"/>
      <w:contextualSpacing/>
      <w:textAlignment w:val="baseline"/>
    </w:pPr>
    <w:rPr>
      <w:rFonts w:ascii="Times New Roman" w:hAnsi="Times New Roman" w:eastAsia="宋体" w:cs="宋体"/>
      <w:b w:val="0"/>
      <w:bCs w:val="0"/>
      <w:kern w:val="0"/>
      <w:sz w:val="24"/>
      <w:szCs w:val="30"/>
      <w:lang w:val="en-US"/>
    </w:rPr>
  </w:style>
  <w:style w:type="paragraph" w:customStyle="1" w:styleId="3754">
    <w:name w:val="Char Char Char1 Char Char Char Char Char Char Char Char Char Char Char Char Char Char Char1 Char Char Char Char Char Char Char Char Char1"/>
    <w:basedOn w:val="1"/>
    <w:semiHidden/>
    <w:qFormat/>
    <w:uiPriority w:val="0"/>
    <w:rPr>
      <w:rFonts w:ascii="Calibri" w:hAnsi="Calibri" w:cs="Calibri"/>
      <w:szCs w:val="21"/>
    </w:rPr>
  </w:style>
  <w:style w:type="paragraph" w:customStyle="1" w:styleId="3755">
    <w:name w:val="条文2"/>
    <w:basedOn w:val="489"/>
    <w:semiHidden/>
    <w:qFormat/>
    <w:uiPriority w:val="0"/>
    <w:pPr>
      <w:widowControl w:val="0"/>
      <w:autoSpaceDE/>
      <w:autoSpaceDN/>
      <w:adjustRightInd w:val="0"/>
      <w:spacing w:line="460" w:lineRule="exact"/>
      <w:ind w:left="1151" w:hanging="425" w:firstLineChars="0"/>
      <w:jc w:val="left"/>
      <w:textAlignment w:val="baseline"/>
    </w:pPr>
    <w:rPr>
      <w:rFonts w:ascii="@黑体" w:hAnsi="Tahoma" w:eastAsia="黑体" w:cs="Calibri"/>
      <w:spacing w:val="3"/>
      <w:kern w:val="24"/>
      <w:sz w:val="24"/>
    </w:rPr>
  </w:style>
  <w:style w:type="paragraph" w:customStyle="1" w:styleId="3756">
    <w:name w:val="Char Char Char1 Char Char Char Char Char Char Char Char Char Char Char Char Char Char Char"/>
    <w:basedOn w:val="1"/>
    <w:semiHidden/>
    <w:qFormat/>
    <w:uiPriority w:val="0"/>
    <w:pPr>
      <w:spacing w:line="240" w:lineRule="exact"/>
      <w:ind w:firstLine="200" w:firstLineChars="200"/>
    </w:pPr>
    <w:rPr>
      <w:rFonts w:ascii="Calibri" w:hAnsi="Calibri" w:cs="Calibri"/>
      <w:sz w:val="28"/>
      <w:szCs w:val="28"/>
    </w:rPr>
  </w:style>
  <w:style w:type="paragraph" w:customStyle="1" w:styleId="3757">
    <w:name w:val="a9"/>
    <w:basedOn w:val="1"/>
    <w:qFormat/>
    <w:uiPriority w:val="99"/>
    <w:pPr>
      <w:widowControl/>
      <w:spacing w:before="100" w:beforeAutospacing="1" w:after="100" w:afterAutospacing="1"/>
      <w:jc w:val="left"/>
    </w:pPr>
    <w:rPr>
      <w:rFonts w:hint="eastAsia" w:ascii="宋体" w:hAnsi="宋体" w:cs="Calibri"/>
      <w:kern w:val="0"/>
      <w:sz w:val="18"/>
      <w:szCs w:val="18"/>
    </w:rPr>
  </w:style>
  <w:style w:type="paragraph" w:customStyle="1" w:styleId="3758">
    <w:name w:val="样式 标题 4标题 4 Char第三层条PIM 4h4款标题1.1.1.1H4Fab-4T5Ref Headi...1"/>
    <w:basedOn w:val="6"/>
    <w:semiHidden/>
    <w:qFormat/>
    <w:uiPriority w:val="0"/>
    <w:pPr>
      <w:numPr>
        <w:ilvl w:val="0"/>
        <w:numId w:val="0"/>
      </w:numPr>
      <w:tabs>
        <w:tab w:val="left" w:pos="1044"/>
      </w:tabs>
      <w:adjustRightInd w:val="0"/>
      <w:spacing w:before="0" w:after="0" w:line="500" w:lineRule="exact"/>
      <w:ind w:left="1044" w:hanging="864"/>
    </w:pPr>
    <w:rPr>
      <w:rFonts w:eastAsia="仿宋_GB2312" w:cs="宋体"/>
      <w:b w:val="0"/>
      <w:bCs/>
      <w:kern w:val="0"/>
      <w:lang w:val="en-US"/>
    </w:rPr>
  </w:style>
  <w:style w:type="paragraph" w:customStyle="1" w:styleId="3759">
    <w:name w:val="项目符号1"/>
    <w:basedOn w:val="1"/>
    <w:qFormat/>
    <w:uiPriority w:val="99"/>
    <w:pPr>
      <w:tabs>
        <w:tab w:val="left" w:pos="780"/>
      </w:tabs>
      <w:overflowPunct w:val="0"/>
      <w:snapToGrid w:val="0"/>
      <w:spacing w:line="480" w:lineRule="exact"/>
      <w:ind w:left="435" w:hanging="285"/>
    </w:pPr>
    <w:rPr>
      <w:rFonts w:ascii="Arial" w:hAnsi="Arial" w:eastAsia="仿宋_GB2312" w:cs="Calibri"/>
      <w:sz w:val="28"/>
      <w:szCs w:val="20"/>
    </w:rPr>
  </w:style>
  <w:style w:type="paragraph" w:customStyle="1" w:styleId="3760">
    <w:name w:val="表格下方正文"/>
    <w:basedOn w:val="1"/>
    <w:qFormat/>
    <w:uiPriority w:val="0"/>
    <w:pPr>
      <w:spacing w:before="260" w:line="440" w:lineRule="exact"/>
      <w:ind w:firstLine="200" w:firstLineChars="200"/>
    </w:pPr>
    <w:rPr>
      <w:rFonts w:ascii="Calibri" w:hAnsi="Calibri" w:cs="Calibri"/>
      <w:kern w:val="0"/>
      <w:sz w:val="24"/>
      <w:szCs w:val="20"/>
    </w:rPr>
  </w:style>
  <w:style w:type="paragraph" w:customStyle="1" w:styleId="3761">
    <w:name w:val="图章"/>
    <w:basedOn w:val="1"/>
    <w:qFormat/>
    <w:uiPriority w:val="99"/>
    <w:pPr>
      <w:tabs>
        <w:tab w:val="left" w:pos="1727"/>
        <w:tab w:val="left" w:pos="1884"/>
      </w:tabs>
      <w:adjustRightInd w:val="0"/>
      <w:snapToGrid w:val="0"/>
      <w:ind w:left="26"/>
      <w:jc w:val="left"/>
      <w:outlineLvl w:val="0"/>
    </w:pPr>
    <w:rPr>
      <w:rFonts w:ascii="宋体" w:hAnsi="宋体" w:cs="Calibri"/>
      <w:snapToGrid w:val="0"/>
      <w:kern w:val="0"/>
      <w:sz w:val="18"/>
      <w:szCs w:val="20"/>
    </w:rPr>
  </w:style>
  <w:style w:type="paragraph" w:customStyle="1" w:styleId="3762">
    <w:name w:val="Char Char Char Char1 Char Char Char Char Char Char Char3"/>
    <w:basedOn w:val="1"/>
    <w:semiHidden/>
    <w:qFormat/>
    <w:uiPriority w:val="0"/>
    <w:pPr>
      <w:tabs>
        <w:tab w:val="left" w:pos="360"/>
      </w:tabs>
      <w:snapToGrid w:val="0"/>
      <w:spacing w:line="360" w:lineRule="auto"/>
    </w:pPr>
    <w:rPr>
      <w:rFonts w:ascii="Calibri" w:hAnsi="Calibri" w:eastAsia="仿宋_GB2312" w:cs="宋体"/>
      <w:sz w:val="24"/>
    </w:rPr>
  </w:style>
  <w:style w:type="paragraph" w:customStyle="1" w:styleId="3763">
    <w:name w:val="Body Text 22"/>
    <w:basedOn w:val="1"/>
    <w:qFormat/>
    <w:uiPriority w:val="99"/>
    <w:pPr>
      <w:adjustRightInd w:val="0"/>
      <w:spacing w:after="120"/>
      <w:ind w:left="420"/>
      <w:textAlignment w:val="baseline"/>
    </w:pPr>
    <w:rPr>
      <w:rFonts w:hint="eastAsia" w:ascii="宋体" w:hAnsi="宋体" w:cs="Calibri"/>
      <w:sz w:val="24"/>
      <w:szCs w:val="20"/>
    </w:rPr>
  </w:style>
  <w:style w:type="paragraph" w:customStyle="1" w:styleId="3764">
    <w:name w:val="Char Char Char Char Char Char Char Char Char Char Char1 Char Char Char Char Char Char1 Char3"/>
    <w:basedOn w:val="1"/>
    <w:semiHidden/>
    <w:qFormat/>
    <w:uiPriority w:val="0"/>
    <w:rPr>
      <w:rFonts w:ascii="Calibri" w:hAnsi="Calibri" w:cs="Calibri"/>
      <w:sz w:val="24"/>
    </w:rPr>
  </w:style>
  <w:style w:type="paragraph" w:customStyle="1" w:styleId="3765">
    <w:name w:val="Char4 Char Char Char2"/>
    <w:basedOn w:val="1"/>
    <w:qFormat/>
    <w:uiPriority w:val="99"/>
    <w:rPr>
      <w:rFonts w:ascii="Calibri" w:hAnsi="Calibri" w:eastAsia="仿宋_GB2312" w:cs="Calibri"/>
      <w:sz w:val="28"/>
    </w:rPr>
  </w:style>
  <w:style w:type="paragraph" w:customStyle="1" w:styleId="3766">
    <w:name w:val="+列表1"/>
    <w:basedOn w:val="1"/>
    <w:qFormat/>
    <w:uiPriority w:val="0"/>
    <w:pPr>
      <w:jc w:val="center"/>
    </w:pPr>
    <w:rPr>
      <w:rFonts w:ascii="Calibri" w:hAnsi="Calibri" w:cs="Calibri"/>
      <w:sz w:val="24"/>
    </w:rPr>
  </w:style>
  <w:style w:type="paragraph" w:customStyle="1" w:styleId="3767">
    <w:name w:val="样式 标题 1 + 段前: 1.5 行 段后: 1.5 行"/>
    <w:basedOn w:val="3"/>
    <w:qFormat/>
    <w:uiPriority w:val="0"/>
    <w:pPr>
      <w:keepLines/>
      <w:tabs>
        <w:tab w:val="left" w:pos="432"/>
      </w:tabs>
      <w:overflowPunct/>
      <w:adjustRightInd w:val="0"/>
      <w:spacing w:before="100" w:after="100" w:line="300" w:lineRule="auto"/>
      <w:ind w:left="431" w:hanging="431"/>
    </w:pPr>
    <w:rPr>
      <w:rFonts w:ascii="仿宋_GB2312" w:eastAsia="仿宋_GB2312"/>
      <w:b w:val="0"/>
      <w:bCs w:val="0"/>
      <w:color w:val="auto"/>
      <w:sz w:val="28"/>
      <w:szCs w:val="20"/>
    </w:rPr>
  </w:style>
  <w:style w:type="paragraph" w:customStyle="1" w:styleId="3768">
    <w:name w:val="Char Char Char1 Char4"/>
    <w:basedOn w:val="1"/>
    <w:qFormat/>
    <w:uiPriority w:val="99"/>
    <w:rPr>
      <w:rFonts w:ascii="Calibri" w:hAnsi="Calibri" w:cs="Calibri"/>
    </w:rPr>
  </w:style>
  <w:style w:type="paragraph" w:customStyle="1" w:styleId="3769">
    <w:name w:val="xl232"/>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FFFF00"/>
      <w:kern w:val="0"/>
      <w:sz w:val="18"/>
      <w:szCs w:val="18"/>
    </w:rPr>
  </w:style>
  <w:style w:type="paragraph" w:customStyle="1" w:styleId="3770">
    <w:name w:val="条5"/>
    <w:basedOn w:val="1"/>
    <w:next w:val="1"/>
    <w:qFormat/>
    <w:uiPriority w:val="99"/>
    <w:pPr>
      <w:tabs>
        <w:tab w:val="left" w:pos="1134"/>
      </w:tabs>
      <w:ind w:left="1134" w:hanging="1134"/>
      <w:outlineLvl w:val="1"/>
    </w:pPr>
    <w:rPr>
      <w:rFonts w:hint="eastAsia" w:ascii="黑体" w:hAnsi="Calibri" w:eastAsia="黑体" w:cs="Calibri"/>
      <w:kern w:val="21"/>
      <w:szCs w:val="20"/>
    </w:rPr>
  </w:style>
  <w:style w:type="paragraph" w:customStyle="1" w:styleId="3771">
    <w:name w:val="z表格文字"/>
    <w:basedOn w:val="1"/>
    <w:semiHidden/>
    <w:qFormat/>
    <w:uiPriority w:val="0"/>
    <w:pPr>
      <w:tabs>
        <w:tab w:val="left" w:pos="1155"/>
        <w:tab w:val="left" w:pos="2625"/>
      </w:tabs>
      <w:adjustRightInd w:val="0"/>
      <w:snapToGrid w:val="0"/>
      <w:ind w:left="210"/>
      <w:jc w:val="center"/>
    </w:pPr>
    <w:rPr>
      <w:rFonts w:ascii="文鼎CS书宋二" w:hAnsi="Calibri" w:cs="Calibri"/>
      <w:color w:val="000000"/>
      <w:kern w:val="48"/>
      <w:position w:val="-8"/>
      <w:sz w:val="24"/>
      <w:szCs w:val="20"/>
    </w:rPr>
  </w:style>
  <w:style w:type="paragraph" w:customStyle="1" w:styleId="3772">
    <w:name w:val="xl277"/>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宋体" w:hAnsi="宋体" w:cs="宋体"/>
      <w:color w:val="00CCFF"/>
      <w:kern w:val="0"/>
      <w:sz w:val="18"/>
      <w:szCs w:val="18"/>
    </w:rPr>
  </w:style>
  <w:style w:type="paragraph" w:customStyle="1" w:styleId="3773">
    <w:name w:val="Char4 Char Char Char12"/>
    <w:basedOn w:val="1"/>
    <w:semiHidden/>
    <w:qFormat/>
    <w:uiPriority w:val="0"/>
    <w:rPr>
      <w:rFonts w:ascii="Calibri" w:hAnsi="Calibri" w:cs="Calibri"/>
      <w:sz w:val="24"/>
    </w:rPr>
  </w:style>
  <w:style w:type="paragraph" w:customStyle="1" w:styleId="3774">
    <w:name w:val="样式 章标题单学凯 + 段后: 0.5 行"/>
    <w:basedOn w:val="3357"/>
    <w:semiHidden/>
    <w:qFormat/>
    <w:uiPriority w:val="0"/>
    <w:pPr>
      <w:spacing w:afterLines="0"/>
    </w:pPr>
    <w:rPr>
      <w:rFonts w:cs="宋体"/>
      <w:bCs/>
      <w:szCs w:val="20"/>
    </w:rPr>
  </w:style>
  <w:style w:type="paragraph" w:customStyle="1" w:styleId="3775">
    <w:name w:val="正文文本缩进13"/>
    <w:basedOn w:val="1"/>
    <w:semiHidden/>
    <w:qFormat/>
    <w:uiPriority w:val="0"/>
    <w:pPr>
      <w:spacing w:after="120" w:line="360" w:lineRule="auto"/>
      <w:ind w:left="420" w:leftChars="200" w:firstLine="200" w:firstLineChars="200"/>
    </w:pPr>
    <w:rPr>
      <w:rFonts w:ascii="Calibri" w:hAnsi="Calibri" w:cs="Calibri"/>
      <w:sz w:val="24"/>
    </w:rPr>
  </w:style>
  <w:style w:type="paragraph" w:customStyle="1" w:styleId="3776">
    <w:name w:val="附录性质"/>
    <w:next w:val="1"/>
    <w:semiHidden/>
    <w:qFormat/>
    <w:uiPriority w:val="0"/>
    <w:pPr>
      <w:spacing w:line="440" w:lineRule="exact"/>
      <w:jc w:val="center"/>
    </w:pPr>
    <w:rPr>
      <w:rFonts w:ascii="宋体" w:hAnsi="Calibri" w:eastAsia="宋体" w:cs="Calibri"/>
      <w:sz w:val="24"/>
      <w:lang w:val="en-US" w:eastAsia="zh-CN" w:bidi="ar-SA"/>
    </w:rPr>
  </w:style>
  <w:style w:type="paragraph" w:customStyle="1" w:styleId="3777">
    <w:name w:val="ST20_55"/>
    <w:basedOn w:val="1"/>
    <w:qFormat/>
    <w:uiPriority w:val="99"/>
    <w:pPr>
      <w:tabs>
        <w:tab w:val="left" w:pos="2160"/>
      </w:tabs>
      <w:autoSpaceDE w:val="0"/>
      <w:autoSpaceDN w:val="0"/>
      <w:adjustRightInd w:val="0"/>
      <w:spacing w:after="80" w:line="360" w:lineRule="atLeast"/>
      <w:ind w:left="2160" w:hanging="360"/>
      <w:jc w:val="left"/>
      <w:textAlignment w:val="baseline"/>
    </w:pPr>
    <w:rPr>
      <w:rFonts w:ascii="宋体" w:hAnsi="Tms Rmn" w:cs="Calibri"/>
      <w:kern w:val="0"/>
      <w:sz w:val="28"/>
      <w:szCs w:val="20"/>
    </w:rPr>
  </w:style>
  <w:style w:type="paragraph" w:customStyle="1" w:styleId="3778">
    <w:name w:val="Char Char Char Char Char Char Char Char Char Char Char Char Char1 Char Char Char Char Char Char Char Char Char Char Char Char Char1"/>
    <w:basedOn w:val="1"/>
    <w:semiHidden/>
    <w:qFormat/>
    <w:uiPriority w:val="0"/>
    <w:pPr>
      <w:adjustRightInd w:val="0"/>
      <w:spacing w:line="360" w:lineRule="auto"/>
    </w:pPr>
    <w:rPr>
      <w:rFonts w:ascii="Calibri" w:hAnsi="Calibri" w:cs="Calibri"/>
      <w:kern w:val="0"/>
      <w:sz w:val="24"/>
      <w:szCs w:val="20"/>
    </w:rPr>
  </w:style>
  <w:style w:type="paragraph" w:customStyle="1" w:styleId="3779">
    <w:name w:val="样式 标题 2"/>
    <w:basedOn w:val="5"/>
    <w:qFormat/>
    <w:uiPriority w:val="99"/>
    <w:pPr>
      <w:numPr>
        <w:ilvl w:val="0"/>
        <w:numId w:val="0"/>
      </w:numPr>
      <w:tabs>
        <w:tab w:val="left" w:pos="0"/>
      </w:tabs>
      <w:adjustRightInd w:val="0"/>
      <w:spacing w:before="0" w:after="0" w:line="360" w:lineRule="auto"/>
    </w:pPr>
    <w:rPr>
      <w:rFonts w:ascii="仿宋_GB2312" w:hAnsi="仿宋_GB2312" w:eastAsia="仿宋_GB2312" w:cs="Calibri"/>
      <w:bCs w:val="0"/>
      <w:kern w:val="21"/>
      <w:sz w:val="24"/>
      <w:szCs w:val="20"/>
      <w:lang w:val="en-US"/>
    </w:rPr>
  </w:style>
  <w:style w:type="paragraph" w:customStyle="1" w:styleId="3780">
    <w:name w:val="文本匡小五号 Char"/>
    <w:qFormat/>
    <w:uiPriority w:val="99"/>
    <w:pPr>
      <w:snapToGrid w:val="0"/>
      <w:spacing w:line="100" w:lineRule="atLeast"/>
      <w:jc w:val="center"/>
    </w:pPr>
    <w:rPr>
      <w:rFonts w:ascii="Calibri" w:hAnsi="Calibri" w:eastAsia="仿宋_GB2312" w:cs="Calibri"/>
      <w:snapToGrid w:val="0"/>
      <w:sz w:val="21"/>
      <w:szCs w:val="21"/>
      <w:lang w:val="en-US" w:eastAsia="zh-CN" w:bidi="ar-SA"/>
    </w:rPr>
  </w:style>
  <w:style w:type="paragraph" w:customStyle="1" w:styleId="3781">
    <w:name w:val="Char Char Char1 Char Char Char Char Char Char Char Char Char Char Char Char Char1"/>
    <w:basedOn w:val="1"/>
    <w:qFormat/>
    <w:uiPriority w:val="99"/>
    <w:pPr>
      <w:widowControl/>
      <w:jc w:val="left"/>
    </w:pPr>
    <w:rPr>
      <w:rFonts w:ascii="Calibri" w:hAnsi="Calibri" w:cs="Calibri"/>
      <w:kern w:val="0"/>
      <w:sz w:val="22"/>
      <w:szCs w:val="21"/>
    </w:rPr>
  </w:style>
  <w:style w:type="paragraph" w:customStyle="1" w:styleId="3782">
    <w:name w:val="xl315"/>
    <w:basedOn w:val="1"/>
    <w:semiHidden/>
    <w:qFormat/>
    <w:uiPriority w:val="0"/>
    <w:pPr>
      <w:widowControl/>
      <w:pBdr>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993300"/>
      <w:kern w:val="0"/>
      <w:sz w:val="18"/>
      <w:szCs w:val="18"/>
    </w:rPr>
  </w:style>
  <w:style w:type="paragraph" w:customStyle="1" w:styleId="3783">
    <w:name w:val="xl278"/>
    <w:basedOn w:val="1"/>
    <w:semiHidden/>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784">
    <w:name w:val="样式 图表 + 首行缩进:  2 字符1"/>
    <w:basedOn w:val="1"/>
    <w:qFormat/>
    <w:uiPriority w:val="99"/>
    <w:pPr>
      <w:adjustRightInd w:val="0"/>
      <w:snapToGrid w:val="0"/>
      <w:spacing w:before="48" w:beforeLines="20" w:after="48" w:afterLines="20"/>
      <w:ind w:left="-102" w:leftChars="-50" w:right="-105" w:rightChars="-50" w:hanging="3"/>
      <w:jc w:val="center"/>
    </w:pPr>
    <w:rPr>
      <w:rFonts w:ascii="Calibri" w:hAnsi="Calibri" w:eastAsia="仿宋_GB2312" w:cs="Calibri"/>
      <w:color w:val="000000"/>
    </w:rPr>
  </w:style>
  <w:style w:type="paragraph" w:customStyle="1" w:styleId="3785">
    <w:name w:val="字元 字元3 字元2"/>
    <w:basedOn w:val="1"/>
    <w:next w:val="1"/>
    <w:semiHidden/>
    <w:qFormat/>
    <w:uiPriority w:val="0"/>
    <w:pPr>
      <w:spacing w:line="360" w:lineRule="auto"/>
      <w:ind w:firstLine="200" w:firstLineChars="200"/>
    </w:pPr>
    <w:rPr>
      <w:rFonts w:ascii="Calibri" w:hAnsi="Calibri" w:cs="Calibri"/>
      <w:szCs w:val="20"/>
    </w:rPr>
  </w:style>
  <w:style w:type="paragraph" w:customStyle="1" w:styleId="3786">
    <w:name w:val="zg1"/>
    <w:basedOn w:val="37"/>
    <w:qFormat/>
    <w:uiPriority w:val="99"/>
    <w:pPr>
      <w:spacing w:after="0" w:line="360" w:lineRule="auto"/>
      <w:ind w:left="0" w:leftChars="0" w:firstLine="425"/>
    </w:pPr>
    <w:rPr>
      <w:rFonts w:cs="Calibri"/>
      <w:kern w:val="2"/>
      <w:lang w:val="en-US"/>
    </w:rPr>
  </w:style>
  <w:style w:type="paragraph" w:customStyle="1" w:styleId="3787">
    <w:name w:val="注解"/>
    <w:qFormat/>
    <w:uiPriority w:val="0"/>
    <w:pPr>
      <w:widowControl w:val="0"/>
      <w:jc w:val="center"/>
    </w:pPr>
    <w:rPr>
      <w:rFonts w:ascii="宋体" w:hAnsi="Arial Black" w:eastAsia="宋体" w:cs="Calibri"/>
      <w:kern w:val="2"/>
      <w:sz w:val="18"/>
      <w:lang w:val="en-US" w:eastAsia="zh-CN" w:bidi="ar-SA"/>
    </w:rPr>
  </w:style>
  <w:style w:type="paragraph" w:customStyle="1" w:styleId="3788">
    <w:name w:val="目录 8 Char Char"/>
    <w:basedOn w:val="1"/>
    <w:next w:val="1"/>
    <w:qFormat/>
    <w:uiPriority w:val="0"/>
    <w:pPr>
      <w:spacing w:line="351" w:lineRule="atLeast"/>
      <w:ind w:left="1468" w:firstLine="419"/>
      <w:jc w:val="left"/>
    </w:pPr>
    <w:rPr>
      <w:rFonts w:hint="eastAsia" w:ascii="Calibri" w:hAnsi="Calibri" w:cs="Calibri"/>
      <w:szCs w:val="20"/>
    </w:rPr>
  </w:style>
  <w:style w:type="paragraph" w:customStyle="1" w:styleId="3789">
    <w:name w:val="表文_M5"/>
    <w:qFormat/>
    <w:uiPriority w:val="99"/>
    <w:pPr>
      <w:widowControl w:val="0"/>
      <w:tabs>
        <w:tab w:val="left" w:pos="1260"/>
      </w:tabs>
      <w:adjustRightInd w:val="0"/>
      <w:snapToGrid w:val="0"/>
      <w:jc w:val="center"/>
    </w:pPr>
    <w:rPr>
      <w:rFonts w:ascii="Garamond" w:hAnsi="Garamond" w:eastAsia="楷体_GB2312" w:cs="Calibri"/>
      <w:spacing w:val="-8"/>
      <w:kern w:val="2"/>
      <w:sz w:val="24"/>
      <w:szCs w:val="24"/>
      <w:lang w:val="en-US" w:eastAsia="zh-CN" w:bidi="ar-SA"/>
    </w:rPr>
  </w:style>
  <w:style w:type="paragraph" w:customStyle="1" w:styleId="3790">
    <w:name w:val="样式 首行缩进:  1.71 字符"/>
    <w:basedOn w:val="1"/>
    <w:qFormat/>
    <w:uiPriority w:val="0"/>
    <w:pPr>
      <w:spacing w:line="360" w:lineRule="auto"/>
      <w:jc w:val="center"/>
    </w:pPr>
    <w:rPr>
      <w:rFonts w:ascii="宋体" w:hAnsi="宋体" w:cs="Calibri"/>
      <w:color w:val="000000"/>
      <w:kern w:val="0"/>
      <w:szCs w:val="21"/>
    </w:rPr>
  </w:style>
  <w:style w:type="paragraph" w:customStyle="1" w:styleId="3791">
    <w:name w:val="样式 标题 2 + 段后: 0.5 行"/>
    <w:basedOn w:val="4"/>
    <w:qFormat/>
    <w:uiPriority w:val="99"/>
    <w:pPr>
      <w:keepNext w:val="0"/>
      <w:keepLines w:val="0"/>
      <w:numPr>
        <w:ilvl w:val="0"/>
        <w:numId w:val="0"/>
      </w:numPr>
      <w:tabs>
        <w:tab w:val="left" w:pos="630"/>
        <w:tab w:val="left" w:pos="840"/>
        <w:tab w:val="left" w:pos="1287"/>
        <w:tab w:val="left" w:pos="3920"/>
        <w:tab w:val="left" w:pos="5670"/>
      </w:tabs>
      <w:adjustRightInd w:val="0"/>
      <w:snapToGrid w:val="0"/>
      <w:spacing w:before="60" w:line="480" w:lineRule="exact"/>
      <w:ind w:firstLine="567"/>
    </w:pPr>
    <w:rPr>
      <w:rFonts w:ascii="Times New Roman" w:hAnsi="Times New Roman" w:eastAsia="仿宋_GB2312"/>
      <w:b w:val="0"/>
      <w:bCs w:val="0"/>
      <w:color w:val="000000"/>
      <w:sz w:val="24"/>
      <w:szCs w:val="24"/>
      <w:lang w:val="en-US"/>
    </w:rPr>
  </w:style>
  <w:style w:type="paragraph" w:customStyle="1" w:styleId="3792">
    <w:name w:val="小五表文"/>
    <w:qFormat/>
    <w:uiPriority w:val="0"/>
    <w:pPr>
      <w:jc w:val="center"/>
    </w:pPr>
    <w:rPr>
      <w:rFonts w:ascii="Calibri" w:hAnsi="Calibri" w:eastAsia="仿宋_GB2312" w:cs="Calibri"/>
      <w:sz w:val="18"/>
      <w:lang w:val="en-US" w:eastAsia="zh-CN" w:bidi="ar-SA"/>
    </w:rPr>
  </w:style>
  <w:style w:type="paragraph" w:customStyle="1" w:styleId="3793">
    <w:name w:val="book1_1_1"/>
    <w:basedOn w:val="5"/>
    <w:qFormat/>
    <w:uiPriority w:val="0"/>
    <w:pPr>
      <w:keepNext w:val="0"/>
      <w:numPr>
        <w:ilvl w:val="0"/>
        <w:numId w:val="0"/>
      </w:numPr>
      <w:tabs>
        <w:tab w:val="left" w:pos="360"/>
        <w:tab w:val="left" w:pos="1050"/>
      </w:tabs>
      <w:adjustRightInd w:val="0"/>
      <w:spacing w:before="50" w:beforeLines="50" w:after="50" w:afterLines="50" w:line="400" w:lineRule="exact"/>
      <w:ind w:left="360" w:hanging="360" w:hangingChars="200"/>
    </w:pPr>
    <w:rPr>
      <w:rFonts w:cs="Calibri"/>
      <w:sz w:val="24"/>
      <w:lang w:val="en-US"/>
    </w:rPr>
  </w:style>
  <w:style w:type="paragraph" w:customStyle="1" w:styleId="3794">
    <w:name w:val="标题二 Char"/>
    <w:basedOn w:val="4"/>
    <w:next w:val="5"/>
    <w:semiHidden/>
    <w:qFormat/>
    <w:uiPriority w:val="0"/>
    <w:pPr>
      <w:numPr>
        <w:ilvl w:val="0"/>
        <w:numId w:val="0"/>
      </w:numPr>
      <w:adjustRightInd w:val="0"/>
      <w:snapToGrid w:val="0"/>
      <w:ind w:firstLine="200" w:firstLineChars="200"/>
      <w:textAlignment w:val="baseline"/>
    </w:pPr>
    <w:rPr>
      <w:rFonts w:ascii="黑体" w:eastAsia="宋体"/>
      <w:snapToGrid w:val="0"/>
      <w:kern w:val="0"/>
      <w:sz w:val="24"/>
      <w:szCs w:val="24"/>
      <w:lang w:val="en-US"/>
    </w:rPr>
  </w:style>
  <w:style w:type="paragraph" w:customStyle="1" w:styleId="3795">
    <w:name w:val="宏福正文"/>
    <w:basedOn w:val="36"/>
    <w:qFormat/>
    <w:uiPriority w:val="0"/>
    <w:pPr>
      <w:widowControl w:val="0"/>
      <w:adjustRightInd w:val="0"/>
      <w:spacing w:before="240" w:after="0" w:line="400" w:lineRule="atLeast"/>
      <w:ind w:right="0" w:firstLine="624"/>
      <w:jc w:val="center"/>
    </w:pPr>
    <w:rPr>
      <w:rFonts w:ascii="Calibri" w:hAnsi="Calibri" w:cs="Calibri"/>
      <w:snapToGrid w:val="0"/>
      <w:color w:val="000000"/>
      <w:spacing w:val="12"/>
      <w:kern w:val="28"/>
      <w:sz w:val="28"/>
      <w:lang w:val="en-US"/>
    </w:rPr>
  </w:style>
  <w:style w:type="paragraph" w:customStyle="1" w:styleId="3796">
    <w:name w:val="样式 小四 首行缩进:  24 磅 行距: 多倍行距 1.25 字行"/>
    <w:basedOn w:val="1"/>
    <w:qFormat/>
    <w:uiPriority w:val="99"/>
    <w:pPr>
      <w:adjustRightInd w:val="0"/>
      <w:spacing w:line="440" w:lineRule="exact"/>
      <w:ind w:firstLine="480"/>
      <w:textAlignment w:val="baseline"/>
    </w:pPr>
    <w:rPr>
      <w:rFonts w:ascii="Calibri" w:hAnsi="Calibri" w:cs="宋体"/>
      <w:kern w:val="0"/>
      <w:sz w:val="24"/>
      <w:szCs w:val="20"/>
    </w:rPr>
  </w:style>
  <w:style w:type="paragraph" w:customStyle="1" w:styleId="3797">
    <w:name w:val="正文居中五号"/>
    <w:basedOn w:val="1"/>
    <w:semiHidden/>
    <w:qFormat/>
    <w:uiPriority w:val="0"/>
    <w:pPr>
      <w:spacing w:line="400" w:lineRule="exact"/>
      <w:jc w:val="center"/>
    </w:pPr>
    <w:rPr>
      <w:rFonts w:ascii="Calibri" w:hAnsi="Calibri" w:cs="宋体"/>
      <w:szCs w:val="20"/>
    </w:rPr>
  </w:style>
  <w:style w:type="paragraph" w:customStyle="1" w:styleId="3798">
    <w:name w:val="ST20_1"/>
    <w:basedOn w:val="1"/>
    <w:qFormat/>
    <w:uiPriority w:val="0"/>
    <w:pPr>
      <w:autoSpaceDE w:val="0"/>
      <w:autoSpaceDN w:val="0"/>
      <w:adjustRightInd w:val="0"/>
      <w:spacing w:line="312" w:lineRule="atLeast"/>
      <w:jc w:val="center"/>
      <w:textAlignment w:val="baseline"/>
    </w:pPr>
    <w:rPr>
      <w:rFonts w:ascii="宋体" w:hAnsi="Tms Rmn" w:cs="Calibri"/>
      <w:kern w:val="0"/>
      <w:sz w:val="24"/>
      <w:szCs w:val="20"/>
    </w:rPr>
  </w:style>
  <w:style w:type="paragraph" w:customStyle="1" w:styleId="3799">
    <w:name w:val="标题四"/>
    <w:basedOn w:val="5"/>
    <w:qFormat/>
    <w:uiPriority w:val="0"/>
    <w:pPr>
      <w:numPr>
        <w:ilvl w:val="0"/>
        <w:numId w:val="0"/>
      </w:numPr>
      <w:adjustRightInd w:val="0"/>
    </w:pPr>
    <w:rPr>
      <w:rFonts w:eastAsia="华文中宋" w:cs="Calibri"/>
      <w:kern w:val="0"/>
      <w:sz w:val="24"/>
      <w:lang w:val="en-US"/>
    </w:rPr>
  </w:style>
  <w:style w:type="paragraph" w:customStyle="1" w:styleId="3800">
    <w:name w:val="CM74"/>
    <w:basedOn w:val="1"/>
    <w:next w:val="1"/>
    <w:semiHidden/>
    <w:qFormat/>
    <w:uiPriority w:val="0"/>
    <w:pPr>
      <w:autoSpaceDE w:val="0"/>
      <w:autoSpaceDN w:val="0"/>
      <w:adjustRightInd w:val="0"/>
      <w:spacing w:after="180"/>
      <w:jc w:val="left"/>
    </w:pPr>
    <w:rPr>
      <w:rFonts w:ascii="Sim Sun+ 2" w:hAnsi="Calibri" w:eastAsia="Sim Sun+ 2" w:cs="Sim Sun+ 2"/>
      <w:kern w:val="0"/>
      <w:sz w:val="24"/>
    </w:rPr>
  </w:style>
  <w:style w:type="paragraph" w:customStyle="1" w:styleId="3801">
    <w:name w:val="ISO标题3"/>
    <w:basedOn w:val="1"/>
    <w:qFormat/>
    <w:uiPriority w:val="0"/>
    <w:pPr>
      <w:widowControl/>
      <w:tabs>
        <w:tab w:val="left" w:pos="360"/>
        <w:tab w:val="left" w:pos="840"/>
        <w:tab w:val="left" w:pos="1260"/>
      </w:tabs>
      <w:autoSpaceDE w:val="0"/>
      <w:autoSpaceDN w:val="0"/>
      <w:adjustRightInd w:val="0"/>
      <w:ind w:left="1260" w:hanging="420"/>
      <w:jc w:val="left"/>
      <w:outlineLvl w:val="2"/>
    </w:pPr>
    <w:rPr>
      <w:rFonts w:ascii="宋体" w:hAnsi="宋体" w:cs="Calibri"/>
      <w:color w:val="000000"/>
      <w:kern w:val="0"/>
      <w:sz w:val="24"/>
    </w:rPr>
  </w:style>
  <w:style w:type="paragraph" w:customStyle="1" w:styleId="3802">
    <w:name w:val="font20"/>
    <w:basedOn w:val="1"/>
    <w:qFormat/>
    <w:uiPriority w:val="0"/>
    <w:pPr>
      <w:widowControl/>
      <w:spacing w:before="100" w:beforeAutospacing="1" w:after="100" w:afterAutospacing="1"/>
      <w:jc w:val="left"/>
    </w:pPr>
    <w:rPr>
      <w:rFonts w:ascii="Calibri" w:hAnsi="Calibri" w:cs="Calibri"/>
      <w:color w:val="CC99FF"/>
      <w:kern w:val="0"/>
      <w:sz w:val="18"/>
      <w:szCs w:val="18"/>
    </w:rPr>
  </w:style>
  <w:style w:type="paragraph" w:customStyle="1" w:styleId="3803">
    <w:name w:val="Char Char Char Char Char Char Char Char Char1 Char Char Char Char Char Char Char3"/>
    <w:basedOn w:val="1"/>
    <w:semiHidden/>
    <w:qFormat/>
    <w:uiPriority w:val="0"/>
    <w:rPr>
      <w:rFonts w:ascii="Calibri" w:hAnsi="Calibri" w:cs="Calibri"/>
      <w:szCs w:val="21"/>
    </w:rPr>
  </w:style>
  <w:style w:type="paragraph" w:customStyle="1" w:styleId="3804">
    <w:name w:val="样式 标题 1 + 两端对齐"/>
    <w:basedOn w:val="3"/>
    <w:qFormat/>
    <w:uiPriority w:val="0"/>
    <w:pPr>
      <w:keepNext w:val="0"/>
      <w:pageBreakBefore/>
      <w:widowControl/>
      <w:tabs>
        <w:tab w:val="left" w:pos="420"/>
      </w:tabs>
      <w:overflowPunct/>
      <w:adjustRightInd w:val="0"/>
      <w:spacing w:before="0" w:after="0" w:line="300" w:lineRule="auto"/>
      <w:ind w:left="0" w:firstLine="0"/>
      <w:jc w:val="center"/>
    </w:pPr>
    <w:rPr>
      <w:rFonts w:ascii="仿宋_GB2312" w:eastAsia="仿宋_GB2312" w:cs="宋体"/>
      <w:bCs w:val="0"/>
      <w:snapToGrid w:val="0"/>
      <w:color w:val="auto"/>
      <w:kern w:val="0"/>
      <w:sz w:val="28"/>
      <w:szCs w:val="32"/>
    </w:rPr>
  </w:style>
  <w:style w:type="paragraph" w:customStyle="1" w:styleId="3805">
    <w:name w:val="Char Char Char Char Char Char1 Char Char Char Char1"/>
    <w:basedOn w:val="1"/>
    <w:semiHidden/>
    <w:qFormat/>
    <w:uiPriority w:val="99"/>
    <w:rPr>
      <w:rFonts w:ascii="Calibri" w:hAnsi="Calibri" w:cs="Calibri"/>
      <w:sz w:val="24"/>
    </w:rPr>
  </w:style>
  <w:style w:type="paragraph" w:customStyle="1" w:styleId="3806">
    <w:name w:val="font15"/>
    <w:basedOn w:val="1"/>
    <w:qFormat/>
    <w:uiPriority w:val="0"/>
    <w:pPr>
      <w:widowControl/>
      <w:spacing w:before="100" w:beforeAutospacing="1" w:after="100" w:afterAutospacing="1"/>
      <w:jc w:val="left"/>
    </w:pPr>
    <w:rPr>
      <w:rFonts w:ascii="Calibri" w:hAnsi="Calibri" w:cs="Calibri"/>
      <w:color w:val="FF00FF"/>
      <w:kern w:val="0"/>
      <w:sz w:val="18"/>
      <w:szCs w:val="18"/>
    </w:rPr>
  </w:style>
  <w:style w:type="paragraph" w:customStyle="1" w:styleId="3807">
    <w:name w:val="xl17"/>
    <w:basedOn w:val="1"/>
    <w:qFormat/>
    <w:uiPriority w:val="99"/>
    <w:pPr>
      <w:widowControl/>
      <w:spacing w:before="100" w:beforeAutospacing="1" w:after="100" w:afterAutospacing="1"/>
      <w:jc w:val="center"/>
      <w:textAlignment w:val="center"/>
    </w:pPr>
    <w:rPr>
      <w:rFonts w:ascii="宋体" w:hAnsi="宋体" w:cs="Calibri"/>
      <w:kern w:val="0"/>
      <w:sz w:val="18"/>
      <w:szCs w:val="18"/>
    </w:rPr>
  </w:style>
  <w:style w:type="paragraph" w:customStyle="1" w:styleId="3808">
    <w:name w:val="Char Char Char Char Char Char Char Char Char Char Char1 Char Char Char Char Char Char1 Char1"/>
    <w:basedOn w:val="1"/>
    <w:qFormat/>
    <w:uiPriority w:val="99"/>
    <w:rPr>
      <w:rFonts w:ascii="Calibri" w:hAnsi="Calibri" w:cs="Calibri"/>
      <w:sz w:val="24"/>
    </w:rPr>
  </w:style>
  <w:style w:type="paragraph" w:customStyle="1" w:styleId="3809">
    <w:name w:val="宋体 行距: 固定值 12 磅"/>
    <w:basedOn w:val="11"/>
    <w:qFormat/>
    <w:uiPriority w:val="99"/>
    <w:pPr>
      <w:pBdr>
        <w:bottom w:val="none" w:color="auto" w:sz="0" w:space="0"/>
      </w:pBdr>
      <w:tabs>
        <w:tab w:val="clear" w:pos="4153"/>
        <w:tab w:val="clear" w:pos="8306"/>
      </w:tabs>
      <w:snapToGrid/>
      <w:spacing w:line="240" w:lineRule="exact"/>
    </w:pPr>
    <w:rPr>
      <w:rFonts w:ascii="宋体" w:hAnsi="宋体" w:cs="Calibri"/>
      <w:spacing w:val="-20"/>
      <w:szCs w:val="18"/>
      <w:lang w:val="en-US"/>
    </w:rPr>
  </w:style>
  <w:style w:type="paragraph" w:customStyle="1" w:styleId="3810">
    <w:name w:val="Char Char Char Char Char1 Char1"/>
    <w:basedOn w:val="1"/>
    <w:semiHidden/>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3811">
    <w:name w:val="Normal Indent1"/>
    <w:basedOn w:val="1"/>
    <w:qFormat/>
    <w:uiPriority w:val="0"/>
    <w:pPr>
      <w:adjustRightInd w:val="0"/>
      <w:ind w:firstLine="420" w:firstLineChars="200"/>
      <w:textAlignment w:val="baseline"/>
    </w:pPr>
    <w:rPr>
      <w:rFonts w:hint="eastAsia" w:ascii="Calibri" w:hAnsi="宋体" w:cs="Calibri"/>
      <w:sz w:val="24"/>
      <w:szCs w:val="20"/>
    </w:rPr>
  </w:style>
  <w:style w:type="paragraph" w:customStyle="1" w:styleId="3812">
    <w:name w:val="样式 表题 +"/>
    <w:basedOn w:val="336"/>
    <w:semiHidden/>
    <w:qFormat/>
    <w:uiPriority w:val="0"/>
    <w:pPr>
      <w:tabs>
        <w:tab w:val="left" w:pos="425"/>
        <w:tab w:val="left" w:pos="1134"/>
      </w:tabs>
      <w:adjustRightInd/>
      <w:snapToGrid/>
      <w:spacing w:beforeLines="0" w:line="500" w:lineRule="exact"/>
      <w:ind w:firstLine="0" w:firstLineChars="0"/>
    </w:pPr>
    <w:rPr>
      <w:rFonts w:ascii="仿宋_GB2312" w:hAnsi="Calibri" w:eastAsia="仿宋_GB2312" w:cs="宋体"/>
      <w:snapToGrid w:val="0"/>
      <w:szCs w:val="28"/>
      <w:lang w:eastAsia="zh-CN" w:bidi="ar-SA"/>
    </w:rPr>
  </w:style>
  <w:style w:type="paragraph" w:customStyle="1" w:styleId="3813">
    <w:name w:val="Char Char Char Char Char Char 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814">
    <w:name w:val="5 Char"/>
    <w:basedOn w:val="1"/>
    <w:qFormat/>
    <w:uiPriority w:val="99"/>
    <w:rPr>
      <w:rFonts w:ascii="Calibri" w:hAnsi="Calibri" w:cs="Calibri"/>
      <w:sz w:val="24"/>
    </w:rPr>
  </w:style>
  <w:style w:type="paragraph" w:customStyle="1" w:styleId="3815">
    <w:name w:val="目录 6 Char Char"/>
    <w:basedOn w:val="1"/>
    <w:next w:val="1"/>
    <w:qFormat/>
    <w:uiPriority w:val="0"/>
    <w:pPr>
      <w:spacing w:line="351" w:lineRule="atLeast"/>
      <w:ind w:left="1048" w:firstLine="419"/>
      <w:jc w:val="left"/>
    </w:pPr>
    <w:rPr>
      <w:rFonts w:hint="eastAsia" w:ascii="Calibri" w:hAnsi="Calibri" w:cs="Calibri"/>
      <w:szCs w:val="20"/>
    </w:rPr>
  </w:style>
  <w:style w:type="paragraph" w:customStyle="1" w:styleId="3816">
    <w:name w:val="Name"/>
    <w:basedOn w:val="1"/>
    <w:next w:val="1"/>
    <w:semiHidden/>
    <w:qFormat/>
    <w:uiPriority w:val="0"/>
    <w:pPr>
      <w:widowControl/>
      <w:spacing w:after="440" w:line="240" w:lineRule="atLeast"/>
      <w:ind w:left="2160"/>
      <w:jc w:val="left"/>
    </w:pPr>
    <w:rPr>
      <w:rFonts w:ascii="@黑体" w:hAnsi="@黑体" w:eastAsia="黑体" w:cs="Calibri"/>
      <w:spacing w:val="-20"/>
      <w:kern w:val="0"/>
      <w:sz w:val="48"/>
      <w:szCs w:val="20"/>
    </w:rPr>
  </w:style>
  <w:style w:type="paragraph" w:customStyle="1" w:styleId="3817">
    <w:name w:val="xl186"/>
    <w:basedOn w:val="1"/>
    <w:qFormat/>
    <w:uiPriority w:val="99"/>
    <w:pPr>
      <w:widowControl/>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cs="Calibri"/>
      <w:kern w:val="0"/>
      <w:sz w:val="16"/>
      <w:szCs w:val="16"/>
    </w:rPr>
  </w:style>
  <w:style w:type="paragraph" w:customStyle="1" w:styleId="3818">
    <w:name w:val="样式 正文居中五号 +"/>
    <w:basedOn w:val="3797"/>
    <w:semiHidden/>
    <w:qFormat/>
    <w:uiPriority w:val="0"/>
    <w:pPr>
      <w:textAlignment w:val="center"/>
    </w:pPr>
    <w:rPr>
      <w:kern w:val="0"/>
    </w:rPr>
  </w:style>
  <w:style w:type="paragraph" w:customStyle="1" w:styleId="3819">
    <w:name w:val="表格文字（241）"/>
    <w:basedOn w:val="1"/>
    <w:semiHidden/>
    <w:qFormat/>
    <w:uiPriority w:val="0"/>
    <w:pPr>
      <w:autoSpaceDE w:val="0"/>
      <w:autoSpaceDN w:val="0"/>
      <w:adjustRightInd w:val="0"/>
      <w:jc w:val="center"/>
      <w:textAlignment w:val="baseline"/>
    </w:pPr>
    <w:rPr>
      <w:rFonts w:ascii="Calibri" w:hAnsi="Calibri" w:cs="Calibri"/>
      <w:bCs/>
      <w:kern w:val="0"/>
      <w:szCs w:val="21"/>
    </w:rPr>
  </w:style>
  <w:style w:type="paragraph" w:customStyle="1" w:styleId="3820">
    <w:name w:val="样式 样式 首行缩进:  2 字符2 + 首行缩进:  2 字符"/>
    <w:basedOn w:val="2355"/>
    <w:semiHidden/>
    <w:qFormat/>
    <w:uiPriority w:val="0"/>
    <w:pPr>
      <w:spacing w:line="360" w:lineRule="auto"/>
    </w:pPr>
  </w:style>
  <w:style w:type="paragraph" w:customStyle="1" w:styleId="3821">
    <w:name w:val="纯文本 + Times New Roman"/>
    <w:basedOn w:val="47"/>
    <w:semiHidden/>
    <w:qFormat/>
    <w:uiPriority w:val="0"/>
    <w:pPr>
      <w:pBdr>
        <w:bottom w:val="single" w:color="auto" w:sz="6" w:space="1"/>
      </w:pBdr>
      <w:spacing w:line="240" w:lineRule="auto"/>
      <w:ind w:firstLine="0" w:firstLineChars="0"/>
      <w:jc w:val="center"/>
    </w:pPr>
    <w:rPr>
      <w:rFonts w:ascii="Times New Roman" w:hAnsi="Times New Roman" w:cs="Calibri"/>
      <w:szCs w:val="21"/>
      <w:lang w:val="en-US"/>
    </w:rPr>
  </w:style>
  <w:style w:type="paragraph" w:customStyle="1" w:styleId="3822">
    <w:name w:val="Char Char Char Char Char Char Char Char Char Char Char Char Char Char Char Char Char Char Char Char Char Char Char Char Char Char Char Char Char Char Char Char Char Char Char Char Char Char2"/>
    <w:basedOn w:val="1"/>
    <w:semiHidden/>
    <w:qFormat/>
    <w:uiPriority w:val="0"/>
    <w:rPr>
      <w:rFonts w:ascii="Calibri" w:hAnsi="Calibri" w:cs="Calibri"/>
      <w:sz w:val="24"/>
    </w:rPr>
  </w:style>
  <w:style w:type="paragraph" w:customStyle="1" w:styleId="3823">
    <w:name w:val="Char Char Char1 Char Char Char Char Char Char1"/>
    <w:basedOn w:val="1"/>
    <w:qFormat/>
    <w:uiPriority w:val="99"/>
    <w:rPr>
      <w:rFonts w:ascii="Calibri" w:hAnsi="Calibri" w:cs="Calibri"/>
      <w:szCs w:val="21"/>
    </w:rPr>
  </w:style>
  <w:style w:type="paragraph" w:customStyle="1" w:styleId="3824">
    <w:name w:val="罗列"/>
    <w:basedOn w:val="1"/>
    <w:semiHidden/>
    <w:qFormat/>
    <w:uiPriority w:val="0"/>
    <w:pPr>
      <w:tabs>
        <w:tab w:val="left" w:pos="964"/>
      </w:tabs>
      <w:snapToGrid w:val="0"/>
      <w:spacing w:line="300" w:lineRule="auto"/>
    </w:pPr>
    <w:rPr>
      <w:rFonts w:ascii="@黑体" w:hAnsi="@黑体" w:eastAsia="黑体" w:cs="Calibri"/>
      <w:spacing w:val="4"/>
      <w:sz w:val="28"/>
      <w:szCs w:val="20"/>
    </w:rPr>
  </w:style>
  <w:style w:type="paragraph" w:customStyle="1" w:styleId="3825">
    <w:name w:val="Char1 Char Char Char Char Char Char11"/>
    <w:basedOn w:val="1"/>
    <w:qFormat/>
    <w:uiPriority w:val="99"/>
    <w:rPr>
      <w:rFonts w:ascii="Calibri" w:hAnsi="Calibri" w:cs="Calibri"/>
      <w:sz w:val="24"/>
    </w:rPr>
  </w:style>
  <w:style w:type="paragraph" w:customStyle="1" w:styleId="3826">
    <w:name w:val="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3827">
    <w:name w:val="字元 字元3 字元3"/>
    <w:basedOn w:val="1"/>
    <w:next w:val="1"/>
    <w:semiHidden/>
    <w:qFormat/>
    <w:uiPriority w:val="0"/>
    <w:pPr>
      <w:spacing w:line="360" w:lineRule="auto"/>
      <w:ind w:firstLine="200" w:firstLineChars="200"/>
    </w:pPr>
    <w:rPr>
      <w:rFonts w:ascii="Calibri" w:hAnsi="Calibri" w:cs="Calibri"/>
      <w:szCs w:val="20"/>
    </w:rPr>
  </w:style>
  <w:style w:type="paragraph" w:customStyle="1" w:styleId="3828">
    <w:name w:val="样式4.1.1.1"/>
    <w:basedOn w:val="1"/>
    <w:semiHidden/>
    <w:qFormat/>
    <w:uiPriority w:val="0"/>
    <w:pPr>
      <w:numPr>
        <w:ilvl w:val="3"/>
        <w:numId w:val="19"/>
      </w:numPr>
      <w:tabs>
        <w:tab w:val="left" w:pos="0"/>
      </w:tabs>
      <w:spacing w:before="50" w:beforeLines="50" w:line="360" w:lineRule="auto"/>
      <w:outlineLvl w:val="3"/>
    </w:pPr>
    <w:rPr>
      <w:rFonts w:ascii="Calibri" w:hAnsi="Calibri" w:cs="Calibri"/>
      <w:b/>
      <w:bCs/>
      <w:sz w:val="24"/>
    </w:rPr>
  </w:style>
  <w:style w:type="paragraph" w:customStyle="1" w:styleId="3829">
    <w:name w:val="正文小五居中"/>
    <w:basedOn w:val="1"/>
    <w:semiHidden/>
    <w:qFormat/>
    <w:uiPriority w:val="0"/>
    <w:pPr>
      <w:jc w:val="center"/>
    </w:pPr>
    <w:rPr>
      <w:rFonts w:ascii="Calibri" w:hAnsi="Calibri" w:cs="宋体"/>
      <w:sz w:val="18"/>
      <w:szCs w:val="20"/>
    </w:rPr>
  </w:style>
  <w:style w:type="paragraph" w:customStyle="1" w:styleId="3830">
    <w:name w:val="hb3"/>
    <w:basedOn w:val="5"/>
    <w:semiHidden/>
    <w:qFormat/>
    <w:uiPriority w:val="0"/>
    <w:pPr>
      <w:numPr>
        <w:ilvl w:val="0"/>
        <w:numId w:val="0"/>
      </w:numPr>
      <w:adjustRightInd w:val="0"/>
      <w:spacing w:line="480" w:lineRule="exact"/>
      <w:textAlignment w:val="baseline"/>
    </w:pPr>
    <w:rPr>
      <w:rFonts w:ascii="宋体" w:hAnsi="宋体" w:cs="Calibri"/>
      <w:b w:val="0"/>
      <w:bCs w:val="0"/>
      <w:kern w:val="0"/>
      <w:sz w:val="24"/>
      <w:lang w:val="en-US"/>
    </w:rPr>
  </w:style>
  <w:style w:type="paragraph" w:customStyle="1" w:styleId="3831">
    <w:name w:val="Char1 Char Char Char Char Char Char3"/>
    <w:basedOn w:val="1"/>
    <w:qFormat/>
    <w:uiPriority w:val="99"/>
    <w:pPr>
      <w:widowControl/>
      <w:spacing w:before="100" w:beforeAutospacing="1" w:after="100" w:afterAutospacing="1"/>
      <w:ind w:firstLine="200" w:firstLineChars="200"/>
      <w:jc w:val="left"/>
    </w:pPr>
    <w:rPr>
      <w:rFonts w:ascii="Verdana" w:hAnsi="Verdana" w:eastAsia="仿宋_GB2312" w:cs="Calibri"/>
      <w:kern w:val="0"/>
      <w:sz w:val="20"/>
      <w:szCs w:val="21"/>
      <w:lang w:eastAsia="en-US"/>
    </w:rPr>
  </w:style>
  <w:style w:type="paragraph" w:customStyle="1" w:styleId="3832">
    <w:name w:val="xl117"/>
    <w:basedOn w:val="1"/>
    <w:qFormat/>
    <w:uiPriority w:val="0"/>
    <w:pPr>
      <w:widowControl/>
      <w:pBdr>
        <w:left w:val="single" w:color="auto" w:sz="8" w:space="0"/>
      </w:pBdr>
      <w:spacing w:before="100" w:beforeAutospacing="1" w:after="100" w:afterAutospacing="1"/>
      <w:jc w:val="left"/>
    </w:pPr>
    <w:rPr>
      <w:rFonts w:ascii="Arial Unicode MS" w:hAnsi="Arial Unicode MS" w:cs="Calibri"/>
      <w:kern w:val="0"/>
    </w:rPr>
  </w:style>
  <w:style w:type="paragraph" w:customStyle="1" w:styleId="3833">
    <w:name w:val="Char6 Char Char Char1 Char Char Char21"/>
    <w:basedOn w:val="1"/>
    <w:semiHidden/>
    <w:qFormat/>
    <w:uiPriority w:val="0"/>
    <w:rPr>
      <w:rFonts w:ascii="Calibri" w:hAnsi="Calibri" w:cs="Calibri"/>
      <w:szCs w:val="21"/>
    </w:rPr>
  </w:style>
  <w:style w:type="paragraph" w:customStyle="1" w:styleId="3834">
    <w:name w:val="表格文字居左"/>
    <w:basedOn w:val="88"/>
    <w:qFormat/>
    <w:uiPriority w:val="99"/>
    <w:pPr>
      <w:widowControl w:val="0"/>
      <w:tabs>
        <w:tab w:val="left" w:pos="628"/>
        <w:tab w:val="left" w:pos="1727"/>
        <w:tab w:val="left" w:pos="1884"/>
      </w:tabs>
      <w:snapToGrid w:val="0"/>
      <w:spacing w:before="50" w:after="100" w:afterAutospacing="1"/>
      <w:ind w:left="26" w:firstLine="0" w:firstLineChars="0"/>
      <w:outlineLvl w:val="0"/>
    </w:pPr>
    <w:rPr>
      <w:rFonts w:cs="Calibri"/>
      <w:sz w:val="24"/>
      <w:szCs w:val="28"/>
    </w:rPr>
  </w:style>
  <w:style w:type="paragraph" w:customStyle="1" w:styleId="3835">
    <w:name w:val="正文缩进5"/>
    <w:basedOn w:val="1"/>
    <w:qFormat/>
    <w:uiPriority w:val="99"/>
    <w:pPr>
      <w:adjustRightInd w:val="0"/>
      <w:ind w:firstLine="420" w:firstLineChars="200"/>
      <w:textAlignment w:val="baseline"/>
    </w:pPr>
    <w:rPr>
      <w:rFonts w:hint="eastAsia" w:ascii="Calibri" w:hAnsi="宋体" w:cs="Calibri"/>
      <w:sz w:val="24"/>
      <w:szCs w:val="20"/>
    </w:rPr>
  </w:style>
  <w:style w:type="paragraph" w:customStyle="1" w:styleId="3836">
    <w:name w:val="reader-word-layer reader-word-s4-0"/>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837">
    <w:name w:val="Char Char Char Char Char Char Char Char Char Char Char1 Char Char Char Char Char Char3"/>
    <w:basedOn w:val="1"/>
    <w:semiHidden/>
    <w:qFormat/>
    <w:uiPriority w:val="0"/>
    <w:rPr>
      <w:rFonts w:ascii="Calibri" w:hAnsi="Calibri" w:cs="Calibri"/>
      <w:sz w:val="24"/>
    </w:rPr>
  </w:style>
  <w:style w:type="paragraph" w:customStyle="1" w:styleId="3838">
    <w:name w:val="_Style 1"/>
    <w:basedOn w:val="1"/>
    <w:next w:val="23"/>
    <w:qFormat/>
    <w:uiPriority w:val="0"/>
    <w:pPr>
      <w:adjustRightInd w:val="0"/>
      <w:spacing w:line="288" w:lineRule="auto"/>
      <w:ind w:firstLine="480"/>
      <w:textAlignment w:val="baseline"/>
    </w:pPr>
    <w:rPr>
      <w:rFonts w:ascii="宋体" w:hAnsi="宋体" w:cs="宋体"/>
      <w:sz w:val="24"/>
    </w:rPr>
  </w:style>
  <w:style w:type="paragraph" w:customStyle="1" w:styleId="3839">
    <w:name w:val="Char Char Char Char Char Char Char Char Char Char Char Char Char Char Char Char3"/>
    <w:basedOn w:val="1"/>
    <w:qFormat/>
    <w:uiPriority w:val="99"/>
    <w:rPr>
      <w:rFonts w:ascii="Calibri" w:hAnsi="Calibri" w:cs="Calibri"/>
    </w:rPr>
  </w:style>
  <w:style w:type="paragraph" w:customStyle="1" w:styleId="3840">
    <w:name w:val="表后文"/>
    <w:basedOn w:val="1"/>
    <w:qFormat/>
    <w:uiPriority w:val="99"/>
    <w:pPr>
      <w:adjustRightInd w:val="0"/>
      <w:spacing w:before="120" w:line="360" w:lineRule="auto"/>
      <w:ind w:firstLine="493"/>
      <w:textAlignment w:val="baseline"/>
    </w:pPr>
    <w:rPr>
      <w:rFonts w:ascii="宋体" w:hAnsi="宋体" w:cs="Calibri"/>
      <w:spacing w:val="-2"/>
      <w:kern w:val="0"/>
      <w:sz w:val="24"/>
      <w:szCs w:val="20"/>
    </w:rPr>
  </w:style>
  <w:style w:type="paragraph" w:customStyle="1" w:styleId="3841">
    <w:name w:val="xl226"/>
    <w:basedOn w:val="1"/>
    <w:semiHidden/>
    <w:qFormat/>
    <w:uiPriority w:val="0"/>
    <w:pPr>
      <w:widowControl/>
      <w:pBdr>
        <w:left w:val="single" w:color="auto" w:sz="8" w:space="0"/>
        <w:right w:val="single" w:color="auto" w:sz="12" w:space="0"/>
      </w:pBdr>
      <w:spacing w:before="100" w:beforeAutospacing="1" w:after="100" w:afterAutospacing="1"/>
      <w:jc w:val="center"/>
    </w:pPr>
    <w:rPr>
      <w:rFonts w:ascii="Calibri" w:hAnsi="Calibri" w:cs="Calibri"/>
      <w:color w:val="FFFF00"/>
      <w:kern w:val="0"/>
      <w:sz w:val="18"/>
      <w:szCs w:val="18"/>
    </w:rPr>
  </w:style>
  <w:style w:type="paragraph" w:customStyle="1" w:styleId="3842">
    <w:name w:val="Char Char Char Char7"/>
    <w:basedOn w:val="1"/>
    <w:semiHidden/>
    <w:qFormat/>
    <w:uiPriority w:val="0"/>
    <w:rPr>
      <w:rFonts w:ascii="Calibri" w:hAnsi="Calibri" w:cs="Calibri"/>
      <w:sz w:val="24"/>
    </w:rPr>
  </w:style>
  <w:style w:type="paragraph" w:customStyle="1" w:styleId="3843">
    <w:name w:val="样式 标题 1 + 加宽量  5 磅"/>
    <w:basedOn w:val="3"/>
    <w:semiHidden/>
    <w:qFormat/>
    <w:uiPriority w:val="0"/>
    <w:pPr>
      <w:keepNext w:val="0"/>
      <w:overflowPunct/>
      <w:adjustRightInd w:val="0"/>
      <w:spacing w:before="0" w:after="0" w:line="360" w:lineRule="auto"/>
      <w:ind w:left="0" w:firstLine="0"/>
      <w:jc w:val="center"/>
    </w:pPr>
    <w:rPr>
      <w:rFonts w:ascii="宋体" w:hAnsi="宋体" w:eastAsia="宋体"/>
      <w:b w:val="0"/>
      <w:color w:val="auto"/>
      <w:spacing w:val="100"/>
      <w:kern w:val="0"/>
      <w:sz w:val="28"/>
      <w:szCs w:val="32"/>
    </w:rPr>
  </w:style>
  <w:style w:type="paragraph" w:customStyle="1" w:styleId="3844">
    <w:name w:val="样式 楷体_GB2312 四号 首行缩进:  2 字符"/>
    <w:basedOn w:val="1"/>
    <w:semiHidden/>
    <w:qFormat/>
    <w:uiPriority w:val="0"/>
    <w:pPr>
      <w:ind w:firstLine="560" w:firstLineChars="200"/>
    </w:pPr>
    <w:rPr>
      <w:rFonts w:ascii="楷体_GB2312" w:hAnsi="楷体_GB2312" w:eastAsia="仿宋_GB2312" w:cs="Calibri"/>
      <w:sz w:val="28"/>
      <w:szCs w:val="20"/>
    </w:rPr>
  </w:style>
  <w:style w:type="paragraph" w:customStyle="1" w:styleId="3845">
    <w:name w:val="Char2 Char Char Char Char Char"/>
    <w:basedOn w:val="1"/>
    <w:qFormat/>
    <w:uiPriority w:val="0"/>
    <w:rPr>
      <w:rFonts w:ascii="Calibri" w:hAnsi="Calibri" w:cs="Calibri"/>
      <w:sz w:val="24"/>
    </w:rPr>
  </w:style>
  <w:style w:type="paragraph" w:customStyle="1" w:styleId="3846">
    <w:name w:val="政府正文"/>
    <w:basedOn w:val="1"/>
    <w:semiHidden/>
    <w:qFormat/>
    <w:uiPriority w:val="0"/>
    <w:pPr>
      <w:adjustRightInd w:val="0"/>
      <w:snapToGrid w:val="0"/>
      <w:spacing w:after="156" w:afterLines="50" w:line="360" w:lineRule="auto"/>
      <w:ind w:firstLine="200" w:firstLineChars="200"/>
    </w:pPr>
    <w:rPr>
      <w:rFonts w:ascii="@黑体" w:hAnsi="@黑体" w:eastAsia="Tahoma" w:cs="@黑体"/>
      <w:sz w:val="28"/>
      <w:szCs w:val="28"/>
    </w:rPr>
  </w:style>
  <w:style w:type="paragraph" w:customStyle="1" w:styleId="3847">
    <w:name w:val="样式 正文(首行缩进) + 8 磅 加粗 首行缩进:  2 字符1"/>
    <w:basedOn w:val="1"/>
    <w:qFormat/>
    <w:uiPriority w:val="99"/>
    <w:pPr>
      <w:adjustRightInd w:val="0"/>
      <w:snapToGrid w:val="0"/>
      <w:ind w:firstLine="200" w:firstLineChars="200"/>
    </w:pPr>
    <w:rPr>
      <w:rFonts w:ascii="Calibri" w:hAnsi="Calibri" w:cs="宋体"/>
      <w:b/>
      <w:bCs/>
      <w:snapToGrid w:val="0"/>
      <w:kern w:val="0"/>
      <w:sz w:val="16"/>
      <w:szCs w:val="20"/>
    </w:rPr>
  </w:style>
  <w:style w:type="paragraph" w:customStyle="1" w:styleId="3848">
    <w:name w:val="批注文字 Char Char"/>
    <w:basedOn w:val="1"/>
    <w:qFormat/>
    <w:uiPriority w:val="99"/>
    <w:pPr>
      <w:spacing w:line="351" w:lineRule="atLeast"/>
      <w:ind w:firstLine="419"/>
      <w:jc w:val="left"/>
    </w:pPr>
    <w:rPr>
      <w:rFonts w:hint="eastAsia" w:ascii="Calibri" w:hAnsi="Calibri" w:cs="Calibri"/>
      <w:szCs w:val="20"/>
    </w:rPr>
  </w:style>
  <w:style w:type="paragraph" w:customStyle="1" w:styleId="3849">
    <w:name w:val="字元3"/>
    <w:basedOn w:val="1"/>
    <w:qFormat/>
    <w:uiPriority w:val="99"/>
    <w:rPr>
      <w:rFonts w:ascii="Calibri" w:hAnsi="Calibri" w:cs="Calibri"/>
      <w:sz w:val="24"/>
    </w:rPr>
  </w:style>
  <w:style w:type="paragraph" w:customStyle="1" w:styleId="3850">
    <w:name w:val="Char Char Char Char Char Char Char Char1 Char Char Char Char Char Char Char Char Char Char Char Char3"/>
    <w:basedOn w:val="1"/>
    <w:semiHidden/>
    <w:qFormat/>
    <w:uiPriority w:val="0"/>
    <w:rPr>
      <w:rFonts w:ascii="Calibri" w:hAnsi="Calibri" w:cs="Calibri"/>
      <w:sz w:val="24"/>
    </w:rPr>
  </w:style>
  <w:style w:type="paragraph" w:customStyle="1" w:styleId="3851">
    <w:name w:val="xl294"/>
    <w:basedOn w:val="1"/>
    <w:semiHidden/>
    <w:qFormat/>
    <w:uiPriority w:val="0"/>
    <w:pPr>
      <w:widowControl/>
      <w:pBdr>
        <w:bottom w:val="single" w:color="auto" w:sz="8" w:space="0"/>
        <w:right w:val="single" w:color="auto" w:sz="8" w:space="0"/>
      </w:pBdr>
      <w:spacing w:before="100" w:beforeAutospacing="1" w:after="100" w:afterAutospacing="1"/>
      <w:jc w:val="center"/>
    </w:pPr>
    <w:rPr>
      <w:rFonts w:ascii="宋体" w:hAnsi="宋体" w:cs="宋体"/>
      <w:color w:val="993300"/>
      <w:kern w:val="0"/>
      <w:sz w:val="18"/>
      <w:szCs w:val="18"/>
    </w:rPr>
  </w:style>
  <w:style w:type="paragraph" w:customStyle="1" w:styleId="3852">
    <w:name w:val="註解方塊文字"/>
    <w:basedOn w:val="1"/>
    <w:qFormat/>
    <w:uiPriority w:val="0"/>
    <w:rPr>
      <w:rFonts w:ascii="Arial" w:hAnsi="Arial" w:eastAsia="PMingLiU" w:cs="Calibri"/>
      <w:sz w:val="18"/>
      <w:szCs w:val="20"/>
    </w:rPr>
  </w:style>
  <w:style w:type="paragraph" w:customStyle="1" w:styleId="3853">
    <w:name w:val="Char1 Char Char2"/>
    <w:basedOn w:val="1"/>
    <w:semiHidden/>
    <w:qFormat/>
    <w:uiPriority w:val="0"/>
    <w:rPr>
      <w:rFonts w:ascii="Calibri" w:hAnsi="Calibri" w:cs="Calibri"/>
      <w:szCs w:val="20"/>
    </w:rPr>
  </w:style>
  <w:style w:type="paragraph" w:customStyle="1" w:styleId="3854">
    <w:name w:val="Char Char Char Char Char Char Char Char Char1 Char Char Char Char Char Char Char Char1 Char Char Char2"/>
    <w:basedOn w:val="1"/>
    <w:qFormat/>
    <w:uiPriority w:val="99"/>
    <w:pPr>
      <w:snapToGrid w:val="0"/>
      <w:spacing w:line="360" w:lineRule="auto"/>
      <w:ind w:firstLine="200" w:firstLineChars="200"/>
    </w:pPr>
    <w:rPr>
      <w:rFonts w:ascii="Calibri" w:hAnsi="Calibri" w:eastAsia="仿宋_GB2312" w:cs="Calibri"/>
      <w:sz w:val="24"/>
    </w:rPr>
  </w:style>
  <w:style w:type="paragraph" w:customStyle="1" w:styleId="3855">
    <w:name w:val="样式 标题 3 + 仿宋_GB2312"/>
    <w:basedOn w:val="5"/>
    <w:link w:val="3856"/>
    <w:qFormat/>
    <w:uiPriority w:val="99"/>
    <w:pPr>
      <w:numPr>
        <w:ilvl w:val="0"/>
        <w:numId w:val="0"/>
      </w:numPr>
      <w:adjustRightInd w:val="0"/>
      <w:spacing w:before="0" w:after="0" w:line="360" w:lineRule="auto"/>
      <w:ind w:firstLine="200" w:firstLineChars="200"/>
    </w:pPr>
    <w:rPr>
      <w:rFonts w:ascii="仿宋_GB2312" w:hAnsi="仿宋_GB2312" w:eastAsia="仿宋_GB2312" w:cs="Calibri"/>
      <w:bCs w:val="0"/>
      <w:kern w:val="0"/>
      <w:sz w:val="24"/>
      <w:szCs w:val="24"/>
      <w:lang w:val="en-US"/>
    </w:rPr>
  </w:style>
  <w:style w:type="character" w:customStyle="1" w:styleId="3856">
    <w:name w:val="样式 标题 3 + 仿宋_GB2312 Char Char"/>
    <w:link w:val="3855"/>
    <w:qFormat/>
    <w:uiPriority w:val="99"/>
    <w:rPr>
      <w:rFonts w:ascii="仿宋_GB2312" w:hAnsi="仿宋_GB2312" w:eastAsia="仿宋_GB2312" w:cs="Calibri"/>
      <w:b/>
      <w:sz w:val="24"/>
      <w:szCs w:val="24"/>
    </w:rPr>
  </w:style>
  <w:style w:type="paragraph" w:customStyle="1" w:styleId="3857">
    <w:name w:val="9css2"/>
    <w:basedOn w:val="1"/>
    <w:qFormat/>
    <w:uiPriority w:val="99"/>
    <w:pPr>
      <w:widowControl/>
      <w:spacing w:before="100" w:beforeAutospacing="1" w:after="100" w:afterAutospacing="1" w:line="240" w:lineRule="atLeast"/>
      <w:jc w:val="left"/>
    </w:pPr>
    <w:rPr>
      <w:rFonts w:ascii="宋体" w:hAnsi="宋体" w:cs="Calibri"/>
      <w:color w:val="000000"/>
      <w:kern w:val="0"/>
      <w:sz w:val="18"/>
      <w:szCs w:val="18"/>
    </w:rPr>
  </w:style>
  <w:style w:type="paragraph" w:customStyle="1" w:styleId="3858">
    <w:name w:val="xl281"/>
    <w:basedOn w:val="1"/>
    <w:semiHidden/>
    <w:qFormat/>
    <w:uiPriority w:val="0"/>
    <w:pPr>
      <w:widowControl/>
      <w:pBdr>
        <w:top w:val="single" w:color="auto" w:sz="8" w:space="0"/>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859">
    <w:name w:val="字元 字元11"/>
    <w:basedOn w:val="1"/>
    <w:semiHidden/>
    <w:qFormat/>
    <w:uiPriority w:val="0"/>
    <w:rPr>
      <w:rFonts w:ascii="Calibri" w:hAnsi="Calibri" w:cs="Calibri"/>
      <w:szCs w:val="20"/>
    </w:rPr>
  </w:style>
  <w:style w:type="paragraph" w:customStyle="1" w:styleId="3860">
    <w:name w:val="Char Char Char1 Char Char Char Char Char Char Char Char Char Char Char Char Char Char Char1 Char Char Char Char Char Char Char Char Char Char Char Char Char Char Char Char Char Char Char Char Char Char Char Char Char Char Char1"/>
    <w:basedOn w:val="1"/>
    <w:qFormat/>
    <w:uiPriority w:val="99"/>
    <w:pPr>
      <w:spacing w:line="240" w:lineRule="exact"/>
      <w:ind w:firstLine="200" w:firstLineChars="200"/>
    </w:pPr>
    <w:rPr>
      <w:rFonts w:ascii="Calibri" w:hAnsi="Calibri" w:cs="Calibri"/>
      <w:sz w:val="28"/>
      <w:szCs w:val="28"/>
    </w:rPr>
  </w:style>
  <w:style w:type="paragraph" w:customStyle="1" w:styleId="3861">
    <w:name w:val="font19"/>
    <w:basedOn w:val="1"/>
    <w:qFormat/>
    <w:uiPriority w:val="0"/>
    <w:pPr>
      <w:widowControl/>
      <w:spacing w:before="100" w:beforeAutospacing="1" w:after="100" w:afterAutospacing="1"/>
      <w:jc w:val="left"/>
    </w:pPr>
    <w:rPr>
      <w:rFonts w:ascii="Calibri" w:hAnsi="Calibri" w:cs="Calibri"/>
      <w:color w:val="CC99FF"/>
      <w:kern w:val="0"/>
      <w:sz w:val="18"/>
      <w:szCs w:val="18"/>
    </w:rPr>
  </w:style>
  <w:style w:type="paragraph" w:customStyle="1" w:styleId="3862">
    <w:name w:val="样式 样式 标题 4 + (西文) Times New Roman (中文) 宋体 非加粗 段前: 0 磅 段后: 0 磅 ....."/>
    <w:basedOn w:val="1"/>
    <w:semiHidden/>
    <w:qFormat/>
    <w:uiPriority w:val="0"/>
    <w:pPr>
      <w:tabs>
        <w:tab w:val="left" w:pos="993"/>
        <w:tab w:val="left" w:pos="1134"/>
        <w:tab w:val="left" w:pos="1276"/>
        <w:tab w:val="left" w:pos="1418"/>
        <w:tab w:val="left" w:pos="1701"/>
      </w:tabs>
      <w:spacing w:before="100" w:beforeAutospacing="1" w:line="520" w:lineRule="exact"/>
      <w:ind w:firstLine="560" w:firstLineChars="200"/>
    </w:pPr>
    <w:rPr>
      <w:rFonts w:ascii="宋体" w:hAnsi="宋体" w:cs="Calibri"/>
      <w:kern w:val="18"/>
      <w:sz w:val="28"/>
      <w:szCs w:val="28"/>
      <w:lang w:val="zh-CN"/>
    </w:rPr>
  </w:style>
  <w:style w:type="paragraph" w:customStyle="1" w:styleId="3863">
    <w:name w:val="Char Char Char Char Char Char2 Char Char Char Char"/>
    <w:basedOn w:val="1"/>
    <w:semiHidden/>
    <w:qFormat/>
    <w:uiPriority w:val="0"/>
    <w:rPr>
      <w:rFonts w:ascii="@黑体" w:hAnsi="@黑体" w:eastAsia="黑体" w:cs="Calibri"/>
    </w:rPr>
  </w:style>
  <w:style w:type="paragraph" w:customStyle="1" w:styleId="3864">
    <w:name w:val="标准文本 居中 单倍行距 Char Char"/>
    <w:basedOn w:val="1"/>
    <w:semiHidden/>
    <w:qFormat/>
    <w:uiPriority w:val="0"/>
    <w:pPr>
      <w:adjustRightInd w:val="0"/>
      <w:snapToGrid w:val="0"/>
      <w:jc w:val="center"/>
      <w:textAlignment w:val="center"/>
    </w:pPr>
    <w:rPr>
      <w:rFonts w:ascii="Calibri" w:hAnsi="Calibri" w:cs="宋体"/>
      <w:sz w:val="24"/>
    </w:rPr>
  </w:style>
  <w:style w:type="paragraph" w:customStyle="1" w:styleId="3865">
    <w:name w:val="xl303"/>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宋体" w:hAnsi="宋体" w:cs="宋体"/>
      <w:color w:val="993300"/>
      <w:kern w:val="0"/>
      <w:sz w:val="18"/>
      <w:szCs w:val="18"/>
    </w:rPr>
  </w:style>
  <w:style w:type="paragraph" w:customStyle="1" w:styleId="3866">
    <w:name w:val="样式 首行缩进 + 四号 首行缩进:  2 字符 行距: 单倍行距"/>
    <w:basedOn w:val="1"/>
    <w:qFormat/>
    <w:uiPriority w:val="99"/>
    <w:pPr>
      <w:snapToGrid w:val="0"/>
      <w:spacing w:line="360" w:lineRule="auto"/>
    </w:pPr>
    <w:rPr>
      <w:rFonts w:ascii="Calibri" w:hAnsi="宋体" w:cs="Calibri"/>
      <w:sz w:val="28"/>
      <w:szCs w:val="20"/>
    </w:rPr>
  </w:style>
  <w:style w:type="paragraph" w:customStyle="1" w:styleId="3867">
    <w:name w:val="文档正文"/>
    <w:basedOn w:val="1"/>
    <w:qFormat/>
    <w:uiPriority w:val="0"/>
    <w:pPr>
      <w:adjustRightInd w:val="0"/>
      <w:spacing w:line="480" w:lineRule="atLeast"/>
      <w:ind w:firstLine="567"/>
      <w:textAlignment w:val="baseline"/>
    </w:pPr>
    <w:rPr>
      <w:rFonts w:ascii="宋体" w:hAnsi="Calibri" w:cs="Calibri"/>
      <w:kern w:val="0"/>
      <w:sz w:val="24"/>
      <w:szCs w:val="20"/>
    </w:rPr>
  </w:style>
  <w:style w:type="paragraph" w:customStyle="1" w:styleId="3868">
    <w:name w:val="Body Text Indent1"/>
    <w:basedOn w:val="1"/>
    <w:qFormat/>
    <w:uiPriority w:val="99"/>
    <w:pPr>
      <w:spacing w:after="120" w:line="360" w:lineRule="auto"/>
      <w:ind w:left="420" w:leftChars="200" w:firstLine="200" w:firstLineChars="200"/>
    </w:pPr>
    <w:rPr>
      <w:rFonts w:ascii="Calibri" w:hAnsi="Calibri" w:cs="Calibri"/>
      <w:sz w:val="24"/>
    </w:rPr>
  </w:style>
  <w:style w:type="paragraph" w:customStyle="1" w:styleId="3869">
    <w:name w:val="Char Char Char Char Char Char Char Char Char Char Char Char Char3"/>
    <w:basedOn w:val="1"/>
    <w:qFormat/>
    <w:uiPriority w:val="99"/>
    <w:pPr>
      <w:widowControl/>
      <w:spacing w:after="160" w:line="240" w:lineRule="exact"/>
      <w:jc w:val="left"/>
    </w:pPr>
    <w:rPr>
      <w:rFonts w:ascii="Arial" w:hAnsi="Arial" w:eastAsia="Times New Roman" w:cs="Verdana"/>
      <w:b/>
      <w:kern w:val="0"/>
      <w:sz w:val="24"/>
      <w:lang w:eastAsia="en-US"/>
    </w:rPr>
  </w:style>
  <w:style w:type="paragraph" w:customStyle="1" w:styleId="3870">
    <w:name w:val="样式11.4"/>
    <w:basedOn w:val="1"/>
    <w:semiHidden/>
    <w:qFormat/>
    <w:uiPriority w:val="0"/>
    <w:pPr>
      <w:tabs>
        <w:tab w:val="left" w:pos="0"/>
        <w:tab w:val="left" w:pos="567"/>
      </w:tabs>
      <w:spacing w:before="50" w:beforeLines="50" w:line="360" w:lineRule="auto"/>
      <w:ind w:left="425" w:firstLine="142"/>
      <w:outlineLvl w:val="2"/>
    </w:pPr>
    <w:rPr>
      <w:rFonts w:ascii="Calibri" w:hAnsi="Calibri" w:cs="Calibri"/>
      <w:b/>
      <w:sz w:val="28"/>
      <w:szCs w:val="28"/>
    </w:rPr>
  </w:style>
  <w:style w:type="paragraph" w:customStyle="1" w:styleId="3871">
    <w:name w:val="xl62"/>
    <w:basedOn w:val="1"/>
    <w:qFormat/>
    <w:uiPriority w:val="0"/>
    <w:pPr>
      <w:widowControl/>
      <w:pBdr>
        <w:bottom w:val="single" w:color="auto" w:sz="12" w:space="0"/>
      </w:pBdr>
      <w:spacing w:before="100" w:beforeAutospacing="1" w:after="100" w:afterAutospacing="1"/>
      <w:jc w:val="center"/>
      <w:textAlignment w:val="center"/>
    </w:pPr>
    <w:rPr>
      <w:rFonts w:ascii="Calibri" w:hAnsi="Calibri" w:cs="Calibri"/>
      <w:kern w:val="0"/>
      <w:sz w:val="12"/>
      <w:szCs w:val="12"/>
    </w:rPr>
  </w:style>
  <w:style w:type="paragraph" w:customStyle="1" w:styleId="3872">
    <w:name w:val="Char6 Char Char Char1 Char Char Char11"/>
    <w:basedOn w:val="1"/>
    <w:semiHidden/>
    <w:qFormat/>
    <w:uiPriority w:val="0"/>
    <w:rPr>
      <w:rFonts w:ascii="Calibri" w:hAnsi="Calibri" w:cs="Calibri"/>
      <w:szCs w:val="21"/>
    </w:rPr>
  </w:style>
  <w:style w:type="paragraph" w:customStyle="1" w:styleId="3873">
    <w:name w:val="Char Char Char Char Char Char Char Char Char Char Char Char Char Char Char Char Char Char Char Char Char Char Char Char Char Char13"/>
    <w:basedOn w:val="1"/>
    <w:semiHidden/>
    <w:qFormat/>
    <w:uiPriority w:val="0"/>
    <w:rPr>
      <w:rFonts w:ascii="Calibri" w:hAnsi="Calibri" w:cs="Calibri"/>
      <w:sz w:val="24"/>
    </w:rPr>
  </w:style>
  <w:style w:type="paragraph" w:customStyle="1" w:styleId="3874">
    <w:name w:val="框图"/>
    <w:basedOn w:val="1"/>
    <w:qFormat/>
    <w:uiPriority w:val="0"/>
    <w:pPr>
      <w:adjustRightInd w:val="0"/>
      <w:snapToGrid w:val="0"/>
      <w:jc w:val="center"/>
    </w:pPr>
    <w:rPr>
      <w:rFonts w:ascii="仿宋_GB2312" w:hAnsi="Calibri" w:eastAsia="仿宋_GB2312" w:cs="Calibri"/>
      <w:sz w:val="20"/>
      <w:szCs w:val="20"/>
    </w:rPr>
  </w:style>
  <w:style w:type="paragraph" w:customStyle="1" w:styleId="3875">
    <w:name w:val="我的悬挂"/>
    <w:basedOn w:val="1"/>
    <w:semiHidden/>
    <w:qFormat/>
    <w:uiPriority w:val="0"/>
    <w:pPr>
      <w:tabs>
        <w:tab w:val="left" w:pos="204"/>
      </w:tabs>
      <w:adjustRightInd w:val="0"/>
      <w:spacing w:line="360" w:lineRule="auto"/>
      <w:ind w:left="204" w:hanging="204"/>
      <w:jc w:val="left"/>
      <w:textAlignment w:val="baseline"/>
    </w:pPr>
    <w:rPr>
      <w:rFonts w:ascii="@黑体" w:hAnsi="@黑体" w:eastAsia="黑体" w:cs="Calibri"/>
      <w:spacing w:val="20"/>
      <w:kern w:val="0"/>
      <w:sz w:val="24"/>
      <w:szCs w:val="32"/>
    </w:rPr>
  </w:style>
  <w:style w:type="paragraph" w:customStyle="1" w:styleId="3876">
    <w:name w:val="标题一"/>
    <w:basedOn w:val="1"/>
    <w:next w:val="1"/>
    <w:qFormat/>
    <w:uiPriority w:val="99"/>
    <w:pPr>
      <w:numPr>
        <w:ilvl w:val="0"/>
        <w:numId w:val="20"/>
      </w:numPr>
      <w:spacing w:line="1200" w:lineRule="exact"/>
      <w:jc w:val="center"/>
    </w:pPr>
    <w:rPr>
      <w:rFonts w:ascii="Calibri" w:hAnsi="Calibri" w:eastAsia="华文新魏" w:cs="Calibri"/>
      <w:sz w:val="48"/>
      <w:szCs w:val="48"/>
    </w:rPr>
  </w:style>
  <w:style w:type="paragraph" w:customStyle="1" w:styleId="3877">
    <w:name w:val="reader-word-layer reader-word-s3-0"/>
    <w:basedOn w:val="1"/>
    <w:semiHidden/>
    <w:qFormat/>
    <w:uiPriority w:val="0"/>
    <w:pPr>
      <w:widowControl/>
      <w:spacing w:before="100" w:beforeAutospacing="1" w:after="100" w:afterAutospacing="1"/>
      <w:jc w:val="left"/>
    </w:pPr>
    <w:rPr>
      <w:rFonts w:ascii="宋体" w:hAnsi="宋体" w:cs="宋体"/>
      <w:kern w:val="0"/>
      <w:sz w:val="24"/>
    </w:rPr>
  </w:style>
  <w:style w:type="paragraph" w:customStyle="1" w:styleId="3878">
    <w:name w:val="Char Char Char Char Char Char Char Char Char Char4"/>
    <w:basedOn w:val="1"/>
    <w:semiHidden/>
    <w:qFormat/>
    <w:uiPriority w:val="0"/>
    <w:rPr>
      <w:rFonts w:ascii="Calibri" w:hAnsi="Calibri" w:cs="Calibri"/>
      <w:sz w:val="24"/>
    </w:rPr>
  </w:style>
  <w:style w:type="paragraph" w:customStyle="1" w:styleId="3879">
    <w:name w:val="样式 标题 4 + 黑色 左侧:  -0.01 厘米 首行缩进:  0.01 厘米"/>
    <w:basedOn w:val="6"/>
    <w:qFormat/>
    <w:uiPriority w:val="99"/>
    <w:pPr>
      <w:numPr>
        <w:ilvl w:val="0"/>
        <w:numId w:val="0"/>
      </w:numPr>
      <w:tabs>
        <w:tab w:val="left" w:pos="0"/>
        <w:tab w:val="left" w:pos="1080"/>
      </w:tabs>
      <w:adjustRightInd w:val="0"/>
      <w:snapToGrid w:val="0"/>
      <w:spacing w:before="0" w:after="0" w:line="324" w:lineRule="auto"/>
      <w:ind w:left="864" w:hanging="864"/>
    </w:pPr>
    <w:rPr>
      <w:rFonts w:ascii="仿宋_GB2312" w:hAnsi="宋体" w:eastAsia="仿宋_GB2312" w:cs="宋体"/>
      <w:color w:val="000000"/>
    </w:rPr>
  </w:style>
  <w:style w:type="paragraph" w:customStyle="1" w:styleId="3880">
    <w:name w:val="调查表"/>
    <w:basedOn w:val="1"/>
    <w:semiHidden/>
    <w:qFormat/>
    <w:uiPriority w:val="0"/>
    <w:pPr>
      <w:jc w:val="left"/>
    </w:pPr>
    <w:rPr>
      <w:rFonts w:ascii="Calibri" w:hAnsi="宋体" w:cs="宋体"/>
      <w:sz w:val="24"/>
      <w:szCs w:val="20"/>
    </w:rPr>
  </w:style>
  <w:style w:type="paragraph" w:customStyle="1" w:styleId="3881">
    <w:name w:val="xl199"/>
    <w:basedOn w:val="1"/>
    <w:semiHidden/>
    <w:qFormat/>
    <w:uiPriority w:val="0"/>
    <w:pPr>
      <w:widowControl/>
      <w:pBdr>
        <w:left w:val="single" w:color="auto" w:sz="8" w:space="0"/>
        <w:bottom w:val="single" w:color="auto" w:sz="8" w:space="0"/>
      </w:pBdr>
      <w:spacing w:before="100" w:beforeAutospacing="1" w:after="100" w:afterAutospacing="1"/>
      <w:jc w:val="center"/>
    </w:pPr>
    <w:rPr>
      <w:rFonts w:ascii="宋体" w:hAnsi="宋体" w:cs="宋体"/>
      <w:color w:val="0000FF"/>
      <w:kern w:val="0"/>
      <w:sz w:val="18"/>
      <w:szCs w:val="18"/>
    </w:rPr>
  </w:style>
  <w:style w:type="paragraph" w:customStyle="1" w:styleId="3882">
    <w:name w:val="2 Char Char Char Char Char Char Char Char Char Char"/>
    <w:basedOn w:val="1"/>
    <w:qFormat/>
    <w:uiPriority w:val="99"/>
    <w:rPr>
      <w:rFonts w:ascii="Calibri" w:hAnsi="Calibri" w:cs="Calibri"/>
    </w:rPr>
  </w:style>
  <w:style w:type="paragraph" w:customStyle="1" w:styleId="3883">
    <w:name w:val="_Style 25"/>
    <w:basedOn w:val="1"/>
    <w:next w:val="1"/>
    <w:qFormat/>
    <w:uiPriority w:val="99"/>
    <w:pPr>
      <w:adjustRightInd w:val="0"/>
      <w:spacing w:line="360" w:lineRule="auto"/>
      <w:ind w:firstLine="570"/>
      <w:textAlignment w:val="baseline"/>
    </w:pPr>
    <w:rPr>
      <w:rFonts w:ascii="仿宋_GB2312" w:hAnsi="Calibri" w:eastAsia="仿宋_GB2312" w:cs="Calibri"/>
      <w:kern w:val="0"/>
      <w:sz w:val="28"/>
      <w:szCs w:val="20"/>
    </w:rPr>
  </w:style>
  <w:style w:type="paragraph" w:customStyle="1" w:styleId="3884">
    <w:name w:val="Body Text First Indent3"/>
    <w:basedOn w:val="36"/>
    <w:qFormat/>
    <w:uiPriority w:val="99"/>
    <w:pPr>
      <w:widowControl w:val="0"/>
      <w:adjustRightInd w:val="0"/>
      <w:snapToGrid/>
      <w:spacing w:before="0" w:after="0" w:line="312" w:lineRule="auto"/>
      <w:ind w:right="0" w:firstLine="567"/>
      <w:textAlignment w:val="baseline"/>
    </w:pPr>
    <w:rPr>
      <w:rFonts w:ascii="Calibri" w:hAnsi="Calibri" w:cs="Calibri"/>
      <w:sz w:val="28"/>
      <w:lang w:val="en-US"/>
    </w:rPr>
  </w:style>
  <w:style w:type="paragraph" w:customStyle="1" w:styleId="3885">
    <w:name w:val="样式 标题 3条标题1.1.1标题 3 Char标题 3 Char Char Char Char Char Char Ch..."/>
    <w:basedOn w:val="5"/>
    <w:qFormat/>
    <w:uiPriority w:val="99"/>
    <w:pPr>
      <w:numPr>
        <w:ilvl w:val="0"/>
        <w:numId w:val="0"/>
      </w:numPr>
      <w:adjustRightInd w:val="0"/>
      <w:spacing w:before="0" w:after="0" w:line="360" w:lineRule="auto"/>
    </w:pPr>
    <w:rPr>
      <w:rFonts w:ascii="宋体" w:hAnsi="宋体" w:cs="宋体"/>
      <w:b w:val="0"/>
      <w:color w:val="000000"/>
      <w:kern w:val="0"/>
      <w:sz w:val="24"/>
      <w:szCs w:val="20"/>
      <w:lang w:val="en-US"/>
    </w:rPr>
  </w:style>
  <w:style w:type="paragraph" w:customStyle="1" w:styleId="3886">
    <w:name w:val="字元 字元1 Char Char 字元 字元 Char Char 字元 字元1"/>
    <w:basedOn w:val="1"/>
    <w:semiHidden/>
    <w:qFormat/>
    <w:uiPriority w:val="0"/>
    <w:rPr>
      <w:rFonts w:ascii="Calibri" w:hAnsi="Calibri" w:cs="Calibri"/>
      <w:sz w:val="24"/>
    </w:rPr>
  </w:style>
  <w:style w:type="paragraph" w:customStyle="1" w:styleId="3887">
    <w:name w:val="hb2"/>
    <w:basedOn w:val="4"/>
    <w:qFormat/>
    <w:uiPriority w:val="99"/>
    <w:pPr>
      <w:numPr>
        <w:ilvl w:val="0"/>
        <w:numId w:val="0"/>
      </w:numPr>
      <w:topLinePunct/>
      <w:adjustRightInd w:val="0"/>
      <w:spacing w:before="260" w:after="260" w:line="416" w:lineRule="atLeast"/>
    </w:pPr>
    <w:rPr>
      <w:rFonts w:ascii="宋体" w:hAnsi="Times New Roman" w:eastAsia="宋体" w:cs="Arial"/>
      <w:b w:val="0"/>
      <w:kern w:val="0"/>
      <w:sz w:val="24"/>
      <w:szCs w:val="24"/>
      <w:lang w:val="en-US"/>
    </w:rPr>
  </w:style>
  <w:style w:type="paragraph" w:customStyle="1" w:styleId="3888">
    <w:name w:val="xl123"/>
    <w:basedOn w:val="1"/>
    <w:qFormat/>
    <w:uiPriority w:val="99"/>
    <w:pPr>
      <w:widowControl/>
      <w:pBdr>
        <w:top w:val="single" w:color="auto" w:sz="8" w:space="0"/>
      </w:pBdr>
      <w:spacing w:before="100" w:beforeAutospacing="1" w:after="100" w:afterAutospacing="1"/>
      <w:jc w:val="left"/>
    </w:pPr>
    <w:rPr>
      <w:rFonts w:ascii="Arial Unicode MS" w:hAnsi="Arial Unicode MS" w:cs="Calibri"/>
      <w:kern w:val="0"/>
      <w:sz w:val="16"/>
      <w:szCs w:val="16"/>
    </w:rPr>
  </w:style>
  <w:style w:type="paragraph" w:customStyle="1" w:styleId="3889">
    <w:name w:val="自定义缩进"/>
    <w:basedOn w:val="1"/>
    <w:qFormat/>
    <w:uiPriority w:val="99"/>
    <w:pPr>
      <w:keepNext/>
      <w:spacing w:line="300" w:lineRule="exact"/>
      <w:ind w:firstLine="360" w:firstLineChars="200"/>
    </w:pPr>
    <w:rPr>
      <w:rFonts w:ascii="宋体" w:hAnsi="宋体" w:cs="Calibri"/>
      <w:color w:val="000000"/>
      <w:kern w:val="0"/>
      <w:sz w:val="18"/>
      <w:szCs w:val="18"/>
    </w:rPr>
  </w:style>
  <w:style w:type="paragraph" w:customStyle="1" w:styleId="3890">
    <w:name w:val="Char Char Char Char Char Char Char Char Char Char Char Char Char Char Char Char Char Char3"/>
    <w:basedOn w:val="1"/>
    <w:semiHidden/>
    <w:qFormat/>
    <w:uiPriority w:val="0"/>
    <w:rPr>
      <w:rFonts w:ascii="Calibri" w:hAnsi="Calibri" w:cs="Calibri"/>
      <w:sz w:val="24"/>
    </w:rPr>
  </w:style>
  <w:style w:type="paragraph" w:customStyle="1" w:styleId="3891">
    <w:name w:val="Char Char Char1 Char Char Char Char Char Char3"/>
    <w:basedOn w:val="1"/>
    <w:semiHidden/>
    <w:qFormat/>
    <w:uiPriority w:val="0"/>
    <w:rPr>
      <w:rFonts w:ascii="Calibri" w:hAnsi="Calibri" w:cs="Calibri"/>
      <w:szCs w:val="21"/>
    </w:rPr>
  </w:style>
  <w:style w:type="paragraph" w:customStyle="1" w:styleId="3892">
    <w:name w:val="样式9"/>
    <w:basedOn w:val="3"/>
    <w:qFormat/>
    <w:uiPriority w:val="0"/>
    <w:pPr>
      <w:keepLines/>
      <w:overflowPunct/>
      <w:adjustRightInd w:val="0"/>
      <w:snapToGrid/>
      <w:spacing w:before="480" w:beforeLines="200" w:after="480" w:afterLines="200" w:line="520" w:lineRule="exact"/>
      <w:ind w:left="0" w:firstLine="0"/>
    </w:pPr>
    <w:rPr>
      <w:rFonts w:eastAsia="宋体"/>
      <w:b w:val="0"/>
      <w:color w:val="auto"/>
      <w:sz w:val="44"/>
      <w:szCs w:val="28"/>
    </w:rPr>
  </w:style>
  <w:style w:type="paragraph" w:customStyle="1" w:styleId="3893">
    <w:name w:val="ISO标题4"/>
    <w:qFormat/>
    <w:uiPriority w:val="0"/>
    <w:pPr>
      <w:tabs>
        <w:tab w:val="left" w:pos="420"/>
        <w:tab w:val="left" w:pos="1440"/>
      </w:tabs>
      <w:ind w:left="420" w:hanging="420"/>
      <w:outlineLvl w:val="3"/>
    </w:pPr>
    <w:rPr>
      <w:rFonts w:ascii="宋体" w:hAnsi="宋体" w:eastAsia="宋体" w:cs="Calibri"/>
      <w:color w:val="000000"/>
      <w:sz w:val="24"/>
      <w:lang w:val="en-US" w:eastAsia="zh-CN" w:bidi="ar-SA"/>
    </w:rPr>
  </w:style>
  <w:style w:type="paragraph" w:customStyle="1" w:styleId="3894">
    <w:name w:val="text01"/>
    <w:basedOn w:val="1"/>
    <w:semiHidden/>
    <w:qFormat/>
    <w:uiPriority w:val="0"/>
    <w:pPr>
      <w:widowControl/>
      <w:spacing w:before="100" w:beforeAutospacing="1" w:after="100" w:afterAutospacing="1" w:line="280" w:lineRule="atLeast"/>
    </w:pPr>
    <w:rPr>
      <w:rFonts w:ascii="Verdana" w:hAnsi="Verdana" w:cs="宋体"/>
      <w:kern w:val="0"/>
      <w:sz w:val="20"/>
      <w:szCs w:val="20"/>
    </w:rPr>
  </w:style>
  <w:style w:type="paragraph" w:customStyle="1" w:styleId="3895">
    <w:name w:val="节标题"/>
    <w:basedOn w:val="1"/>
    <w:next w:val="3110"/>
    <w:qFormat/>
    <w:uiPriority w:val="99"/>
    <w:pPr>
      <w:widowControl/>
      <w:spacing w:line="289" w:lineRule="atLeast"/>
      <w:jc w:val="center"/>
      <w:textAlignment w:val="baseline"/>
    </w:pPr>
    <w:rPr>
      <w:rFonts w:ascii="Calibri" w:hAnsi="Calibri" w:cs="Calibri"/>
      <w:color w:val="000000"/>
      <w:kern w:val="0"/>
      <w:sz w:val="28"/>
      <w:szCs w:val="20"/>
      <w:u w:color="000000"/>
    </w:rPr>
  </w:style>
  <w:style w:type="paragraph" w:customStyle="1" w:styleId="3896">
    <w:name w:val="标准文本 居中 单倍行距 Char"/>
    <w:basedOn w:val="1"/>
    <w:semiHidden/>
    <w:qFormat/>
    <w:uiPriority w:val="0"/>
    <w:pPr>
      <w:adjustRightInd w:val="0"/>
      <w:snapToGrid w:val="0"/>
      <w:spacing w:line="480" w:lineRule="exact"/>
      <w:jc w:val="center"/>
      <w:textAlignment w:val="center"/>
    </w:pPr>
    <w:rPr>
      <w:rFonts w:ascii="宋体" w:hAnsi="宋体" w:cs="宋体"/>
      <w:color w:val="000000"/>
      <w:sz w:val="24"/>
    </w:rPr>
  </w:style>
  <w:style w:type="paragraph" w:customStyle="1" w:styleId="3897">
    <w:name w:val="Char Char Char1 Char Char Char Char Char Char Char Char Char Char Char Char Char Char Char1 Char Char Char Char Char Char Char Char Char Char Char Char Char Char Char Char Char Char Char Char Char Char Char Char Char Char1"/>
    <w:basedOn w:val="1"/>
    <w:semiHidden/>
    <w:qFormat/>
    <w:uiPriority w:val="0"/>
    <w:rPr>
      <w:rFonts w:ascii="Calibri" w:hAnsi="Calibri" w:cs="Calibri"/>
      <w:szCs w:val="21"/>
    </w:rPr>
  </w:style>
  <w:style w:type="paragraph" w:customStyle="1" w:styleId="3898">
    <w:name w:val="正文文本缩进4"/>
    <w:basedOn w:val="1"/>
    <w:qFormat/>
    <w:uiPriority w:val="99"/>
    <w:pPr>
      <w:spacing w:after="120" w:line="360" w:lineRule="auto"/>
      <w:ind w:left="200" w:leftChars="200" w:firstLine="200" w:firstLineChars="200"/>
    </w:pPr>
    <w:rPr>
      <w:rFonts w:ascii="Calibri" w:hAnsi="Calibri" w:cs="Calibri"/>
      <w:sz w:val="24"/>
    </w:rPr>
  </w:style>
  <w:style w:type="paragraph" w:customStyle="1" w:styleId="3899">
    <w:name w:val="样式 标题 3标题 3 正式 + (西文) Times New Roman2"/>
    <w:basedOn w:val="5"/>
    <w:semiHidden/>
    <w:qFormat/>
    <w:uiPriority w:val="0"/>
    <w:pPr>
      <w:numPr>
        <w:ilvl w:val="0"/>
        <w:numId w:val="0"/>
      </w:numPr>
      <w:tabs>
        <w:tab w:val="left" w:pos="0"/>
      </w:tabs>
      <w:adjustRightInd w:val="0"/>
      <w:snapToGrid w:val="0"/>
      <w:spacing w:before="120" w:after="120" w:line="360" w:lineRule="auto"/>
      <w:ind w:firstLine="200" w:firstLineChars="200"/>
    </w:pPr>
    <w:rPr>
      <w:rFonts w:cs="Calibri"/>
      <w:b w:val="0"/>
      <w:snapToGrid w:val="0"/>
      <w:spacing w:val="4"/>
      <w:kern w:val="0"/>
      <w:sz w:val="24"/>
      <w:szCs w:val="28"/>
      <w:lang w:val="en-US"/>
    </w:rPr>
  </w:style>
  <w:style w:type="paragraph" w:customStyle="1" w:styleId="3900">
    <w:name w:val="条题"/>
    <w:basedOn w:val="1"/>
    <w:qFormat/>
    <w:uiPriority w:val="0"/>
    <w:pPr>
      <w:tabs>
        <w:tab w:val="left" w:pos="360"/>
      </w:tabs>
      <w:spacing w:line="420" w:lineRule="exact"/>
      <w:ind w:firstLine="560" w:firstLineChars="200"/>
    </w:pPr>
    <w:rPr>
      <w:rFonts w:ascii="Calibri" w:hAnsi="Calibri" w:cs="Calibri"/>
      <w:sz w:val="24"/>
      <w:szCs w:val="20"/>
    </w:rPr>
  </w:style>
  <w:style w:type="paragraph" w:customStyle="1" w:styleId="3901">
    <w:name w:val="样式 样式 宋体 小四 行距: 1.5 倍行距 + 首行缩进:  2 字符 段前: 7.8 磅 段后: 7.8 磅"/>
    <w:basedOn w:val="1"/>
    <w:qFormat/>
    <w:uiPriority w:val="0"/>
    <w:pPr>
      <w:snapToGrid w:val="0"/>
      <w:spacing w:before="50" w:beforeLines="50" w:after="50" w:afterLines="50" w:line="360" w:lineRule="auto"/>
      <w:ind w:firstLine="200" w:firstLineChars="200"/>
      <w:jc w:val="left"/>
    </w:pPr>
    <w:rPr>
      <w:rFonts w:ascii="宋体" w:hAnsi="宋体" w:cs="Calibri"/>
      <w:sz w:val="24"/>
      <w:szCs w:val="20"/>
    </w:rPr>
  </w:style>
  <w:style w:type="paragraph" w:customStyle="1" w:styleId="3902">
    <w:name w:val="xl140"/>
    <w:basedOn w:val="1"/>
    <w:qFormat/>
    <w:uiPriority w:val="99"/>
    <w:pPr>
      <w:widowControl/>
      <w:spacing w:before="100" w:beforeAutospacing="1" w:after="100" w:afterAutospacing="1"/>
      <w:jc w:val="center"/>
      <w:textAlignment w:val="center"/>
    </w:pPr>
    <w:rPr>
      <w:rFonts w:ascii="Arial Unicode MS" w:hAnsi="Arial Unicode MS" w:cs="Calibri"/>
      <w:kern w:val="0"/>
      <w:sz w:val="16"/>
      <w:szCs w:val="16"/>
    </w:rPr>
  </w:style>
  <w:style w:type="paragraph" w:customStyle="1" w:styleId="3903">
    <w:name w:val="目录fuxi"/>
    <w:basedOn w:val="1"/>
    <w:qFormat/>
    <w:uiPriority w:val="0"/>
    <w:pPr>
      <w:snapToGrid w:val="0"/>
      <w:spacing w:before="60" w:after="60"/>
      <w:jc w:val="center"/>
    </w:pPr>
    <w:rPr>
      <w:rFonts w:hint="eastAsia" w:ascii="宋体" w:hAnsi="Calibri" w:cs="Calibri"/>
      <w:outline/>
      <w:color w:val="000000"/>
      <w:szCs w:val="20"/>
      <w14:textOutline w14:w="9525" w14:cap="flat" w14:cmpd="sng" w14:algn="ctr">
        <w14:solidFill>
          <w14:srgbClr w14:val="000000"/>
        </w14:solidFill>
        <w14:prstDash w14:val="solid"/>
        <w14:round/>
      </w14:textOutline>
      <w14:textFill>
        <w14:noFill/>
      </w14:textFill>
    </w:rPr>
  </w:style>
  <w:style w:type="paragraph" w:customStyle="1" w:styleId="3904">
    <w:name w:val="Char Char Char Char Char Char Char Char Char Char Char Char Char Char Char Char Char1 Char3"/>
    <w:basedOn w:val="1"/>
    <w:semiHidden/>
    <w:qFormat/>
    <w:uiPriority w:val="0"/>
    <w:rPr>
      <w:rFonts w:ascii="Calibri" w:hAnsi="Calibri" w:cs="Calibri"/>
      <w:sz w:val="24"/>
    </w:rPr>
  </w:style>
  <w:style w:type="paragraph" w:customStyle="1" w:styleId="3905">
    <w:name w:val="表体"/>
    <w:basedOn w:val="1"/>
    <w:qFormat/>
    <w:uiPriority w:val="0"/>
    <w:pPr>
      <w:tabs>
        <w:tab w:val="left" w:pos="6440"/>
      </w:tabs>
      <w:adjustRightInd w:val="0"/>
      <w:snapToGrid w:val="0"/>
      <w:jc w:val="center"/>
    </w:pPr>
    <w:rPr>
      <w:rFonts w:ascii="楷体_GB2312" w:hAnsi="Calibri" w:eastAsia="楷体_GB2312" w:cs="Calibri"/>
      <w:w w:val="80"/>
      <w:szCs w:val="20"/>
    </w:rPr>
  </w:style>
  <w:style w:type="paragraph" w:customStyle="1" w:styleId="3906">
    <w:name w:val="xl319"/>
    <w:basedOn w:val="1"/>
    <w:semiHidden/>
    <w:qFormat/>
    <w:uiPriority w:val="0"/>
    <w:pPr>
      <w:widowControl/>
      <w:pBdr>
        <w:left w:val="single" w:color="auto" w:sz="8" w:space="0"/>
        <w:right w:val="single" w:color="auto" w:sz="8" w:space="0"/>
      </w:pBdr>
      <w:spacing w:before="100" w:beforeAutospacing="1" w:after="100" w:afterAutospacing="1"/>
      <w:jc w:val="center"/>
    </w:pPr>
    <w:rPr>
      <w:rFonts w:ascii="Calibri" w:hAnsi="Calibri" w:cs="Calibri"/>
      <w:b/>
      <w:bCs/>
      <w:color w:val="993300"/>
      <w:kern w:val="0"/>
      <w:sz w:val="18"/>
      <w:szCs w:val="18"/>
    </w:rPr>
  </w:style>
  <w:style w:type="paragraph" w:customStyle="1" w:styleId="3907">
    <w:name w:val="xl205"/>
    <w:basedOn w:val="1"/>
    <w:semiHidden/>
    <w:qFormat/>
    <w:uiPriority w:val="0"/>
    <w:pPr>
      <w:widowControl/>
      <w:pBdr>
        <w:top w:val="single" w:color="auto" w:sz="8" w:space="0"/>
        <w:left w:val="single" w:color="auto" w:sz="8" w:space="0"/>
        <w:right w:val="single" w:color="auto" w:sz="8" w:space="0"/>
      </w:pBdr>
      <w:spacing w:before="100" w:beforeAutospacing="1" w:after="100" w:afterAutospacing="1"/>
      <w:jc w:val="center"/>
    </w:pPr>
    <w:rPr>
      <w:rFonts w:ascii="Calibri" w:hAnsi="Calibri" w:cs="Calibri"/>
      <w:kern w:val="0"/>
      <w:sz w:val="18"/>
      <w:szCs w:val="18"/>
    </w:rPr>
  </w:style>
  <w:style w:type="paragraph" w:customStyle="1" w:styleId="3908">
    <w:name w:val="胡奔流-标题6"/>
    <w:basedOn w:val="1"/>
    <w:semiHidden/>
    <w:qFormat/>
    <w:uiPriority w:val="0"/>
    <w:pPr>
      <w:adjustRightInd w:val="0"/>
      <w:spacing w:line="360" w:lineRule="auto"/>
      <w:textAlignment w:val="baseline"/>
    </w:pPr>
    <w:rPr>
      <w:rFonts w:ascii="宋体" w:hAnsi="Calibri" w:cs="Calibri"/>
      <w:spacing w:val="10"/>
      <w:kern w:val="21"/>
      <w:sz w:val="24"/>
      <w:szCs w:val="20"/>
    </w:rPr>
  </w:style>
  <w:style w:type="paragraph" w:customStyle="1" w:styleId="3909">
    <w:name w:val="Char2 Char Char Char Char Char3"/>
    <w:basedOn w:val="1"/>
    <w:semiHidden/>
    <w:qFormat/>
    <w:uiPriority w:val="0"/>
    <w:rPr>
      <w:rFonts w:ascii="Calibri" w:hAnsi="Calibri" w:cs="Calibri"/>
      <w:sz w:val="24"/>
    </w:rPr>
  </w:style>
  <w:style w:type="paragraph" w:customStyle="1" w:styleId="3910">
    <w:name w:val="小4仿宋居中行1"/>
    <w:qFormat/>
    <w:uiPriority w:val="0"/>
    <w:pPr>
      <w:widowControl w:val="0"/>
      <w:ind w:left="-573" w:right="-59" w:firstLine="494"/>
      <w:jc w:val="center"/>
    </w:pPr>
    <w:rPr>
      <w:rFonts w:ascii="Calibri" w:hAnsi="Calibri" w:eastAsia="仿宋_GB2312" w:cs="Calibri"/>
      <w:sz w:val="24"/>
      <w:lang w:val="en-US" w:eastAsia="zh-CN" w:bidi="ar-SA"/>
    </w:rPr>
  </w:style>
  <w:style w:type="paragraph" w:customStyle="1" w:styleId="3911">
    <w:name w:val="样式 首行缩进:  2 字符3"/>
    <w:basedOn w:val="1"/>
    <w:semiHidden/>
    <w:qFormat/>
    <w:uiPriority w:val="0"/>
    <w:pPr>
      <w:spacing w:line="360" w:lineRule="auto"/>
      <w:ind w:firstLine="200" w:firstLineChars="200"/>
    </w:pPr>
    <w:rPr>
      <w:rFonts w:ascii="Calibri" w:hAnsi="Calibri" w:cs="宋体"/>
      <w:sz w:val="24"/>
      <w:szCs w:val="20"/>
    </w:rPr>
  </w:style>
  <w:style w:type="paragraph" w:customStyle="1" w:styleId="3912">
    <w:name w:val="样式 标题 2节节标题 1.1H2（一）Underrubrik1prop2Heading 2 HiddenHea..."/>
    <w:basedOn w:val="4"/>
    <w:qFormat/>
    <w:uiPriority w:val="99"/>
    <w:pPr>
      <w:numPr>
        <w:ilvl w:val="0"/>
        <w:numId w:val="0"/>
      </w:numPr>
      <w:adjustRightInd w:val="0"/>
    </w:pPr>
    <w:rPr>
      <w:rFonts w:ascii="宋体" w:hAnsi="宋体" w:eastAsia="宋体" w:cs="宋体"/>
      <w:color w:val="000000"/>
      <w:kern w:val="0"/>
      <w:szCs w:val="20"/>
      <w:lang w:val="en-US"/>
    </w:rPr>
  </w:style>
  <w:style w:type="paragraph" w:customStyle="1" w:styleId="3913">
    <w:name w:val="Char Char Char Char Char Char Char Char Char Char Char Char1 Char Char Char Char Char Char Char Char Char1"/>
    <w:basedOn w:val="1"/>
    <w:semiHidden/>
    <w:qFormat/>
    <w:uiPriority w:val="0"/>
    <w:pPr>
      <w:spacing w:line="240" w:lineRule="exact"/>
      <w:ind w:firstLine="200" w:firstLineChars="200"/>
    </w:pPr>
    <w:rPr>
      <w:rFonts w:ascii="Calibri" w:hAnsi="Calibri" w:cs="Calibri"/>
      <w:sz w:val="28"/>
      <w:szCs w:val="28"/>
    </w:rPr>
  </w:style>
  <w:style w:type="paragraph" w:customStyle="1" w:styleId="3914">
    <w:name w:val="样式 标题 1H1一、ChChapter HeadingIBM Section Head-*+章标题 11.标题..."/>
    <w:basedOn w:val="3"/>
    <w:semiHidden/>
    <w:qFormat/>
    <w:uiPriority w:val="0"/>
    <w:pPr>
      <w:overflowPunct/>
      <w:adjustRightInd w:val="0"/>
      <w:snapToGrid/>
      <w:spacing w:before="50" w:beforeLines="50" w:after="0" w:line="360" w:lineRule="auto"/>
      <w:ind w:left="0" w:firstLine="0"/>
      <w:jc w:val="center"/>
    </w:pPr>
    <w:rPr>
      <w:rFonts w:eastAsia="宋体"/>
      <w:b w:val="0"/>
      <w:color w:val="auto"/>
      <w:kern w:val="2"/>
      <w:sz w:val="28"/>
      <w:szCs w:val="21"/>
    </w:rPr>
  </w:style>
  <w:style w:type="paragraph" w:customStyle="1" w:styleId="3915">
    <w:name w:val="大表"/>
    <w:basedOn w:val="1"/>
    <w:semiHidden/>
    <w:qFormat/>
    <w:uiPriority w:val="0"/>
    <w:pPr>
      <w:tabs>
        <w:tab w:val="left" w:pos="560"/>
      </w:tabs>
      <w:overflowPunct w:val="0"/>
      <w:adjustRightInd w:val="0"/>
      <w:snapToGrid w:val="0"/>
      <w:jc w:val="center"/>
      <w:textAlignment w:val="baseline"/>
    </w:pPr>
    <w:rPr>
      <w:rFonts w:ascii="Calibri" w:hAnsi="Calibri" w:cs="Calibri"/>
      <w:kern w:val="0"/>
      <w:sz w:val="24"/>
      <w:szCs w:val="20"/>
    </w:rPr>
  </w:style>
  <w:style w:type="paragraph" w:customStyle="1" w:styleId="3916">
    <w:name w:val="3 Char Char Char Char Char Char Char Char Char Char"/>
    <w:basedOn w:val="1"/>
    <w:qFormat/>
    <w:uiPriority w:val="99"/>
    <w:rPr>
      <w:rFonts w:ascii="Calibri" w:hAnsi="Calibri" w:cs="Calibri"/>
      <w:sz w:val="24"/>
    </w:rPr>
  </w:style>
  <w:style w:type="paragraph" w:customStyle="1" w:styleId="3917">
    <w:name w:val="xl284"/>
    <w:basedOn w:val="1"/>
    <w:semiHidden/>
    <w:qFormat/>
    <w:uiPriority w:val="0"/>
    <w:pPr>
      <w:widowControl/>
      <w:pBdr>
        <w:top w:val="single" w:color="auto" w:sz="8" w:space="0"/>
        <w:bottom w:val="single" w:color="auto" w:sz="8" w:space="0"/>
        <w:right w:val="single" w:color="auto" w:sz="12" w:space="0"/>
      </w:pBdr>
      <w:spacing w:before="100" w:beforeAutospacing="1" w:after="100" w:afterAutospacing="1"/>
      <w:jc w:val="center"/>
    </w:pPr>
    <w:rPr>
      <w:rFonts w:ascii="Calibri" w:hAnsi="Calibri" w:cs="Calibri"/>
      <w:color w:val="00CCFF"/>
      <w:kern w:val="0"/>
      <w:sz w:val="18"/>
      <w:szCs w:val="18"/>
    </w:rPr>
  </w:style>
  <w:style w:type="paragraph" w:customStyle="1" w:styleId="3918">
    <w:name w:val="xl120"/>
    <w:basedOn w:val="1"/>
    <w:qFormat/>
    <w:uiPriority w:val="99"/>
    <w:pPr>
      <w:widowControl/>
      <w:spacing w:before="100" w:beforeAutospacing="1" w:after="100" w:afterAutospacing="1"/>
      <w:jc w:val="left"/>
      <w:textAlignment w:val="center"/>
    </w:pPr>
    <w:rPr>
      <w:rFonts w:ascii="Arial Unicode MS" w:hAnsi="Arial Unicode MS" w:cs="Calibri"/>
      <w:kern w:val="0"/>
      <w:sz w:val="12"/>
      <w:szCs w:val="12"/>
    </w:rPr>
  </w:style>
  <w:style w:type="paragraph" w:customStyle="1" w:styleId="3919">
    <w:name w:val="图框文字 Char"/>
    <w:basedOn w:val="1"/>
    <w:qFormat/>
    <w:uiPriority w:val="99"/>
    <w:pPr>
      <w:jc w:val="center"/>
    </w:pPr>
    <w:rPr>
      <w:rFonts w:ascii="Calibri" w:hAnsi="Calibri" w:cs="宋体"/>
      <w:spacing w:val="4"/>
      <w:szCs w:val="21"/>
    </w:rPr>
  </w:style>
  <w:style w:type="paragraph" w:customStyle="1" w:styleId="3920">
    <w:name w:val="正文新 Char"/>
    <w:basedOn w:val="1"/>
    <w:qFormat/>
    <w:uiPriority w:val="0"/>
    <w:pPr>
      <w:spacing w:line="360" w:lineRule="auto"/>
      <w:ind w:firstLine="480" w:firstLineChars="200"/>
    </w:pPr>
    <w:rPr>
      <w:rFonts w:ascii="Calibri" w:hAnsi="Calibri" w:cs="Calibri"/>
      <w:sz w:val="24"/>
      <w:szCs w:val="20"/>
    </w:rPr>
  </w:style>
  <w:style w:type="paragraph" w:customStyle="1" w:styleId="3921">
    <w:name w:val="xl40"/>
    <w:basedOn w:val="1"/>
    <w:qFormat/>
    <w:uiPriority w:val="0"/>
    <w:pPr>
      <w:widowControl/>
      <w:pBdr>
        <w:top w:val="single" w:color="auto" w:sz="12" w:space="0"/>
        <w:right w:val="single" w:color="auto" w:sz="12" w:space="0"/>
      </w:pBdr>
      <w:spacing w:before="100" w:beforeAutospacing="1" w:after="100" w:afterAutospacing="1"/>
      <w:jc w:val="center"/>
      <w:textAlignment w:val="center"/>
    </w:pPr>
    <w:rPr>
      <w:rFonts w:ascii="Arial Unicode MS" w:hAnsi="Arial Unicode MS" w:cs="Calibri"/>
      <w:kern w:val="0"/>
      <w:sz w:val="16"/>
      <w:szCs w:val="16"/>
    </w:rPr>
  </w:style>
  <w:style w:type="paragraph" w:customStyle="1" w:styleId="3922">
    <w:name w:val="T正文"/>
    <w:qFormat/>
    <w:uiPriority w:val="0"/>
    <w:pPr>
      <w:widowControl w:val="0"/>
      <w:adjustRightInd w:val="0"/>
      <w:snapToGrid w:val="0"/>
      <w:spacing w:line="360" w:lineRule="auto"/>
      <w:ind w:firstLine="200" w:firstLineChars="200"/>
      <w:jc w:val="both"/>
    </w:pPr>
    <w:rPr>
      <w:rFonts w:ascii="Calibri" w:hAnsi="Calibri" w:eastAsia="仿宋_GB2312" w:cs="Calibri"/>
      <w:sz w:val="28"/>
      <w:lang w:val="en-US" w:eastAsia="zh-CN" w:bidi="ar-SA"/>
    </w:rPr>
  </w:style>
  <w:style w:type="paragraph" w:customStyle="1" w:styleId="3923">
    <w:name w:val="表里"/>
    <w:basedOn w:val="1"/>
    <w:qFormat/>
    <w:uiPriority w:val="99"/>
    <w:pPr>
      <w:jc w:val="center"/>
      <w:outlineLvl w:val="8"/>
    </w:pPr>
    <w:rPr>
      <w:rFonts w:ascii="Calibri" w:hAnsi="Calibri" w:cs="Calibri"/>
      <w:sz w:val="24"/>
    </w:rPr>
  </w:style>
  <w:style w:type="paragraph" w:customStyle="1" w:styleId="3924">
    <w:name w:val="咨询公司名称"/>
    <w:basedOn w:val="1"/>
    <w:semiHidden/>
    <w:qFormat/>
    <w:uiPriority w:val="0"/>
    <w:pPr>
      <w:jc w:val="center"/>
    </w:pPr>
    <w:rPr>
      <w:rFonts w:ascii="黑体" w:hAnsi="Calibri" w:eastAsia="黑体" w:cs="宋体"/>
      <w:sz w:val="32"/>
      <w:szCs w:val="20"/>
    </w:rPr>
  </w:style>
  <w:style w:type="paragraph" w:customStyle="1" w:styleId="3925">
    <w:name w:val="封面"/>
    <w:basedOn w:val="1"/>
    <w:qFormat/>
    <w:uiPriority w:val="99"/>
    <w:pPr>
      <w:adjustRightInd w:val="0"/>
      <w:spacing w:before="60" w:line="360" w:lineRule="auto"/>
      <w:ind w:firstLine="482"/>
      <w:jc w:val="center"/>
      <w:textAlignment w:val="baseline"/>
    </w:pPr>
    <w:rPr>
      <w:rFonts w:ascii="Arial" w:hAnsi="Arial" w:eastAsia="仿宋_GB2312" w:cs="Calibri"/>
      <w:b/>
      <w:kern w:val="0"/>
      <w:sz w:val="30"/>
      <w:szCs w:val="20"/>
    </w:rPr>
  </w:style>
  <w:style w:type="paragraph" w:customStyle="1" w:styleId="3926">
    <w:name w:val="Char Char Char Char Char Char Char Char Char Char Char Char Char Char Char Char Char Char Char Char Char Char Char Char Char Char Char Char Char Char Char Char Char Char1"/>
    <w:basedOn w:val="1"/>
    <w:qFormat/>
    <w:uiPriority w:val="99"/>
    <w:rPr>
      <w:rFonts w:ascii="Calibri" w:hAnsi="Calibri" w:cs="Calibri"/>
      <w:sz w:val="24"/>
    </w:rPr>
  </w:style>
  <w:style w:type="paragraph" w:customStyle="1" w:styleId="3927">
    <w:name w:val="普通 (Web)1"/>
    <w:basedOn w:val="1"/>
    <w:semiHidden/>
    <w:qFormat/>
    <w:uiPriority w:val="0"/>
    <w:pPr>
      <w:widowControl/>
      <w:spacing w:before="100" w:beforeAutospacing="1" w:after="100" w:afterAutospacing="1" w:line="400" w:lineRule="atLeast"/>
      <w:ind w:firstLine="480"/>
      <w:jc w:val="left"/>
    </w:pPr>
    <w:rPr>
      <w:rFonts w:ascii="Arial Unicode MS" w:hAnsi="Arial Unicode MS" w:eastAsia="Arial Unicode MS" w:cs="Arial Unicode MS"/>
      <w:kern w:val="0"/>
      <w:sz w:val="24"/>
    </w:rPr>
  </w:style>
  <w:style w:type="paragraph" w:customStyle="1" w:styleId="3928">
    <w:name w:val="正文楷体"/>
    <w:basedOn w:val="1"/>
    <w:qFormat/>
    <w:uiPriority w:val="0"/>
    <w:rPr>
      <w:rFonts w:ascii="Calibri" w:hAnsi="Calibri" w:eastAsia="楷体_GB2312" w:cs="Calibri"/>
    </w:rPr>
  </w:style>
  <w:style w:type="paragraph" w:customStyle="1" w:styleId="3929">
    <w:name w:val="批注框文本 Char Char"/>
    <w:basedOn w:val="1"/>
    <w:qFormat/>
    <w:uiPriority w:val="0"/>
    <w:rPr>
      <w:rFonts w:ascii="Calibri" w:hAnsi="Calibri" w:cs="Calibri"/>
      <w:sz w:val="18"/>
      <w:szCs w:val="20"/>
    </w:rPr>
  </w:style>
  <w:style w:type="paragraph" w:customStyle="1" w:styleId="3930">
    <w:name w:val="Char Char Char1 Char Char Char Char Char Char2"/>
    <w:basedOn w:val="1"/>
    <w:semiHidden/>
    <w:qFormat/>
    <w:uiPriority w:val="0"/>
    <w:rPr>
      <w:rFonts w:ascii="黑体" w:hAnsi="黑体" w:eastAsia="黑体" w:cs="Calibri"/>
      <w:b/>
      <w:spacing w:val="10"/>
      <w:sz w:val="28"/>
      <w:szCs w:val="20"/>
    </w:rPr>
  </w:style>
  <w:style w:type="paragraph" w:customStyle="1" w:styleId="3931">
    <w:name w:val="Body Text Indent 21"/>
    <w:basedOn w:val="1"/>
    <w:qFormat/>
    <w:uiPriority w:val="0"/>
    <w:pPr>
      <w:adjustRightInd w:val="0"/>
      <w:spacing w:line="480" w:lineRule="atLeast"/>
      <w:ind w:firstLine="630"/>
      <w:textAlignment w:val="baseline"/>
    </w:pPr>
    <w:rPr>
      <w:rFonts w:ascii="宋体" w:hAnsi="Calibri" w:cs="Calibri"/>
      <w:sz w:val="28"/>
      <w:szCs w:val="20"/>
    </w:rPr>
  </w:style>
  <w:style w:type="paragraph" w:customStyle="1" w:styleId="3932">
    <w:name w:val="No Title"/>
    <w:basedOn w:val="1"/>
    <w:semiHidden/>
    <w:qFormat/>
    <w:uiPriority w:val="0"/>
    <w:pPr>
      <w:widowControl/>
      <w:pBdr>
        <w:top w:val="single" w:color="FFFFFF" w:sz="6" w:space="2"/>
        <w:left w:val="single" w:color="FFFFFF" w:sz="6" w:space="2"/>
        <w:bottom w:val="single" w:color="FFFFFF" w:sz="6" w:space="2"/>
        <w:right w:val="single" w:color="FFFFFF" w:sz="6" w:space="2"/>
      </w:pBdr>
      <w:spacing w:before="120" w:line="280" w:lineRule="atLeast"/>
      <w:jc w:val="left"/>
    </w:pPr>
    <w:rPr>
      <w:rFonts w:ascii="Tahoma" w:hAnsi="Tahoma" w:eastAsia="黑体" w:cs="Calibri"/>
      <w:b/>
      <w:spacing w:val="-10"/>
      <w:kern w:val="0"/>
      <w:position w:val="7"/>
      <w:sz w:val="20"/>
      <w:szCs w:val="20"/>
    </w:rPr>
  </w:style>
  <w:style w:type="paragraph" w:customStyle="1" w:styleId="3933">
    <w:name w:val="Char Char Char Char Char Char Char Char Char Char Char Char Char Char Char Char Char Char Char3"/>
    <w:basedOn w:val="1"/>
    <w:semiHidden/>
    <w:qFormat/>
    <w:uiPriority w:val="0"/>
    <w:rPr>
      <w:rFonts w:ascii="Calibri" w:hAnsi="Calibri" w:cs="Calibri"/>
      <w:sz w:val="24"/>
    </w:rPr>
  </w:style>
  <w:style w:type="paragraph" w:customStyle="1" w:styleId="3934">
    <w:name w:val="Char Char Char Char Char Char Char Char Char Char Char1"/>
    <w:basedOn w:val="1"/>
    <w:qFormat/>
    <w:uiPriority w:val="99"/>
    <w:rPr>
      <w:rFonts w:ascii="Calibri" w:hAnsi="Calibri" w:cs="Calibri"/>
      <w:sz w:val="24"/>
    </w:rPr>
  </w:style>
  <w:style w:type="paragraph" w:customStyle="1" w:styleId="3935">
    <w:name w:val="xl275"/>
    <w:basedOn w:val="1"/>
    <w:semiHidden/>
    <w:qFormat/>
    <w:uiPriority w:val="0"/>
    <w:pPr>
      <w:widowControl/>
      <w:pBdr>
        <w:bottom w:val="single" w:color="auto" w:sz="8" w:space="0"/>
        <w:right w:val="single" w:color="auto" w:sz="8" w:space="0"/>
      </w:pBdr>
      <w:spacing w:before="100" w:beforeAutospacing="1" w:after="100" w:afterAutospacing="1"/>
      <w:jc w:val="center"/>
    </w:pPr>
    <w:rPr>
      <w:rFonts w:ascii="Calibri" w:hAnsi="Calibri" w:cs="Calibri"/>
      <w:color w:val="00CCFF"/>
      <w:kern w:val="0"/>
      <w:sz w:val="18"/>
      <w:szCs w:val="18"/>
    </w:rPr>
  </w:style>
  <w:style w:type="paragraph" w:customStyle="1" w:styleId="3936">
    <w:name w:val="默认段落字体 Para Char Char Char1 Char Char Char Char"/>
    <w:basedOn w:val="1"/>
    <w:qFormat/>
    <w:uiPriority w:val="0"/>
    <w:rPr>
      <w:rFonts w:ascii="Calibri" w:hAnsi="Calibri" w:cs="Calibri"/>
      <w:sz w:val="24"/>
    </w:rPr>
  </w:style>
  <w:style w:type="paragraph" w:customStyle="1" w:styleId="3937">
    <w:name w:val="样式 小四 加粗 行距: 1.5 倍行距"/>
    <w:basedOn w:val="1"/>
    <w:qFormat/>
    <w:uiPriority w:val="99"/>
    <w:pPr>
      <w:spacing w:line="360" w:lineRule="auto"/>
    </w:pPr>
    <w:rPr>
      <w:rFonts w:ascii="Calibri" w:hAnsi="Calibri" w:cs="宋体"/>
      <w:b/>
      <w:bCs/>
      <w:sz w:val="24"/>
      <w:szCs w:val="20"/>
    </w:rPr>
  </w:style>
  <w:style w:type="paragraph" w:customStyle="1" w:styleId="3938">
    <w:name w:val="表1"/>
    <w:basedOn w:val="1"/>
    <w:qFormat/>
    <w:uiPriority w:val="0"/>
    <w:pPr>
      <w:adjustRightInd w:val="0"/>
      <w:snapToGrid w:val="0"/>
      <w:spacing w:line="360" w:lineRule="auto"/>
      <w:jc w:val="center"/>
    </w:pPr>
    <w:rPr>
      <w:rFonts w:ascii="宋体" w:hAnsi="宋体" w:cs="Calibri"/>
      <w:szCs w:val="20"/>
    </w:rPr>
  </w:style>
  <w:style w:type="paragraph" w:customStyle="1" w:styleId="3939">
    <w:name w:val="样式 首行缩进 + 四号 首行缩进:  2 字符"/>
    <w:basedOn w:val="36"/>
    <w:qFormat/>
    <w:uiPriority w:val="99"/>
    <w:pPr>
      <w:widowControl w:val="0"/>
      <w:spacing w:before="0" w:after="0" w:line="360" w:lineRule="auto"/>
      <w:ind w:right="0" w:firstLine="560" w:firstLineChars="200"/>
    </w:pPr>
    <w:rPr>
      <w:rFonts w:ascii="Calibri" w:hAnsi="Calibri" w:cs="Calibri"/>
      <w:kern w:val="2"/>
      <w:sz w:val="28"/>
      <w:lang w:val="en-GB"/>
    </w:rPr>
  </w:style>
  <w:style w:type="paragraph" w:customStyle="1" w:styleId="3940">
    <w:name w:val="正文文本缩进 315"/>
    <w:basedOn w:val="1"/>
    <w:semiHidden/>
    <w:qFormat/>
    <w:uiPriority w:val="0"/>
    <w:pPr>
      <w:adjustRightInd w:val="0"/>
      <w:spacing w:line="480" w:lineRule="exact"/>
      <w:ind w:firstLine="525"/>
      <w:textAlignment w:val="baseline"/>
    </w:pPr>
    <w:rPr>
      <w:rFonts w:ascii="宋体" w:hAnsi="Calibri" w:cs="Calibri"/>
      <w:sz w:val="28"/>
      <w:szCs w:val="20"/>
    </w:rPr>
  </w:style>
  <w:style w:type="paragraph" w:customStyle="1" w:styleId="3941">
    <w:name w:val="xl198"/>
    <w:basedOn w:val="1"/>
    <w:qFormat/>
    <w:uiPriority w:val="99"/>
    <w:pPr>
      <w:widowControl/>
      <w:pBdr>
        <w:bottom w:val="single" w:color="auto" w:sz="8" w:space="0"/>
      </w:pBdr>
      <w:spacing w:before="100" w:beforeAutospacing="1" w:after="100" w:afterAutospacing="1"/>
      <w:jc w:val="center"/>
    </w:pPr>
    <w:rPr>
      <w:rFonts w:ascii="Arial Unicode MS" w:hAnsi="Arial Unicode MS" w:cs="Calibri"/>
      <w:kern w:val="0"/>
      <w:sz w:val="16"/>
      <w:szCs w:val="16"/>
    </w:rPr>
  </w:style>
  <w:style w:type="paragraph" w:customStyle="1" w:styleId="3942">
    <w:name w:val="小四左齐"/>
    <w:basedOn w:val="1"/>
    <w:qFormat/>
    <w:uiPriority w:val="99"/>
    <w:pPr>
      <w:overflowPunct w:val="0"/>
      <w:adjustRightInd w:val="0"/>
      <w:snapToGrid w:val="0"/>
      <w:jc w:val="left"/>
      <w:textAlignment w:val="top"/>
    </w:pPr>
    <w:rPr>
      <w:rFonts w:ascii="Calibri" w:hAnsi="Calibri" w:eastAsia="仿宋_GB2312" w:cs="Calibri"/>
      <w:snapToGrid w:val="0"/>
      <w:kern w:val="0"/>
      <w:sz w:val="24"/>
    </w:rPr>
  </w:style>
  <w:style w:type="paragraph" w:customStyle="1" w:styleId="3943">
    <w:name w:val="列图"/>
    <w:basedOn w:val="67"/>
    <w:next w:val="1"/>
    <w:qFormat/>
    <w:uiPriority w:val="99"/>
    <w:pPr>
      <w:tabs>
        <w:tab w:val="left" w:pos="3765"/>
      </w:tabs>
      <w:adjustRightInd w:val="0"/>
      <w:snapToGrid w:val="0"/>
      <w:spacing w:line="240" w:lineRule="auto"/>
      <w:ind w:firstLine="0" w:firstLineChars="0"/>
    </w:pPr>
    <w:rPr>
      <w:rFonts w:cs="Calibri"/>
      <w:bCs/>
      <w:sz w:val="21"/>
      <w:szCs w:val="21"/>
    </w:rPr>
  </w:style>
  <w:style w:type="paragraph" w:customStyle="1" w:styleId="3944">
    <w:name w:val="Char Char Char Char Char Char Char Char Char Char Char Char Char2"/>
    <w:basedOn w:val="1"/>
    <w:qFormat/>
    <w:uiPriority w:val="99"/>
    <w:pPr>
      <w:widowControl/>
      <w:spacing w:after="160" w:line="240" w:lineRule="exact"/>
      <w:jc w:val="left"/>
    </w:pPr>
    <w:rPr>
      <w:rFonts w:ascii="Arial" w:hAnsi="Arial" w:eastAsia="Times New Roman" w:cs="Verdana"/>
      <w:b/>
      <w:kern w:val="0"/>
      <w:sz w:val="24"/>
      <w:lang w:eastAsia="en-US"/>
    </w:rPr>
  </w:style>
  <w:style w:type="paragraph" w:customStyle="1" w:styleId="3945">
    <w:name w:val="说明书"/>
    <w:basedOn w:val="1"/>
    <w:qFormat/>
    <w:uiPriority w:val="99"/>
    <w:pPr>
      <w:adjustRightInd w:val="0"/>
      <w:spacing w:line="500" w:lineRule="exact"/>
      <w:ind w:firstLine="624"/>
      <w:textAlignment w:val="baseline"/>
    </w:pPr>
    <w:rPr>
      <w:rFonts w:ascii="Tahoma" w:hAnsi="Tahoma" w:eastAsia="黑体" w:cs="Calibri"/>
      <w:kern w:val="0"/>
      <w:sz w:val="28"/>
      <w:szCs w:val="20"/>
    </w:rPr>
  </w:style>
  <w:style w:type="paragraph" w:customStyle="1" w:styleId="3946">
    <w:name w:val="Char Char2 Char Char Char Char Char Char6"/>
    <w:basedOn w:val="1"/>
    <w:semiHidden/>
    <w:qFormat/>
    <w:uiPriority w:val="0"/>
    <w:pPr>
      <w:spacing w:line="480" w:lineRule="exact"/>
    </w:pPr>
    <w:rPr>
      <w:rFonts w:ascii="Calibri" w:hAnsi="Calibri" w:cs="Calibri"/>
      <w:sz w:val="22"/>
    </w:rPr>
  </w:style>
  <w:style w:type="paragraph" w:customStyle="1" w:styleId="3947">
    <w:name w:val="样式 标题 4 + 四号 段前: 1 行"/>
    <w:basedOn w:val="6"/>
    <w:qFormat/>
    <w:uiPriority w:val="0"/>
    <w:pPr>
      <w:widowControl/>
      <w:numPr>
        <w:ilvl w:val="0"/>
        <w:numId w:val="0"/>
      </w:numPr>
      <w:tabs>
        <w:tab w:val="left" w:pos="2160"/>
      </w:tabs>
      <w:adjustRightInd w:val="0"/>
      <w:spacing w:before="312" w:after="0" w:line="420" w:lineRule="exact"/>
      <w:ind w:left="560"/>
    </w:pPr>
    <w:rPr>
      <w:rFonts w:eastAsia="宋体" w:cs="Calibri"/>
      <w:kern w:val="0"/>
      <w:lang w:val="en-US"/>
    </w:rPr>
  </w:style>
  <w:style w:type="paragraph" w:customStyle="1" w:styleId="3948">
    <w:name w:val="Char Char Char Char Char Char Char Char Char Char Char Char Char Char Char Char Char Char Char Char Char Char Char Char Char Char Char Char3"/>
    <w:basedOn w:val="1"/>
    <w:semiHidden/>
    <w:qFormat/>
    <w:uiPriority w:val="0"/>
    <w:rPr>
      <w:rFonts w:ascii="Calibri" w:hAnsi="Calibri" w:cs="Calibri"/>
      <w:sz w:val="24"/>
    </w:rPr>
  </w:style>
  <w:style w:type="paragraph" w:customStyle="1" w:styleId="3949">
    <w:name w:val="样式11.2.1"/>
    <w:basedOn w:val="1"/>
    <w:semiHidden/>
    <w:qFormat/>
    <w:uiPriority w:val="0"/>
    <w:pPr>
      <w:spacing w:line="360" w:lineRule="auto"/>
    </w:pPr>
    <w:rPr>
      <w:rFonts w:ascii="Calibri" w:hAnsi="Calibri" w:cs="Calibri"/>
      <w:b/>
      <w:sz w:val="28"/>
    </w:rPr>
  </w:style>
  <w:style w:type="paragraph" w:customStyle="1" w:styleId="3950">
    <w:name w:val="Body Text Indent 31"/>
    <w:basedOn w:val="1"/>
    <w:semiHidden/>
    <w:qFormat/>
    <w:uiPriority w:val="0"/>
    <w:pPr>
      <w:adjustRightInd w:val="0"/>
      <w:spacing w:line="480" w:lineRule="exact"/>
      <w:ind w:firstLine="525"/>
      <w:textAlignment w:val="baseline"/>
    </w:pPr>
    <w:rPr>
      <w:rFonts w:ascii="宋体" w:hAnsi="Calibri" w:cs="Calibri"/>
      <w:sz w:val="28"/>
      <w:szCs w:val="20"/>
    </w:rPr>
  </w:style>
  <w:style w:type="paragraph" w:customStyle="1" w:styleId="3951">
    <w:name w:val="font27"/>
    <w:basedOn w:val="1"/>
    <w:semiHidden/>
    <w:qFormat/>
    <w:uiPriority w:val="0"/>
    <w:pPr>
      <w:widowControl/>
      <w:spacing w:before="100" w:beforeAutospacing="1" w:after="100" w:afterAutospacing="1"/>
      <w:jc w:val="left"/>
    </w:pPr>
    <w:rPr>
      <w:rFonts w:ascii="宋体" w:hAnsi="宋体" w:cs="宋体"/>
      <w:color w:val="00FFFF"/>
      <w:kern w:val="0"/>
      <w:sz w:val="18"/>
      <w:szCs w:val="18"/>
    </w:rPr>
  </w:style>
  <w:style w:type="paragraph" w:customStyle="1" w:styleId="3952">
    <w:name w:val="样式 标题 2标题 2 Char标2h2H2标题21.1标题 2 + Times New Roman"/>
    <w:basedOn w:val="4"/>
    <w:qFormat/>
    <w:uiPriority w:val="99"/>
    <w:pPr>
      <w:numPr>
        <w:ilvl w:val="0"/>
        <w:numId w:val="0"/>
      </w:numPr>
      <w:autoSpaceDE w:val="0"/>
      <w:autoSpaceDN w:val="0"/>
      <w:adjustRightInd w:val="0"/>
      <w:spacing w:before="200" w:after="163"/>
      <w:jc w:val="center"/>
    </w:pPr>
    <w:rPr>
      <w:rFonts w:ascii="Times New Roman" w:hAnsi="Times New Roman" w:eastAsia="仿宋_GB2312"/>
      <w:bCs w:val="0"/>
      <w:kern w:val="0"/>
      <w:sz w:val="24"/>
      <w:szCs w:val="20"/>
      <w:lang w:val="en-US"/>
    </w:rPr>
  </w:style>
  <w:style w:type="paragraph" w:customStyle="1" w:styleId="3953">
    <w:name w:val="Char4 Char Char Char Char Char Char1"/>
    <w:basedOn w:val="1"/>
    <w:qFormat/>
    <w:uiPriority w:val="99"/>
    <w:rPr>
      <w:rFonts w:ascii="Calibri" w:hAnsi="Calibri" w:cs="Calibri"/>
      <w:sz w:val="24"/>
    </w:rPr>
  </w:style>
  <w:style w:type="paragraph" w:customStyle="1" w:styleId="3954">
    <w:name w:val="Char Char Char Char Char Char Char Char Char1 Char Char Char2"/>
    <w:basedOn w:val="1"/>
    <w:semiHidden/>
    <w:qFormat/>
    <w:uiPriority w:val="0"/>
    <w:rPr>
      <w:rFonts w:ascii="Calibri" w:hAnsi="Calibri" w:cs="Calibri"/>
      <w:sz w:val="24"/>
    </w:rPr>
  </w:style>
  <w:style w:type="paragraph" w:customStyle="1" w:styleId="3955">
    <w:name w:val="Char1 Char Char Char2"/>
    <w:basedOn w:val="1"/>
    <w:qFormat/>
    <w:uiPriority w:val="99"/>
    <w:rPr>
      <w:rFonts w:ascii="Tahoma" w:hAnsi="Tahoma" w:cs="Calibri"/>
      <w:sz w:val="24"/>
      <w:szCs w:val="20"/>
    </w:rPr>
  </w:style>
  <w:style w:type="paragraph" w:customStyle="1" w:styleId="3956">
    <w:name w:val="正文 新宋体 四号"/>
    <w:basedOn w:val="1"/>
    <w:semiHidden/>
    <w:qFormat/>
    <w:uiPriority w:val="0"/>
    <w:pPr>
      <w:spacing w:line="288" w:lineRule="auto"/>
      <w:ind w:firstLine="200" w:firstLineChars="200"/>
    </w:pPr>
    <w:rPr>
      <w:rFonts w:ascii="Calibri" w:hAnsi="Calibri" w:eastAsia="新宋体" w:cs="Calibri"/>
      <w:sz w:val="28"/>
    </w:rPr>
  </w:style>
  <w:style w:type="paragraph" w:customStyle="1" w:styleId="3957">
    <w:name w:val="Char Char Char11"/>
    <w:basedOn w:val="1"/>
    <w:qFormat/>
    <w:uiPriority w:val="99"/>
    <w:rPr>
      <w:rFonts w:ascii="Calibri" w:hAnsi="Calibri" w:cs="Calibri"/>
      <w:sz w:val="24"/>
    </w:rPr>
  </w:style>
  <w:style w:type="paragraph" w:customStyle="1" w:styleId="3958">
    <w:name w:val="样式 (中文) 仿宋_GB2312 四号 首行缩进:  0.98 厘米 行距: 固定值 22 磅"/>
    <w:basedOn w:val="1"/>
    <w:semiHidden/>
    <w:qFormat/>
    <w:uiPriority w:val="0"/>
    <w:pPr>
      <w:spacing w:line="300" w:lineRule="auto"/>
      <w:ind w:firstLine="556"/>
    </w:pPr>
    <w:rPr>
      <w:rFonts w:ascii="Calibri" w:hAnsi="Calibri" w:eastAsia="仿宋_GB2312" w:cs="Calibri"/>
      <w:spacing w:val="-2"/>
      <w:sz w:val="28"/>
      <w:szCs w:val="20"/>
    </w:rPr>
  </w:style>
  <w:style w:type="paragraph" w:customStyle="1" w:styleId="3959">
    <w:name w:val="wtext"/>
    <w:basedOn w:val="1"/>
    <w:qFormat/>
    <w:uiPriority w:val="0"/>
    <w:pPr>
      <w:widowControl/>
      <w:spacing w:before="100" w:beforeAutospacing="1" w:after="100" w:afterAutospacing="1"/>
      <w:ind w:firstLine="480"/>
      <w:jc w:val="left"/>
    </w:pPr>
    <w:rPr>
      <w:rFonts w:ascii="ˎ̥" w:hAnsi="ˎ̥" w:cs="宋体"/>
      <w:color w:val="000000"/>
      <w:kern w:val="0"/>
      <w:sz w:val="22"/>
      <w:szCs w:val="22"/>
    </w:rPr>
  </w:style>
  <w:style w:type="paragraph" w:customStyle="1" w:styleId="3960">
    <w:name w:val="样式 标题 3标题 3 正式 + (西文) Times New Roman1"/>
    <w:basedOn w:val="5"/>
    <w:semiHidden/>
    <w:qFormat/>
    <w:uiPriority w:val="0"/>
    <w:pPr>
      <w:numPr>
        <w:ilvl w:val="0"/>
        <w:numId w:val="0"/>
      </w:numPr>
      <w:tabs>
        <w:tab w:val="left" w:pos="0"/>
      </w:tabs>
      <w:adjustRightInd w:val="0"/>
      <w:snapToGrid w:val="0"/>
      <w:spacing w:before="120" w:after="120" w:line="360" w:lineRule="auto"/>
      <w:ind w:firstLine="200" w:firstLineChars="200"/>
    </w:pPr>
    <w:rPr>
      <w:rFonts w:cs="Calibri"/>
      <w:b w:val="0"/>
      <w:snapToGrid w:val="0"/>
      <w:spacing w:val="4"/>
      <w:kern w:val="0"/>
      <w:sz w:val="24"/>
      <w:szCs w:val="28"/>
      <w:lang w:val="en-US"/>
    </w:rPr>
  </w:style>
  <w:style w:type="paragraph" w:customStyle="1" w:styleId="3961">
    <w:name w:val="标题水污染"/>
    <w:basedOn w:val="6"/>
    <w:semiHidden/>
    <w:qFormat/>
    <w:uiPriority w:val="0"/>
    <w:pPr>
      <w:numPr>
        <w:ilvl w:val="0"/>
        <w:numId w:val="0"/>
      </w:numPr>
      <w:tabs>
        <w:tab w:val="left" w:pos="0"/>
      </w:tabs>
      <w:adjustRightInd w:val="0"/>
      <w:spacing w:before="0" w:after="0" w:line="480" w:lineRule="exact"/>
      <w:ind w:left="425" w:hanging="425"/>
    </w:pPr>
    <w:rPr>
      <w:rFonts w:ascii="宋体" w:eastAsia="宋体" w:cs="Calibri"/>
      <w:bCs/>
      <w:color w:val="000000"/>
      <w:sz w:val="24"/>
      <w:szCs w:val="28"/>
      <w:lang w:val="en-US"/>
    </w:rPr>
  </w:style>
  <w:style w:type="paragraph" w:customStyle="1" w:styleId="3962">
    <w:name w:val="环表"/>
    <w:basedOn w:val="1361"/>
    <w:qFormat/>
    <w:uiPriority w:val="0"/>
    <w:pPr>
      <w:tabs>
        <w:tab w:val="left" w:pos="1464"/>
      </w:tabs>
      <w:spacing w:before="120" w:after="120" w:line="324" w:lineRule="auto"/>
      <w:ind w:left="7" w:right="29" w:firstLine="539" w:firstLineChars="0"/>
      <w:jc w:val="center"/>
    </w:pPr>
    <w:rPr>
      <w:rFonts w:ascii="仿宋_GB2312" w:hAnsi="Courier New" w:eastAsia="仿宋_GB2312"/>
      <w:color w:val="auto"/>
      <w:kern w:val="0"/>
      <w:sz w:val="21"/>
      <w:szCs w:val="20"/>
    </w:rPr>
  </w:style>
  <w:style w:type="paragraph" w:customStyle="1" w:styleId="3963">
    <w:name w:val="环评主标题"/>
    <w:basedOn w:val="1"/>
    <w:semiHidden/>
    <w:qFormat/>
    <w:uiPriority w:val="0"/>
    <w:pPr>
      <w:jc w:val="center"/>
    </w:pPr>
    <w:rPr>
      <w:rFonts w:ascii="黑体" w:hAnsi="Calibri" w:eastAsia="黑体" w:cs="宋体"/>
      <w:sz w:val="52"/>
      <w:szCs w:val="20"/>
    </w:rPr>
  </w:style>
  <w:style w:type="paragraph" w:customStyle="1" w:styleId="3964">
    <w:name w:val="小二宋顶格1.5行"/>
    <w:semiHidden/>
    <w:qFormat/>
    <w:uiPriority w:val="0"/>
    <w:pPr>
      <w:spacing w:line="360" w:lineRule="auto"/>
      <w:ind w:firstLine="454"/>
    </w:pPr>
    <w:rPr>
      <w:rFonts w:ascii="宋体" w:hAnsi="宋体" w:eastAsia="宋体" w:cs="Calibri"/>
      <w:sz w:val="24"/>
      <w:lang w:val="en-US" w:eastAsia="zh-CN" w:bidi="ar-SA"/>
    </w:rPr>
  </w:style>
  <w:style w:type="paragraph" w:customStyle="1" w:styleId="3965">
    <w:name w:val="Char Char Char Char Char Char2 Char Char Char Char1"/>
    <w:basedOn w:val="1"/>
    <w:semiHidden/>
    <w:qFormat/>
    <w:uiPriority w:val="0"/>
    <w:rPr>
      <w:rFonts w:ascii="@黑体" w:hAnsi="@黑体" w:eastAsia="黑体" w:cs="Calibri"/>
    </w:rPr>
  </w:style>
  <w:style w:type="paragraph" w:customStyle="1" w:styleId="3966">
    <w:name w:val="Char Char Char1 Char Char Char Char Char Char Char Char Char Char Char Char Char Char Char1"/>
    <w:basedOn w:val="1"/>
    <w:semiHidden/>
    <w:qFormat/>
    <w:uiPriority w:val="0"/>
    <w:pPr>
      <w:spacing w:line="240" w:lineRule="exact"/>
      <w:ind w:firstLine="200" w:firstLineChars="200"/>
    </w:pPr>
    <w:rPr>
      <w:rFonts w:ascii="Calibri" w:hAnsi="Calibri" w:cs="Calibri"/>
      <w:sz w:val="28"/>
      <w:szCs w:val="28"/>
    </w:rPr>
  </w:style>
  <w:style w:type="paragraph" w:customStyle="1" w:styleId="3967">
    <w:name w:val="列表标题"/>
    <w:basedOn w:val="1"/>
    <w:next w:val="1"/>
    <w:qFormat/>
    <w:uiPriority w:val="99"/>
    <w:pPr>
      <w:jc w:val="center"/>
    </w:pPr>
    <w:rPr>
      <w:rFonts w:ascii="Calibri" w:hAnsi="Calibri" w:cs="Calibri"/>
      <w:sz w:val="24"/>
      <w:szCs w:val="20"/>
    </w:rPr>
  </w:style>
  <w:style w:type="paragraph" w:customStyle="1" w:styleId="3968">
    <w:name w:val="项目编号"/>
    <w:basedOn w:val="1"/>
    <w:next w:val="1"/>
    <w:qFormat/>
    <w:uiPriority w:val="99"/>
    <w:pPr>
      <w:tabs>
        <w:tab w:val="left" w:pos="360"/>
      </w:tabs>
      <w:spacing w:before="120" w:after="120" w:line="360" w:lineRule="auto"/>
      <w:ind w:hanging="200" w:hangingChars="200"/>
    </w:pPr>
    <w:rPr>
      <w:rFonts w:ascii="Calibri" w:hAnsi="Calibri" w:cs="Calibri"/>
      <w:sz w:val="24"/>
      <w:szCs w:val="20"/>
    </w:rPr>
  </w:style>
  <w:style w:type="paragraph" w:customStyle="1" w:styleId="3969">
    <w:name w:val="封面标准号2"/>
    <w:basedOn w:val="1"/>
    <w:qFormat/>
    <w:uiPriority w:val="99"/>
    <w:pPr>
      <w:framePr w:w="9138" w:h="1244" w:hRule="exact" w:wrap="around" w:vAnchor="page" w:hAnchor="margin" w:y="2908" w:anchorLock="1"/>
      <w:kinsoku w:val="0"/>
      <w:overflowPunct w:val="0"/>
      <w:autoSpaceDE w:val="0"/>
      <w:autoSpaceDN w:val="0"/>
      <w:adjustRightInd w:val="0"/>
      <w:spacing w:before="357" w:line="280" w:lineRule="exact"/>
      <w:jc w:val="right"/>
      <w:textAlignment w:val="center"/>
    </w:pPr>
    <w:rPr>
      <w:rFonts w:ascii="Calibri" w:hAnsi="Calibri" w:cs="Calibri"/>
      <w:kern w:val="0"/>
      <w:sz w:val="28"/>
      <w:szCs w:val="20"/>
    </w:rPr>
  </w:style>
  <w:style w:type="paragraph" w:customStyle="1" w:styleId="3970">
    <w:name w:val="BBBBBBBBBB"/>
    <w:basedOn w:val="1"/>
    <w:qFormat/>
    <w:uiPriority w:val="99"/>
    <w:pPr>
      <w:spacing w:line="324" w:lineRule="auto"/>
      <w:jc w:val="center"/>
    </w:pPr>
    <w:rPr>
      <w:rFonts w:ascii="Calibri" w:hAnsi="宋体" w:cs="Calibri"/>
      <w:b/>
      <w:bCs/>
      <w:szCs w:val="21"/>
    </w:rPr>
  </w:style>
  <w:style w:type="paragraph" w:customStyle="1" w:styleId="3971">
    <w:name w:val="样式 居中 首行缩进:  0.85 厘米 行距: 固定值 25 磅"/>
    <w:basedOn w:val="1"/>
    <w:qFormat/>
    <w:uiPriority w:val="99"/>
    <w:pPr>
      <w:spacing w:line="500" w:lineRule="exact"/>
      <w:jc w:val="center"/>
    </w:pPr>
    <w:rPr>
      <w:rFonts w:ascii="Calibri" w:hAnsi="Calibri" w:cs="Calibri"/>
      <w:szCs w:val="20"/>
    </w:rPr>
  </w:style>
  <w:style w:type="paragraph" w:customStyle="1" w:styleId="3972">
    <w:name w:val="报告标题2"/>
    <w:basedOn w:val="4"/>
    <w:semiHidden/>
    <w:qFormat/>
    <w:uiPriority w:val="0"/>
    <w:pPr>
      <w:numPr>
        <w:ilvl w:val="0"/>
        <w:numId w:val="0"/>
      </w:numPr>
      <w:adjustRightInd w:val="0"/>
      <w:spacing w:before="260" w:after="260"/>
    </w:pPr>
    <w:rPr>
      <w:rFonts w:ascii="Times New Roman" w:hAnsi="Times New Roman" w:eastAsia="宋体"/>
      <w:b w:val="0"/>
      <w:kern w:val="0"/>
      <w:sz w:val="32"/>
      <w:szCs w:val="24"/>
      <w:lang w:val="en-US"/>
    </w:rPr>
  </w:style>
  <w:style w:type="paragraph" w:customStyle="1" w:styleId="3973">
    <w:name w:val="文本框五号"/>
    <w:qFormat/>
    <w:uiPriority w:val="99"/>
    <w:pPr>
      <w:adjustRightInd w:val="0"/>
      <w:spacing w:line="240" w:lineRule="atLeast"/>
      <w:jc w:val="center"/>
    </w:pPr>
    <w:rPr>
      <w:rFonts w:ascii="Calibri" w:hAnsi="Calibri" w:eastAsia="仿宋_GB2312" w:cs="Calibri"/>
      <w:snapToGrid w:val="0"/>
      <w:kern w:val="2"/>
      <w:sz w:val="21"/>
      <w:szCs w:val="21"/>
      <w:lang w:val="en-US" w:eastAsia="zh-CN" w:bidi="ar-SA"/>
    </w:rPr>
  </w:style>
  <w:style w:type="paragraph" w:customStyle="1" w:styleId="3974">
    <w:name w:val="Char Char Char1 Char Char Char Char Char Char Char Char Char Char Char Char Char Char Char1 Char Char Char Char Char Char Char Char Char Char Char Char Char Char Char Char Char Char Char Char Char Char Char1"/>
    <w:basedOn w:val="1"/>
    <w:semiHidden/>
    <w:qFormat/>
    <w:uiPriority w:val="0"/>
    <w:rPr>
      <w:rFonts w:ascii="Calibri" w:hAnsi="Calibri" w:cs="Calibri"/>
      <w:szCs w:val="21"/>
    </w:rPr>
  </w:style>
  <w:style w:type="paragraph" w:customStyle="1" w:styleId="3975">
    <w:name w:val="Char Char Char Char Char Char Char Char Char1 Char Char Char1 Char2"/>
    <w:basedOn w:val="1"/>
    <w:semiHidden/>
    <w:qFormat/>
    <w:uiPriority w:val="0"/>
    <w:pPr>
      <w:spacing w:line="360" w:lineRule="auto"/>
      <w:ind w:firstLine="200" w:firstLineChars="200"/>
    </w:pPr>
    <w:rPr>
      <w:rFonts w:ascii="宋体" w:hAnsi="宋体" w:cs="宋体"/>
      <w:sz w:val="24"/>
    </w:rPr>
  </w:style>
  <w:style w:type="paragraph" w:customStyle="1" w:styleId="3976">
    <w:name w:val="右五"/>
    <w:basedOn w:val="3745"/>
    <w:next w:val="1"/>
    <w:qFormat/>
    <w:uiPriority w:val="99"/>
    <w:pPr>
      <w:jc w:val="right"/>
    </w:pPr>
  </w:style>
  <w:style w:type="paragraph" w:customStyle="1" w:styleId="3977">
    <w:name w:val="样式110"/>
    <w:basedOn w:val="2279"/>
    <w:qFormat/>
    <w:uiPriority w:val="99"/>
    <w:pPr>
      <w:adjustRightInd w:val="0"/>
    </w:pPr>
  </w:style>
  <w:style w:type="paragraph" w:customStyle="1" w:styleId="3978">
    <w:name w:val="0"/>
    <w:basedOn w:val="1"/>
    <w:qFormat/>
    <w:uiPriority w:val="99"/>
    <w:pPr>
      <w:widowControl/>
      <w:snapToGrid w:val="0"/>
      <w:spacing w:line="590" w:lineRule="atLeast"/>
      <w:ind w:firstLine="624"/>
    </w:pPr>
    <w:rPr>
      <w:rFonts w:ascii="Calibri" w:hAnsi="Calibri" w:cs="Calibri"/>
      <w:kern w:val="0"/>
      <w:sz w:val="32"/>
      <w:szCs w:val="32"/>
    </w:rPr>
  </w:style>
  <w:style w:type="paragraph" w:customStyle="1" w:styleId="3979">
    <w:name w:val="title 01"/>
    <w:basedOn w:val="1"/>
    <w:semiHidden/>
    <w:qFormat/>
    <w:uiPriority w:val="0"/>
    <w:pPr>
      <w:jc w:val="center"/>
    </w:pPr>
    <w:rPr>
      <w:rFonts w:ascii="Calibri" w:hAnsi="Calibri" w:cs="宋体"/>
      <w:sz w:val="44"/>
      <w:szCs w:val="20"/>
    </w:rPr>
  </w:style>
  <w:style w:type="paragraph" w:customStyle="1" w:styleId="3980">
    <w:name w:val="标准文本 首行缩进:2 字符 行距1倍 Char"/>
    <w:basedOn w:val="1"/>
    <w:semiHidden/>
    <w:qFormat/>
    <w:uiPriority w:val="0"/>
    <w:pPr>
      <w:adjustRightInd w:val="0"/>
      <w:snapToGrid w:val="0"/>
      <w:spacing w:line="480" w:lineRule="exact"/>
      <w:ind w:firstLine="480" w:firstLineChars="200"/>
      <w:jc w:val="center"/>
      <w:textAlignment w:val="center"/>
    </w:pPr>
    <w:rPr>
      <w:rFonts w:ascii="Calibri" w:hAnsi="Calibri" w:cs="Calibri"/>
      <w:color w:val="FF0000"/>
      <w:sz w:val="24"/>
    </w:rPr>
  </w:style>
  <w:style w:type="paragraph" w:customStyle="1" w:styleId="3981">
    <w:name w:val="样式 正文居中五号 + 行距: 单倍行距"/>
    <w:basedOn w:val="3797"/>
    <w:semiHidden/>
    <w:qFormat/>
    <w:uiPriority w:val="0"/>
    <w:pPr>
      <w:spacing w:line="240" w:lineRule="auto"/>
    </w:pPr>
  </w:style>
  <w:style w:type="table" w:customStyle="1" w:styleId="3982">
    <w:name w:val="专业网格2"/>
    <w:basedOn w:val="90"/>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3">
    <w:name w:val="网格型 11"/>
    <w:basedOn w:val="90"/>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84">
    <w:name w:val="网格型ZHJICIA21"/>
    <w:basedOn w:val="90"/>
    <w:qFormat/>
    <w:uiPriority w:val="0"/>
    <w:pPr>
      <w:widowControl w:val="0"/>
      <w:adjustRightInd w:val="0"/>
      <w:snapToGrid w:val="0"/>
      <w:spacing w:line="30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5">
    <w:name w:val="表格主题12"/>
    <w:basedOn w:val="90"/>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6">
    <w:name w:val="lily 表格1"/>
    <w:basedOn w:val="90"/>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7">
    <w:name w:val="列表型 41"/>
    <w:basedOn w:val="90"/>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cPr>
        <w:tcBorders>
          <w:top w:val="nil"/>
          <w:left w:val="nil"/>
          <w:bottom w:val="single" w:color="000000" w:sz="12" w:space="0"/>
          <w:right w:val="nil"/>
          <w:insideH w:val="nil"/>
          <w:insideV w:val="nil"/>
          <w:tl2br w:val="nil"/>
          <w:tr2bl w:val="nil"/>
        </w:tcBorders>
        <w:shd w:val="solid" w:color="808080" w:fill="FFFFFF"/>
      </w:tcPr>
    </w:tblStylePr>
  </w:style>
  <w:style w:type="table" w:customStyle="1" w:styleId="3988">
    <w:name w:val="黄桥表1"/>
    <w:basedOn w:val="90"/>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89">
    <w:name w:val="表格主题11"/>
    <w:basedOn w:val="90"/>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0">
    <w:name w:val="网格型ZHJICIA11"/>
    <w:basedOn w:val="90"/>
    <w:qFormat/>
    <w:uiPriority w:val="0"/>
    <w:pPr>
      <w:widowControl w:val="0"/>
      <w:adjustRightInd w:val="0"/>
      <w:snapToGrid w:val="0"/>
      <w:spacing w:line="30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1">
    <w:name w:val="表格主题2"/>
    <w:basedOn w:val="90"/>
    <w:qFormat/>
    <w:uiPriority w:val="0"/>
    <w:pPr>
      <w:widowControl w:val="0"/>
      <w:spacing w:line="480" w:lineRule="exact"/>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2">
    <w:name w:val="简明型 11"/>
    <w:basedOn w:val="90"/>
    <w:qFormat/>
    <w:uiPriority w:val="0"/>
    <w:pPr>
      <w:widowControl w:val="0"/>
      <w:jc w:val="both"/>
    </w:pPr>
    <w:rPr>
      <w:rFonts w:cs="Calibri"/>
    </w:rPr>
    <w:tblPr>
      <w:tblBorders>
        <w:top w:val="single" w:color="008000" w:sz="12" w:space="0"/>
        <w:bottom w:val="single" w:color="008000" w:sz="12" w:space="0"/>
      </w:tblBorders>
    </w:tblPr>
    <w:tcPr>
      <w:shd w:val="clear" w:color="auto" w:fill="auto"/>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3993">
    <w:name w:val="网格型 52"/>
    <w:basedOn w:val="90"/>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3994">
    <w:name w:val="lily 表格11"/>
    <w:basedOn w:val="90"/>
    <w:qFormat/>
    <w:uiPriority w:val="0"/>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5">
    <w:name w:val="网格型（pxg）1"/>
    <w:basedOn w:val="90"/>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6">
    <w:name w:val="网格型ZHJICIA1"/>
    <w:basedOn w:val="90"/>
    <w:qFormat/>
    <w:uiPriority w:val="0"/>
    <w:pPr>
      <w:widowControl w:val="0"/>
      <w:adjustRightInd w:val="0"/>
      <w:snapToGrid w:val="0"/>
      <w:spacing w:line="30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7">
    <w:name w:val="列表型 51"/>
    <w:basedOn w:val="90"/>
    <w:qFormat/>
    <w:uiPriority w:val="0"/>
    <w:pPr>
      <w:widowControl w:val="0"/>
      <w:jc w:val="both"/>
    </w:pPr>
    <w:rPr>
      <w:rFonts w:cs="Calibri"/>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cPr>
        <w:tcBorders>
          <w:top w:val="nil"/>
          <w:left w:val="nil"/>
          <w:bottom w:val="single" w:color="000000" w:sz="12" w:space="0"/>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style>
  <w:style w:type="table" w:customStyle="1" w:styleId="3998">
    <w:name w:val="网格型ZHJICIA2"/>
    <w:basedOn w:val="90"/>
    <w:qFormat/>
    <w:uiPriority w:val="0"/>
    <w:pPr>
      <w:widowControl w:val="0"/>
      <w:adjustRightInd w:val="0"/>
      <w:snapToGrid w:val="0"/>
      <w:spacing w:line="300" w:lineRule="auto"/>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999">
    <w:name w:val="网格型 511"/>
    <w:basedOn w:val="90"/>
    <w:qFormat/>
    <w:uiPriority w:val="0"/>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4000">
    <w:name w:val="典雅型1"/>
    <w:basedOn w:val="90"/>
    <w:unhideWhenUsed/>
    <w:qFormat/>
    <w:uiPriority w:val="0"/>
    <w:pPr>
      <w:widowControl w:val="0"/>
      <w:jc w:val="both"/>
    </w:pPr>
    <w:rPr>
      <w:rFonts w:cs="Calibri"/>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op w:val="nil"/>
          <w:left w:val="nil"/>
          <w:bottom w:val="nil"/>
          <w:right w:val="nil"/>
          <w:insideH w:val="nil"/>
          <w:insideV w:val="nil"/>
          <w:tl2br w:val="nil"/>
          <w:tr2bl w:val="nil"/>
        </w:tcBorders>
      </w:tcPr>
    </w:tblStylePr>
  </w:style>
  <w:style w:type="table" w:customStyle="1" w:styleId="4001">
    <w:name w:val="无左右边框网格"/>
    <w:basedOn w:val="91"/>
    <w:qFormat/>
    <w:uiPriority w:val="0"/>
    <w:pPr>
      <w:widowControl w:val="0"/>
      <w:jc w:val="center"/>
    </w:pPr>
    <w:rPr>
      <w:rFonts w:eastAsia="楷体_GB2312"/>
      <w:sz w:val="21"/>
    </w:rPr>
    <w:tblPr>
      <w:tblCellMar>
        <w:left w:w="0" w:type="dxa"/>
        <w:right w:w="0" w:type="dxa"/>
      </w:tblCellMar>
    </w:tblPr>
    <w:tcPr>
      <w:vAlign w:val="center"/>
    </w:tcPr>
  </w:style>
  <w:style w:type="table" w:customStyle="1" w:styleId="4002">
    <w:name w:val="样式21"/>
    <w:basedOn w:val="101"/>
    <w:qFormat/>
    <w:uiPriority w:val="0"/>
    <w:rPr>
      <w:rFonts w:ascii="Calibri" w:hAnsi="Calibri"/>
    </w:r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4003">
    <w:name w:val="MFS表格"/>
    <w:basedOn w:val="90"/>
    <w:qFormat/>
    <w:uiPriority w:val="0"/>
    <w:pPr>
      <w:widowControl w:val="0"/>
      <w:snapToGrid w:val="0"/>
      <w:jc w:val="center"/>
    </w:pPr>
    <w:rPr>
      <w:rFonts w:cs="Calibri"/>
      <w:sz w:val="18"/>
    </w:rPr>
    <w:tblPr>
      <w:tblBorders>
        <w:top w:val="single" w:color="000000" w:sz="12" w:space="0"/>
        <w:bottom w:val="single" w:color="000000" w:sz="12" w:space="0"/>
        <w:insideH w:val="single" w:color="000000" w:sz="6" w:space="0"/>
        <w:insideV w:val="single" w:color="000000" w:sz="6" w:space="0"/>
      </w:tblBorders>
    </w:tblPr>
    <w:tcPr>
      <w:shd w:val="clear" w:color="auto" w:fill="auto"/>
      <w:vAlign w:val="center"/>
    </w:tcPr>
    <w:tblStylePr w:type="firstRow">
      <w:tcPr>
        <w:tcBorders>
          <w:top w:val="nil"/>
          <w:left w:val="nil"/>
          <w:bottom w:val="single" w:color="008000" w:sz="6" w:space="0"/>
          <w:right w:val="nil"/>
          <w:insideH w:val="nil"/>
          <w:insideV w:val="nil"/>
          <w:tl2br w:val="nil"/>
          <w:tr2bl w:val="nil"/>
        </w:tcBorders>
      </w:tcPr>
    </w:tblStylePr>
    <w:tblStylePr w:type="lastRow">
      <w:tcPr>
        <w:tcBorders>
          <w:top w:val="single" w:color="008000" w:sz="6" w:space="0"/>
          <w:left w:val="nil"/>
          <w:bottom w:val="nil"/>
          <w:right w:val="nil"/>
          <w:insideH w:val="nil"/>
          <w:insideV w:val="nil"/>
          <w:tl2br w:val="nil"/>
          <w:tr2bl w:val="nil"/>
        </w:tcBorders>
      </w:tcPr>
    </w:tblStylePr>
  </w:style>
  <w:style w:type="table" w:customStyle="1" w:styleId="4004">
    <w:name w:val="专业网格1"/>
    <w:basedOn w:val="90"/>
    <w:qFormat/>
    <w:uiPriority w:val="0"/>
    <w:pPr>
      <w:widowControl w:val="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5">
    <w:name w:val="yp格式"/>
    <w:basedOn w:val="90"/>
    <w:qFormat/>
    <w:uiPriority w:val="0"/>
    <w:pPr>
      <w:adjustRightInd w:val="0"/>
      <w:snapToGrid w:val="0"/>
      <w:jc w:val="center"/>
    </w:pPr>
    <w:rPr>
      <w:rFonts w:cs="Calibri"/>
      <w:sz w:val="21"/>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table" w:customStyle="1" w:styleId="4006">
    <w:name w:val="网格型c1"/>
    <w:basedOn w:val="90"/>
    <w:qFormat/>
    <w:uiPriority w:val="0"/>
    <w:pPr>
      <w:widowControl w:val="0"/>
      <w:spacing w:line="360" w:lineRule="auto"/>
      <w:ind w:firstLine="200" w:firstLineChars="200"/>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7">
    <w:name w:val="毛的表格"/>
    <w:basedOn w:val="90"/>
    <w:qFormat/>
    <w:uiPriority w:val="0"/>
    <w:pPr>
      <w:jc w:val="center"/>
    </w:pPr>
    <w:rPr>
      <w:rFonts w:cs="Calibri"/>
      <w:sz w:val="24"/>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style>
  <w:style w:type="table" w:customStyle="1" w:styleId="4008">
    <w:name w:val="黄桥表2"/>
    <w:basedOn w:val="90"/>
    <w:qFormat/>
    <w:uiPriority w:val="0"/>
    <w:pPr>
      <w:widowControl w:val="0"/>
      <w:spacing w:line="500" w:lineRule="atLeast"/>
      <w:jc w:val="both"/>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09">
    <w:name w:val="ljw"/>
    <w:basedOn w:val="92"/>
    <w:semiHidden/>
    <w:qFormat/>
    <w:uiPriority w:val="0"/>
    <w:pPr>
      <w:spacing w:line="440" w:lineRule="exact"/>
      <w:ind w:firstLine="200" w:firstLineChars="200"/>
    </w:pPr>
    <w:rPr>
      <w:snapToGrid w:val="0"/>
      <w:sz w:val="18"/>
      <w:szCs w:val="18"/>
    </w:rPr>
    <w:tblPr>
      <w:tblBorders>
        <w:top w:val="single" w:color="auto" w:sz="6" w:space="0"/>
        <w:bottom w:val="single" w:color="auto" w:sz="6" w:space="0"/>
        <w:insideH w:val="single" w:color="auto" w:sz="6" w:space="0"/>
        <w:insideV w:val="single" w:color="auto" w:sz="6" w:space="0"/>
      </w:tblBorders>
    </w:tblPr>
  </w:style>
  <w:style w:type="table" w:customStyle="1" w:styleId="4010">
    <w:name w:val="表格主题1"/>
    <w:basedOn w:val="90"/>
    <w:qFormat/>
    <w:uiPriority w:val="0"/>
    <w:pPr>
      <w:widowControl w:val="0"/>
      <w:spacing w:line="480" w:lineRule="exact"/>
    </w:pPr>
    <w:rPr>
      <w:rFonts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011">
    <w:name w:val="yeti"/>
    <w:basedOn w:val="90"/>
    <w:qFormat/>
    <w:uiPriority w:val="0"/>
    <w:pPr>
      <w:spacing w:line="360" w:lineRule="exact"/>
      <w:jc w:val="center"/>
    </w:pPr>
    <w:rPr>
      <w:rFonts w:cs="Calibri"/>
    </w:rPr>
    <w:tblPr>
      <w:tblBorders>
        <w:top w:val="single" w:color="auto" w:sz="12" w:space="0"/>
        <w:bottom w:val="single" w:color="auto" w:sz="12" w:space="0"/>
        <w:insideH w:val="single" w:color="auto" w:sz="4" w:space="0"/>
        <w:insideV w:val="single" w:color="auto" w:sz="4" w:space="0"/>
      </w:tblBorders>
    </w:tblPr>
    <w:tcPr>
      <w:vAlign w:val="center"/>
    </w:tcPr>
  </w:style>
  <w:style w:type="table" w:customStyle="1" w:styleId="4012">
    <w:name w:val="网格型 51"/>
    <w:basedOn w:val="90"/>
    <w:qFormat/>
    <w:uiPriority w:val="99"/>
    <w:pPr>
      <w:widowControl w:val="0"/>
      <w:jc w:val="both"/>
    </w:pPr>
    <w:rPr>
      <w:rFonts w:cs="Calibri"/>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cPr>
        <w:tcBorders>
          <w:top w:val="nil"/>
          <w:left w:val="nil"/>
          <w:bottom w:val="single" w:color="000000" w:sz="12" w:space="0"/>
          <w:right w:val="nil"/>
          <w:insideH w:val="nil"/>
          <w:insideV w:val="nil"/>
          <w:tl2br w:val="nil"/>
          <w:tr2bl w:val="nil"/>
        </w:tcBorders>
      </w:tcPr>
    </w:tblStylePr>
    <w:tblStylePr w:type="lastRow">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paragraph" w:customStyle="1" w:styleId="4013">
    <w:name w:val="Char15"/>
    <w:basedOn w:val="1"/>
    <w:qFormat/>
    <w:uiPriority w:val="0"/>
    <w:pPr>
      <w:widowControl/>
      <w:spacing w:line="360" w:lineRule="auto"/>
      <w:ind w:firstLine="200" w:firstLineChars="200"/>
      <w:jc w:val="left"/>
    </w:pPr>
    <w:rPr>
      <w:rFonts w:cs="Calibri"/>
      <w:kern w:val="0"/>
      <w:sz w:val="20"/>
      <w:szCs w:val="20"/>
    </w:rPr>
  </w:style>
  <w:style w:type="paragraph" w:customStyle="1" w:styleId="4014">
    <w:name w:val="标题 41"/>
    <w:basedOn w:val="1"/>
    <w:semiHidden/>
    <w:qFormat/>
    <w:uiPriority w:val="1"/>
    <w:pPr>
      <w:spacing w:before="26"/>
      <w:ind w:left="707"/>
      <w:jc w:val="left"/>
      <w:outlineLvl w:val="4"/>
    </w:pPr>
    <w:rPr>
      <w:rFonts w:ascii="宋体" w:hAnsi="宋体" w:cs="Calibri"/>
      <w:b/>
      <w:bCs/>
      <w:kern w:val="0"/>
      <w:sz w:val="24"/>
      <w:lang w:eastAsia="en-US"/>
    </w:rPr>
  </w:style>
  <w:style w:type="paragraph" w:customStyle="1" w:styleId="4015">
    <w:name w:val="样式 (中文) 楷体_GB2312 小四 行距: 1.5 倍行距1"/>
    <w:basedOn w:val="1"/>
    <w:next w:val="28"/>
    <w:semiHidden/>
    <w:qFormat/>
    <w:uiPriority w:val="0"/>
    <w:pPr>
      <w:spacing w:line="360" w:lineRule="auto"/>
      <w:ind w:firstLine="480" w:firstLineChars="200"/>
    </w:pPr>
    <w:rPr>
      <w:rFonts w:eastAsia="楷体_GB2312" w:cs="宋体"/>
      <w:sz w:val="24"/>
      <w:szCs w:val="20"/>
    </w:rPr>
  </w:style>
  <w:style w:type="paragraph" w:customStyle="1" w:styleId="4016">
    <w:name w:val="Char Char Char Char Char Char Char Char Char Char Char Char1 Char"/>
    <w:basedOn w:val="1"/>
    <w:semiHidden/>
    <w:qFormat/>
    <w:uiPriority w:val="0"/>
    <w:pPr>
      <w:spacing w:line="360" w:lineRule="auto"/>
      <w:ind w:firstLine="200" w:firstLineChars="200"/>
    </w:pPr>
    <w:rPr>
      <w:rFonts w:cs="Calibri"/>
      <w:szCs w:val="20"/>
    </w:rPr>
  </w:style>
  <w:style w:type="table" w:customStyle="1" w:styleId="4017">
    <w:name w:val="标准表格"/>
    <w:basedOn w:val="90"/>
    <w:qFormat/>
    <w:uiPriority w:val="99"/>
    <w:pPr>
      <w:spacing w:before="74"/>
      <w:jc w:val="center"/>
    </w:pPr>
    <w:rPr>
      <w:rFonts w:cs="Calibri"/>
      <w:sz w:val="18"/>
    </w:rPr>
    <w:tblPr>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rPr>
      <w:jc w:val="center"/>
    </w:trPr>
    <w:tcPr>
      <w:shd w:val="clear" w:color="auto" w:fill="FFFFFF"/>
      <w:vAlign w:val="center"/>
    </w:tcPr>
    <w:tblStylePr w:type="firstRow">
      <w:pPr>
        <w:wordWrap/>
        <w:spacing w:before="0" w:beforeLines="0" w:beforeAutospacing="0" w:after="0" w:afterLines="0" w:afterAutospacing="0" w:line="240" w:lineRule="auto"/>
        <w:ind w:left="0" w:leftChars="0" w:right="0" w:rightChars="0" w:firstLine="0" w:firstLineChars="0"/>
        <w:jc w:val="center"/>
      </w:pPr>
      <w:rPr>
        <w:rFonts w:eastAsia="Marlett"/>
        <w:sz w:val="18"/>
      </w:rPr>
      <w:tblPr/>
      <w:trPr>
        <w:tblHeader/>
      </w:trPr>
    </w:tblStylePr>
    <w:tblStylePr w:type="firstCol">
      <w:pPr>
        <w:jc w:val="center"/>
      </w:pPr>
    </w:tblStylePr>
  </w:style>
  <w:style w:type="paragraph" w:customStyle="1" w:styleId="4018">
    <w:name w:val="1正文缩进"/>
    <w:basedOn w:val="1"/>
    <w:semiHidden/>
    <w:qFormat/>
    <w:uiPriority w:val="0"/>
    <w:pPr>
      <w:adjustRightInd w:val="0"/>
      <w:spacing w:line="360" w:lineRule="auto"/>
      <w:ind w:firstLine="200" w:firstLineChars="200"/>
    </w:pPr>
    <w:rPr>
      <w:rFonts w:cs="Calibri"/>
      <w:sz w:val="24"/>
      <w:szCs w:val="20"/>
    </w:rPr>
  </w:style>
  <w:style w:type="character" w:customStyle="1" w:styleId="4019">
    <w:name w:val="正文（首行缩进） Char Char Char"/>
    <w:link w:val="4020"/>
    <w:semiHidden/>
    <w:qFormat/>
    <w:uiPriority w:val="0"/>
    <w:rPr>
      <w:sz w:val="24"/>
    </w:rPr>
  </w:style>
  <w:style w:type="paragraph" w:customStyle="1" w:styleId="4020">
    <w:name w:val="正文（首行缩进） Char"/>
    <w:basedOn w:val="1"/>
    <w:link w:val="4019"/>
    <w:semiHidden/>
    <w:qFormat/>
    <w:uiPriority w:val="0"/>
    <w:pPr>
      <w:widowControl/>
      <w:overflowPunct w:val="0"/>
      <w:topLinePunct/>
      <w:autoSpaceDE w:val="0"/>
      <w:autoSpaceDN w:val="0"/>
      <w:adjustRightInd w:val="0"/>
      <w:snapToGrid w:val="0"/>
      <w:spacing w:line="360" w:lineRule="auto"/>
      <w:ind w:firstLine="480" w:firstLineChars="200"/>
      <w:textAlignment w:val="baseline"/>
    </w:pPr>
    <w:rPr>
      <w:kern w:val="0"/>
      <w:sz w:val="24"/>
      <w:szCs w:val="20"/>
    </w:rPr>
  </w:style>
  <w:style w:type="paragraph" w:customStyle="1" w:styleId="4021">
    <w:name w:val="ZW"/>
    <w:basedOn w:val="1"/>
    <w:semiHidden/>
    <w:qFormat/>
    <w:uiPriority w:val="0"/>
    <w:pPr>
      <w:adjustRightInd w:val="0"/>
      <w:snapToGrid w:val="0"/>
      <w:spacing w:line="360" w:lineRule="auto"/>
      <w:ind w:firstLine="200" w:firstLineChars="200"/>
    </w:pPr>
    <w:rPr>
      <w:rFonts w:eastAsia="仿宋_GB2312" w:cs="Calibri"/>
      <w:kern w:val="0"/>
      <w:sz w:val="28"/>
    </w:rPr>
  </w:style>
  <w:style w:type="character" w:customStyle="1" w:styleId="4022">
    <w:name w:val="正文(首行缩进2字) Char"/>
    <w:link w:val="4023"/>
    <w:qFormat/>
    <w:uiPriority w:val="0"/>
    <w:rPr>
      <w:sz w:val="24"/>
    </w:rPr>
  </w:style>
  <w:style w:type="paragraph" w:customStyle="1" w:styleId="4023">
    <w:name w:val="正文(首行缩进2字)"/>
    <w:basedOn w:val="1"/>
    <w:next w:val="1"/>
    <w:link w:val="4022"/>
    <w:qFormat/>
    <w:uiPriority w:val="0"/>
    <w:pPr>
      <w:adjustRightInd w:val="0"/>
      <w:spacing w:line="360" w:lineRule="auto"/>
      <w:ind w:firstLine="480" w:firstLineChars="200"/>
      <w:jc w:val="center"/>
      <w:textAlignment w:val="baseline"/>
    </w:pPr>
    <w:rPr>
      <w:kern w:val="0"/>
      <w:sz w:val="24"/>
      <w:szCs w:val="20"/>
    </w:rPr>
  </w:style>
  <w:style w:type="paragraph" w:customStyle="1" w:styleId="4024">
    <w:name w:val="标题二"/>
    <w:basedOn w:val="1"/>
    <w:qFormat/>
    <w:uiPriority w:val="99"/>
    <w:pPr>
      <w:widowControl/>
      <w:jc w:val="left"/>
    </w:pPr>
    <w:rPr>
      <w:rFonts w:hint="eastAsia" w:ascii="宋体" w:hAnsi="宋体" w:cs="Calibri"/>
      <w:kern w:val="0"/>
      <w:sz w:val="24"/>
      <w:lang w:val="zh-CN"/>
    </w:rPr>
  </w:style>
  <w:style w:type="paragraph" w:customStyle="1" w:styleId="4025">
    <w:name w:val="样式 首行缩进:  1.04 厘米"/>
    <w:semiHidden/>
    <w:qFormat/>
    <w:uiPriority w:val="0"/>
    <w:pPr>
      <w:widowControl w:val="0"/>
      <w:spacing w:line="360" w:lineRule="auto"/>
    </w:pPr>
    <w:rPr>
      <w:rFonts w:ascii="Times New Roman" w:hAnsi="Times New Roman" w:eastAsia="Arial Unicode MS" w:cs="Arial Unicode MS"/>
      <w:color w:val="000000"/>
      <w:sz w:val="24"/>
      <w:szCs w:val="24"/>
      <w:u w:color="000000"/>
      <w:lang w:val="en-US" w:eastAsia="zh-CN" w:bidi="ar-SA"/>
    </w:rPr>
  </w:style>
  <w:style w:type="paragraph" w:customStyle="1" w:styleId="4026">
    <w:name w:val="正文 A"/>
    <w:semiHidden/>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4027">
    <w:name w:val="默认 A"/>
    <w:semiHidden/>
    <w:qFormat/>
    <w:uiPriority w:val="0"/>
    <w:rPr>
      <w:rFonts w:ascii="Helvetica" w:hAnsi="Helvetica" w:eastAsia="Arial Unicode MS" w:cs="Arial Unicode MS"/>
      <w:color w:val="000000"/>
      <w:sz w:val="22"/>
      <w:szCs w:val="22"/>
      <w:u w:color="000000"/>
      <w:lang w:val="en-US" w:eastAsia="zh-CN" w:bidi="ar-SA"/>
    </w:rPr>
  </w:style>
  <w:style w:type="paragraph" w:customStyle="1" w:styleId="4028">
    <w:name w:val="本文格式"/>
    <w:semiHidden/>
    <w:qFormat/>
    <w:uiPriority w:val="0"/>
    <w:pPr>
      <w:widowControl w:val="0"/>
      <w:spacing w:line="360" w:lineRule="exact"/>
      <w:ind w:firstLine="476"/>
      <w:jc w:val="both"/>
    </w:pPr>
    <w:rPr>
      <w:rFonts w:ascii="Arial Unicode MS" w:hAnsi="Arial Unicode MS" w:eastAsia="Arial Unicode MS" w:cs="Arial Unicode MS"/>
      <w:color w:val="000000"/>
      <w:sz w:val="24"/>
      <w:szCs w:val="24"/>
      <w:u w:color="000000"/>
      <w:lang w:val="en-US" w:eastAsia="zh-CN" w:bidi="ar-SA"/>
    </w:rPr>
  </w:style>
  <w:style w:type="character" w:customStyle="1" w:styleId="4029">
    <w:name w:val="样式 表格内字体 + Char1"/>
    <w:qFormat/>
    <w:uiPriority w:val="0"/>
    <w:rPr>
      <w:rFonts w:hint="eastAsia" w:ascii="宋体" w:hAnsi="宋体" w:eastAsia="宋体"/>
      <w:kern w:val="2"/>
      <w:sz w:val="21"/>
      <w:szCs w:val="24"/>
    </w:rPr>
  </w:style>
  <w:style w:type="character" w:customStyle="1" w:styleId="4030">
    <w:name w:val="表中文字 Char27"/>
    <w:qFormat/>
    <w:uiPriority w:val="0"/>
    <w:rPr>
      <w:rFonts w:hint="eastAsia" w:ascii="宋体" w:hAnsi="Times New Roman" w:eastAsia="宋体" w:cs="Times New Roman"/>
      <w:kern w:val="0"/>
      <w:sz w:val="24"/>
      <w:szCs w:val="21"/>
      <w:lang w:val="en-US" w:eastAsia="zh-CN"/>
    </w:rPr>
  </w:style>
  <w:style w:type="character" w:customStyle="1" w:styleId="4031">
    <w:name w:val="正文(首行缩进) Char Char Char"/>
    <w:semiHidden/>
    <w:qFormat/>
    <w:uiPriority w:val="0"/>
    <w:rPr>
      <w:rFonts w:hint="eastAsia" w:ascii="宋体" w:hAnsi="宋体" w:eastAsia="宋体"/>
      <w:snapToGrid/>
      <w:sz w:val="24"/>
      <w:szCs w:val="24"/>
      <w:lang w:val="en-US" w:eastAsia="zh-CN"/>
    </w:rPr>
  </w:style>
  <w:style w:type="character" w:customStyle="1" w:styleId="4032">
    <w:name w:val="z51"/>
    <w:qFormat/>
    <w:uiPriority w:val="0"/>
    <w:rPr>
      <w:color w:val="2D88B5"/>
      <w:sz w:val="18"/>
      <w:szCs w:val="18"/>
    </w:rPr>
  </w:style>
  <w:style w:type="character" w:customStyle="1" w:styleId="4033">
    <w:name w:val="A正文 Char4"/>
    <w:qFormat/>
    <w:uiPriority w:val="0"/>
    <w:rPr>
      <w:rFonts w:hint="eastAsia" w:ascii="仿宋_GB2312" w:eastAsia="仿宋_GB2312"/>
      <w:kern w:val="2"/>
      <w:sz w:val="24"/>
      <w:szCs w:val="24"/>
      <w:lang w:val="en-US" w:eastAsia="zh-CN"/>
    </w:rPr>
  </w:style>
  <w:style w:type="character" w:customStyle="1" w:styleId="4034">
    <w:name w:val="z-窗体顶端 Char1"/>
    <w:qFormat/>
    <w:uiPriority w:val="0"/>
    <w:rPr>
      <w:rFonts w:ascii="Arial" w:hAnsi="Arial" w:eastAsia="仿宋_GB2312" w:cs="Arial"/>
      <w:vanish/>
      <w:kern w:val="2"/>
      <w:sz w:val="16"/>
      <w:szCs w:val="16"/>
    </w:rPr>
  </w:style>
  <w:style w:type="character" w:customStyle="1" w:styleId="4035">
    <w:name w:val="样式 正文缩进 + 宋体 黑色 Char Char"/>
    <w:semiHidden/>
    <w:qFormat/>
    <w:uiPriority w:val="0"/>
    <w:rPr>
      <w:rFonts w:ascii="宋体" w:hAnsi="宋体" w:eastAsia="宋体"/>
      <w:color w:val="000000"/>
      <w:sz w:val="24"/>
      <w:szCs w:val="24"/>
      <w:lang w:bidi="ar-SA"/>
    </w:rPr>
  </w:style>
  <w:style w:type="character" w:customStyle="1" w:styleId="4036">
    <w:name w:val="正文修改 Char122"/>
    <w:qFormat/>
    <w:uiPriority w:val="0"/>
    <w:rPr>
      <w:rFonts w:hint="eastAsia" w:ascii="宋体" w:hAnsi="宋体" w:eastAsia="宋体" w:cs="宋体"/>
      <w:color w:val="000000"/>
      <w:kern w:val="2"/>
      <w:sz w:val="24"/>
      <w:szCs w:val="24"/>
      <w:lang w:val="en-US" w:eastAsia="zh-CN"/>
    </w:rPr>
  </w:style>
  <w:style w:type="character" w:customStyle="1" w:styleId="4037">
    <w:name w:val="chen表头1 Char Char"/>
    <w:qFormat/>
    <w:uiPriority w:val="0"/>
    <w:rPr>
      <w:rFonts w:ascii="楷体_GB2312" w:eastAsia="楷体_GB2312"/>
      <w:b/>
      <w:sz w:val="24"/>
      <w:lang w:bidi="ar-SA"/>
    </w:rPr>
  </w:style>
  <w:style w:type="character" w:customStyle="1" w:styleId="4038">
    <w:name w:val="HTML 变量1"/>
    <w:qFormat/>
    <w:uiPriority w:val="0"/>
    <w:rPr>
      <w:rFonts w:hint="eastAsia" w:ascii="宋体" w:hAnsi="宋体" w:eastAsia="宋体" w:cs="Courier New"/>
      <w:i/>
      <w:iCs/>
      <w:kern w:val="2"/>
      <w:sz w:val="32"/>
      <w:szCs w:val="32"/>
      <w:lang w:val="en-US" w:eastAsia="zh-CN"/>
    </w:rPr>
  </w:style>
  <w:style w:type="character" w:customStyle="1" w:styleId="4039">
    <w:name w:val="Char Char631"/>
    <w:qFormat/>
    <w:uiPriority w:val="0"/>
    <w:rPr>
      <w:rFonts w:hint="eastAsia" w:ascii="黑体" w:eastAsia="黑体"/>
      <w:b/>
      <w:bCs/>
      <w:kern w:val="2"/>
      <w:sz w:val="28"/>
      <w:szCs w:val="28"/>
      <w:lang w:val="en-US" w:eastAsia="zh-CN"/>
    </w:rPr>
  </w:style>
  <w:style w:type="character" w:customStyle="1" w:styleId="4040">
    <w:name w:val="图表题 Char13"/>
    <w:qFormat/>
    <w:uiPriority w:val="0"/>
    <w:rPr>
      <w:rFonts w:hint="eastAsia" w:ascii="黑体" w:hAnsi="宋体" w:eastAsia="黑体" w:cs="宋体"/>
      <w:b/>
      <w:bCs/>
      <w:kern w:val="2"/>
      <w:sz w:val="24"/>
      <w:szCs w:val="24"/>
      <w:lang w:val="en-US" w:eastAsia="zh-CN"/>
    </w:rPr>
  </w:style>
  <w:style w:type="character" w:customStyle="1" w:styleId="4041">
    <w:name w:val="标题 2 Char4"/>
    <w:qFormat/>
    <w:uiPriority w:val="0"/>
    <w:rPr>
      <w:rFonts w:hint="eastAsia" w:ascii="黑体" w:hAnsi="Arial" w:eastAsia="黑体" w:cs="Times New Roman"/>
      <w:bCs/>
      <w:kern w:val="2"/>
      <w:sz w:val="30"/>
      <w:szCs w:val="30"/>
      <w:lang w:val="en-US" w:eastAsia="zh-CN"/>
    </w:rPr>
  </w:style>
  <w:style w:type="character" w:customStyle="1" w:styleId="4042">
    <w:name w:val="tit"/>
    <w:qFormat/>
    <w:uiPriority w:val="0"/>
  </w:style>
  <w:style w:type="character" w:customStyle="1" w:styleId="4043">
    <w:name w:val="正文缩进 Char321"/>
    <w:qFormat/>
    <w:uiPriority w:val="0"/>
    <w:rPr>
      <w:rFonts w:hint="eastAsia" w:ascii="宋体" w:hAnsi="宋体" w:eastAsia="宋体" w:cs="宋体"/>
      <w:color w:val="000000"/>
      <w:kern w:val="0"/>
      <w:sz w:val="24"/>
      <w:szCs w:val="24"/>
      <w:lang w:val="en-US" w:eastAsia="zh-CN"/>
    </w:rPr>
  </w:style>
  <w:style w:type="character" w:customStyle="1" w:styleId="4044">
    <w:name w:val="样式 标题 2 + (西文) Times New Roman (中文) 宋体 非加粗 Char"/>
    <w:semiHidden/>
    <w:qFormat/>
    <w:uiPriority w:val="0"/>
    <w:rPr>
      <w:rFonts w:hint="default" w:ascii="Arial" w:hAnsi="Arial" w:eastAsia="宋体" w:cs="Arial"/>
      <w:b/>
      <w:bCs/>
      <w:kern w:val="2"/>
      <w:sz w:val="28"/>
      <w:szCs w:val="28"/>
      <w:lang w:val="en-US" w:eastAsia="zh-CN"/>
    </w:rPr>
  </w:style>
  <w:style w:type="character" w:customStyle="1" w:styleId="4045">
    <w:name w:val="称呼 Char1"/>
    <w:qFormat/>
    <w:uiPriority w:val="0"/>
    <w:rPr>
      <w:rFonts w:hint="default" w:ascii="Times New Roman" w:hAnsi="Times New Roman" w:cs="Times New Roman"/>
      <w:kern w:val="2"/>
      <w:sz w:val="24"/>
    </w:rPr>
  </w:style>
  <w:style w:type="character" w:customStyle="1" w:styleId="4046">
    <w:name w:val="标题 2 Char71"/>
    <w:qFormat/>
    <w:uiPriority w:val="0"/>
    <w:rPr>
      <w:rFonts w:hint="eastAsia" w:ascii="黑体" w:hAnsi="Arial" w:eastAsia="黑体" w:cs="Times New Roman"/>
      <w:bCs/>
      <w:kern w:val="2"/>
      <w:sz w:val="30"/>
      <w:szCs w:val="30"/>
      <w:lang w:val="en-US" w:eastAsia="zh-CN"/>
    </w:rPr>
  </w:style>
  <w:style w:type="character" w:customStyle="1" w:styleId="4047">
    <w:name w:val="Char Char610"/>
    <w:qFormat/>
    <w:uiPriority w:val="0"/>
    <w:rPr>
      <w:rFonts w:hint="eastAsia" w:ascii="黑体" w:eastAsia="黑体"/>
      <w:b/>
      <w:bCs/>
      <w:kern w:val="2"/>
      <w:sz w:val="28"/>
      <w:szCs w:val="28"/>
      <w:lang w:val="en-US" w:eastAsia="zh-CN"/>
    </w:rPr>
  </w:style>
  <w:style w:type="character" w:customStyle="1" w:styleId="4048">
    <w:name w:val="Char Char264"/>
    <w:semiHidden/>
    <w:qFormat/>
    <w:uiPriority w:val="0"/>
    <w:rPr>
      <w:rFonts w:hint="eastAsia" w:ascii="仿宋_GB2312" w:hAnsi="Times New Roman" w:eastAsia="仿宋_GB2312" w:cs="Times New Roman"/>
      <w:sz w:val="28"/>
      <w:szCs w:val="20"/>
    </w:rPr>
  </w:style>
  <w:style w:type="character" w:customStyle="1" w:styleId="4049">
    <w:name w:val="页码5"/>
    <w:semiHidden/>
    <w:qFormat/>
    <w:uiPriority w:val="0"/>
  </w:style>
  <w:style w:type="character" w:customStyle="1" w:styleId="4050">
    <w:name w:val="环标1 Char Char"/>
    <w:qFormat/>
    <w:uiPriority w:val="0"/>
  </w:style>
  <w:style w:type="character" w:customStyle="1" w:styleId="4051">
    <w:name w:val="正文斜体 Char111"/>
    <w:qFormat/>
    <w:uiPriority w:val="0"/>
    <w:rPr>
      <w:rFonts w:hint="eastAsia" w:ascii="宋体" w:hAnsi="宋体" w:eastAsia="宋体"/>
      <w:i/>
      <w:iCs/>
      <w:kern w:val="2"/>
      <w:sz w:val="24"/>
      <w:szCs w:val="24"/>
      <w:lang w:val="en-US" w:eastAsia="zh-CN"/>
    </w:rPr>
  </w:style>
  <w:style w:type="character" w:customStyle="1" w:styleId="4052">
    <w:name w:val="样式 标题 3标题 3 Char Char Char标题 3 Char Charh3H3level_3PIM 3L...2 Char Char"/>
    <w:semiHidden/>
    <w:qFormat/>
    <w:uiPriority w:val="0"/>
    <w:rPr>
      <w:rFonts w:ascii="宋体" w:hAnsi="宋体" w:eastAsia="黑体"/>
      <w:b/>
      <w:bCs/>
      <w:sz w:val="28"/>
      <w:szCs w:val="24"/>
      <w:lang w:bidi="ar-SA"/>
    </w:rPr>
  </w:style>
  <w:style w:type="character" w:customStyle="1" w:styleId="4053">
    <w:name w:val="行号2"/>
    <w:semiHidden/>
    <w:qFormat/>
    <w:uiPriority w:val="0"/>
    <w:rPr>
      <w:rFonts w:hint="eastAsia" w:ascii="宋体" w:hAnsi="宋体" w:eastAsia="宋体" w:cs="Courier New"/>
      <w:kern w:val="2"/>
      <w:sz w:val="32"/>
      <w:szCs w:val="32"/>
      <w:lang w:val="en-US" w:eastAsia="zh-CN"/>
    </w:rPr>
  </w:style>
  <w:style w:type="character" w:customStyle="1" w:styleId="4054">
    <w:name w:val="题注 Char51"/>
    <w:qFormat/>
    <w:uiPriority w:val="0"/>
    <w:rPr>
      <w:rFonts w:hint="eastAsia" w:ascii="黑体" w:hAnsi="Arial" w:eastAsia="黑体" w:cs="Arial"/>
      <w:b/>
      <w:kern w:val="2"/>
      <w:sz w:val="24"/>
      <w:szCs w:val="24"/>
      <w:lang w:val="en-US" w:eastAsia="zh-CN"/>
    </w:rPr>
  </w:style>
  <w:style w:type="character" w:customStyle="1" w:styleId="4055">
    <w:name w:val="行号1"/>
    <w:qFormat/>
    <w:uiPriority w:val="0"/>
    <w:rPr>
      <w:rFonts w:hint="eastAsia" w:ascii="宋体" w:hAnsi="宋体" w:eastAsia="宋体" w:cs="Courier New"/>
      <w:kern w:val="2"/>
      <w:sz w:val="32"/>
      <w:szCs w:val="32"/>
      <w:lang w:val="en-US" w:eastAsia="zh-CN"/>
    </w:rPr>
  </w:style>
  <w:style w:type="character" w:customStyle="1" w:styleId="4056">
    <w:name w:val="Char Char624"/>
    <w:qFormat/>
    <w:uiPriority w:val="0"/>
    <w:rPr>
      <w:rFonts w:hint="eastAsia" w:ascii="黑体" w:eastAsia="黑体"/>
      <w:b/>
      <w:bCs/>
      <w:kern w:val="2"/>
      <w:sz w:val="28"/>
      <w:szCs w:val="28"/>
      <w:lang w:val="en-US" w:eastAsia="zh-CN"/>
    </w:rPr>
  </w:style>
  <w:style w:type="character" w:customStyle="1" w:styleId="4057">
    <w:name w:val="批注引用4"/>
    <w:semiHidden/>
    <w:qFormat/>
    <w:uiPriority w:val="0"/>
    <w:rPr>
      <w:sz w:val="21"/>
      <w:szCs w:val="21"/>
    </w:rPr>
  </w:style>
  <w:style w:type="character" w:customStyle="1" w:styleId="4058">
    <w:name w:val="题注 + 居中! Char Char"/>
    <w:qFormat/>
    <w:uiPriority w:val="0"/>
    <w:rPr>
      <w:rFonts w:ascii="黑体" w:hAnsi="Arial" w:eastAsia="黑体"/>
      <w:sz w:val="24"/>
      <w:szCs w:val="24"/>
      <w:lang w:bidi="ar-SA"/>
    </w:rPr>
  </w:style>
  <w:style w:type="character" w:customStyle="1" w:styleId="4059">
    <w:name w:val="表中文字 Char22"/>
    <w:qFormat/>
    <w:uiPriority w:val="0"/>
    <w:rPr>
      <w:rFonts w:hint="eastAsia" w:ascii="宋体" w:hAnsi="宋体" w:eastAsia="宋体"/>
      <w:kern w:val="2"/>
      <w:sz w:val="21"/>
      <w:szCs w:val="21"/>
      <w:lang w:val="en-US" w:eastAsia="zh-CN"/>
    </w:rPr>
  </w:style>
  <w:style w:type="character" w:customStyle="1" w:styleId="4060">
    <w:name w:val="表内5 Char2"/>
    <w:qFormat/>
    <w:uiPriority w:val="0"/>
    <w:rPr>
      <w:rFonts w:hint="eastAsia" w:ascii="宋体" w:hAnsi="宋体" w:eastAsia="宋体" w:cs="宋体"/>
      <w:kern w:val="2"/>
      <w:sz w:val="21"/>
      <w:szCs w:val="24"/>
      <w:lang w:val="en-US" w:eastAsia="zh-CN"/>
    </w:rPr>
  </w:style>
  <w:style w:type="character" w:customStyle="1" w:styleId="4061">
    <w:name w:val="time5"/>
    <w:qFormat/>
    <w:uiPriority w:val="0"/>
    <w:rPr>
      <w:rFonts w:hint="default" w:ascii="Arial" w:hAnsi="Arial" w:cs="Arial"/>
      <w:color w:val="595959"/>
      <w:sz w:val="15"/>
      <w:szCs w:val="15"/>
    </w:rPr>
  </w:style>
  <w:style w:type="character" w:customStyle="1" w:styleId="4062">
    <w:name w:val="金兰 Char Char"/>
    <w:qFormat/>
    <w:uiPriority w:val="0"/>
    <w:rPr>
      <w:sz w:val="28"/>
      <w:szCs w:val="28"/>
      <w:lang w:bidi="ar"/>
    </w:rPr>
  </w:style>
  <w:style w:type="character" w:customStyle="1" w:styleId="4063">
    <w:name w:val="表格内容 Char1"/>
    <w:qFormat/>
    <w:uiPriority w:val="0"/>
    <w:rPr>
      <w:rFonts w:hint="eastAsia" w:ascii="宋体" w:hAnsi="宋体" w:eastAsia="宋体"/>
      <w:kern w:val="2"/>
      <w:sz w:val="21"/>
      <w:szCs w:val="21"/>
      <w:lang w:val="en-US" w:eastAsia="zh-CN"/>
    </w:rPr>
  </w:style>
  <w:style w:type="character" w:customStyle="1" w:styleId="4064">
    <w:name w:val="文字缩进 Char5"/>
    <w:semiHidden/>
    <w:qFormat/>
    <w:uiPriority w:val="0"/>
    <w:rPr>
      <w:rFonts w:hint="eastAsia" w:ascii="宋体" w:hAnsi="Courier New" w:eastAsia="宋体"/>
      <w:kern w:val="2"/>
      <w:sz w:val="21"/>
      <w:lang w:val="en-US" w:eastAsia="zh-CN"/>
    </w:rPr>
  </w:style>
  <w:style w:type="character" w:customStyle="1" w:styleId="4065">
    <w:name w:val="正文文字 3 Char Char1"/>
    <w:qFormat/>
    <w:uiPriority w:val="0"/>
    <w:rPr>
      <w:rFonts w:hint="eastAsia" w:ascii="仿宋_GB2312" w:eastAsia="仿宋_GB2312"/>
      <w:kern w:val="2"/>
      <w:sz w:val="28"/>
      <w:szCs w:val="24"/>
      <w:lang w:val="en-US" w:eastAsia="zh-CN"/>
    </w:rPr>
  </w:style>
  <w:style w:type="character" w:customStyle="1" w:styleId="4066">
    <w:name w:val="标题 3 Char91"/>
    <w:qFormat/>
    <w:uiPriority w:val="0"/>
    <w:rPr>
      <w:rFonts w:hint="eastAsia" w:ascii="黑体" w:hAnsi="宋体" w:eastAsia="黑体" w:cs="Times New Roman"/>
      <w:b/>
      <w:bCs/>
      <w:kern w:val="2"/>
      <w:sz w:val="28"/>
      <w:szCs w:val="28"/>
      <w:lang w:val="en-US" w:eastAsia="zh-CN"/>
    </w:rPr>
  </w:style>
  <w:style w:type="character" w:customStyle="1" w:styleId="4067">
    <w:name w:val="正文文本缩进 2 Char31"/>
    <w:qFormat/>
    <w:uiPriority w:val="0"/>
    <w:rPr>
      <w:rFonts w:hint="default" w:ascii="Times New Roman" w:hAnsi="Times New Roman" w:eastAsia="宋体" w:cs="Times New Roman"/>
      <w:kern w:val="2"/>
      <w:sz w:val="24"/>
      <w:szCs w:val="24"/>
      <w:lang w:val="en-US" w:eastAsia="zh-CN"/>
    </w:rPr>
  </w:style>
  <w:style w:type="character" w:customStyle="1" w:styleId="4068">
    <w:name w:val="首行缩进 Char Char Char1"/>
    <w:qFormat/>
    <w:uiPriority w:val="0"/>
    <w:rPr>
      <w:rFonts w:hint="eastAsia" w:ascii="宋体" w:hAnsi="宋体" w:eastAsia="宋体"/>
      <w:kern w:val="2"/>
      <w:sz w:val="24"/>
      <w:lang w:val="en-US" w:eastAsia="zh-CN"/>
    </w:rPr>
  </w:style>
  <w:style w:type="paragraph" w:customStyle="1" w:styleId="4069">
    <w:name w:val="正文lcc"/>
    <w:basedOn w:val="1"/>
    <w:qFormat/>
    <w:uiPriority w:val="0"/>
    <w:pPr>
      <w:snapToGrid w:val="0"/>
      <w:spacing w:line="360" w:lineRule="auto"/>
      <w:ind w:firstLine="480" w:firstLineChars="200"/>
    </w:pPr>
    <w:rPr>
      <w:color w:val="000000"/>
      <w:sz w:val="24"/>
      <w:szCs w:val="20"/>
    </w:rPr>
  </w:style>
  <w:style w:type="paragraph" w:customStyle="1" w:styleId="4070">
    <w:name w:val="Revision"/>
    <w:hidden/>
    <w:unhideWhenUsed/>
    <w:qFormat/>
    <w:uiPriority w:val="99"/>
    <w:rPr>
      <w:rFonts w:ascii="Times New Roman" w:hAnsi="Times New Roman" w:eastAsia="宋体" w:cs="Times New Roman"/>
      <w:kern w:val="2"/>
      <w:sz w:val="21"/>
      <w:szCs w:val="24"/>
      <w:lang w:val="en-US" w:eastAsia="zh-CN" w:bidi="ar-SA"/>
    </w:rPr>
  </w:style>
  <w:style w:type="paragraph" w:customStyle="1" w:styleId="4071">
    <w:name w:val="样式 正文缩进正文（首行缩进两字） + 宋体 行距: 1.5 倍行距"/>
    <w:basedOn w:val="23"/>
    <w:qFormat/>
    <w:uiPriority w:val="0"/>
    <w:pPr>
      <w:spacing w:after="156" w:afterLines="50" w:line="300" w:lineRule="auto"/>
      <w:ind w:firstLine="482" w:firstLineChars="200"/>
      <w:jc w:val="left"/>
    </w:pPr>
    <w:rPr>
      <w:rFonts w:hAnsi="宋体"/>
      <w:kern w:val="2"/>
      <w:szCs w:val="28"/>
    </w:rPr>
  </w:style>
  <w:style w:type="paragraph" w:customStyle="1" w:styleId="4072">
    <w:name w:val="表格表名"/>
    <w:basedOn w:val="1"/>
    <w:next w:val="1"/>
    <w:qFormat/>
    <w:uiPriority w:val="0"/>
    <w:pPr>
      <w:spacing w:before="10" w:beforeLines="10" w:after="10" w:afterLines="10"/>
      <w:ind w:firstLine="0" w:firstLineChars="0"/>
      <w:jc w:val="center"/>
    </w:pPr>
    <w:rPr>
      <w:b/>
    </w:rPr>
  </w:style>
  <w:style w:type="character" w:customStyle="1" w:styleId="4073">
    <w:name w:val="text_h18us"/>
    <w:qFormat/>
    <w:uiPriority w:val="0"/>
  </w:style>
  <w:style w:type="paragraph" w:customStyle="1" w:styleId="4074">
    <w:name w:val="5级标题"/>
    <w:basedOn w:val="2452"/>
    <w:qFormat/>
    <w:uiPriority w:val="0"/>
    <w:pPr>
      <w:ind w:firstLine="200" w:firstLineChars="200"/>
    </w:pPr>
  </w:style>
  <w:style w:type="paragraph" w:customStyle="1" w:styleId="4075">
    <w:name w:val="_Style 12"/>
    <w:basedOn w:val="3"/>
    <w:next w:val="1"/>
    <w:unhideWhenUsed/>
    <w:qFormat/>
    <w:uiPriority w:val="39"/>
    <w:pPr>
      <w:keepLines/>
      <w:overflowPunct/>
      <w:snapToGrid/>
      <w:spacing w:before="340" w:after="330" w:line="578" w:lineRule="auto"/>
      <w:ind w:left="0" w:firstLine="0"/>
      <w:outlineLvl w:val="9"/>
    </w:pPr>
    <w:rPr>
      <w:rFonts w:eastAsia="宋体"/>
      <w:color w:val="auto"/>
      <w:sz w:val="44"/>
      <w:szCs w:val="44"/>
    </w:rPr>
  </w:style>
  <w:style w:type="paragraph" w:customStyle="1" w:styleId="4076">
    <w:name w:val="西施正文"/>
    <w:basedOn w:val="1"/>
    <w:qFormat/>
    <w:uiPriority w:val="0"/>
    <w:pPr>
      <w:spacing w:line="360" w:lineRule="auto"/>
      <w:ind w:firstLine="1040" w:firstLineChars="200"/>
    </w:pPr>
  </w:style>
  <w:style w:type="paragraph" w:customStyle="1" w:styleId="4077">
    <w:name w:val="环评"/>
    <w:basedOn w:val="1"/>
    <w:qFormat/>
    <w:uiPriority w:val="0"/>
    <w:pPr>
      <w:adjustRightInd w:val="0"/>
      <w:snapToGrid w:val="0"/>
      <w:spacing w:line="360" w:lineRule="auto"/>
      <w:ind w:firstLine="420" w:firstLineChars="200"/>
    </w:pPr>
    <w:rPr>
      <w:szCs w:val="18"/>
    </w:rPr>
  </w:style>
  <w:style w:type="paragraph" w:customStyle="1" w:styleId="4078">
    <w:name w:val="0正文"/>
    <w:basedOn w:val="82"/>
    <w:qFormat/>
    <w:uiPriority w:val="0"/>
    <w:pPr>
      <w:spacing w:before="0" w:beforeAutospacing="0" w:after="0" w:afterAutospacing="0"/>
      <w:ind w:firstLine="482"/>
      <w:jc w:val="both"/>
    </w:pPr>
    <w:rPr>
      <w:rFonts w:ascii="Times New Roman" w:hAnsi="Times New Roman"/>
      <w:kern w:val="2"/>
    </w:rPr>
  </w:style>
  <w:style w:type="paragraph" w:customStyle="1" w:styleId="4079">
    <w:name w:val="正文首行缩进  2字符"/>
    <w:basedOn w:val="1"/>
    <w:qFormat/>
    <w:uiPriority w:val="0"/>
    <w:pPr>
      <w:widowControl/>
      <w:spacing w:line="360" w:lineRule="auto"/>
      <w:ind w:firstLine="480"/>
    </w:pPr>
    <w:rPr>
      <w:sz w:val="24"/>
    </w:rPr>
  </w:style>
  <w:style w:type="paragraph" w:customStyle="1" w:styleId="4080">
    <w:name w:val="Table Text"/>
    <w:basedOn w:val="1"/>
    <w:semiHidden/>
    <w:qFormat/>
    <w:uiPriority w:val="0"/>
    <w:rPr>
      <w:rFonts w:ascii="宋体" w:hAnsi="宋体" w:eastAsia="宋体" w:cs="宋体"/>
      <w:sz w:val="21"/>
      <w:szCs w:val="21"/>
      <w:lang w:val="en-US" w:eastAsia="en-US" w:bidi="ar-SA"/>
    </w:rPr>
  </w:style>
  <w:style w:type="paragraph" w:customStyle="1" w:styleId="4081">
    <w:name w:val="1 表格内容"/>
    <w:basedOn w:val="1"/>
    <w:qFormat/>
    <w:uiPriority w:val="0"/>
    <w:pPr>
      <w:jc w:val="center"/>
    </w:pPr>
    <w:rPr>
      <w:sz w:val="18"/>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footer" Target="footer3.xml"/><Relationship Id="rId49" Type="http://schemas.openxmlformats.org/officeDocument/2006/relationships/customXml" Target="../customXml/item1.xml"/><Relationship Id="rId48" Type="http://schemas.openxmlformats.org/officeDocument/2006/relationships/image" Target="media/image30.emf"/><Relationship Id="rId47" Type="http://schemas.openxmlformats.org/officeDocument/2006/relationships/oleObject" Target="embeddings/oleObject9.bin"/><Relationship Id="rId46" Type="http://schemas.openxmlformats.org/officeDocument/2006/relationships/image" Target="media/image29.png"/><Relationship Id="rId45" Type="http://schemas.openxmlformats.org/officeDocument/2006/relationships/image" Target="media/image28.wmf"/><Relationship Id="rId44" Type="http://schemas.openxmlformats.org/officeDocument/2006/relationships/image" Target="media/image27.jpeg"/><Relationship Id="rId43" Type="http://schemas.openxmlformats.org/officeDocument/2006/relationships/image" Target="media/image26.wmf"/><Relationship Id="rId42" Type="http://schemas.openxmlformats.org/officeDocument/2006/relationships/image" Target="media/image25.wmf"/><Relationship Id="rId41" Type="http://schemas.openxmlformats.org/officeDocument/2006/relationships/oleObject" Target="embeddings/oleObject8.bin"/><Relationship Id="rId40" Type="http://schemas.openxmlformats.org/officeDocument/2006/relationships/image" Target="media/image24.wmf"/><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jpe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emf"/><Relationship Id="rId32" Type="http://schemas.openxmlformats.org/officeDocument/2006/relationships/oleObject" Target="embeddings/oleObject7.bin"/><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footer" Target="footer1.xml"/><Relationship Id="rId29" Type="http://schemas.openxmlformats.org/officeDocument/2006/relationships/image" Target="media/image14.jpeg"/><Relationship Id="rId28" Type="http://schemas.openxmlformats.org/officeDocument/2006/relationships/image" Target="media/image13.emf"/><Relationship Id="rId27" Type="http://schemas.openxmlformats.org/officeDocument/2006/relationships/oleObject" Target="embeddings/oleObject6.bin"/><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emf"/><Relationship Id="rId22" Type="http://schemas.openxmlformats.org/officeDocument/2006/relationships/oleObject" Target="embeddings/oleObject5.bin"/><Relationship Id="rId21" Type="http://schemas.openxmlformats.org/officeDocument/2006/relationships/image" Target="media/image8.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emf"/><Relationship Id="rId14" Type="http://schemas.openxmlformats.org/officeDocument/2006/relationships/oleObject" Target="embeddings/oleObject3.bin"/><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greatwall/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60"/>
    <customShpInfo spid="_x0000_s2059"/>
    <customShpInfo spid="_x0000_s2056"/>
    <customShpInfo spid="_x0000_s205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Pages>119</Pages>
  <Words>17424</Words>
  <Characters>18363</Characters>
  <Lines>887</Lines>
  <Paragraphs>249</Paragraphs>
  <TotalTime>0</TotalTime>
  <ScaleCrop>false</ScaleCrop>
  <LinksUpToDate>false</LinksUpToDate>
  <CharactersWithSpaces>18409</CharactersWithSpaces>
  <Application>WPS Office_11.8.2.1130_F1E327BC-269C-435d-A152-05C5408002CA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2023-09-28T11:46:00Z</dcterms:created>
  <dc:creator>尚云环境</dc:creator>
  <cp:lastModifiedBy>greatwall</cp:lastModifiedBy>
  <cp:lastPrinted>2025-12-31T15:40:00Z</cp:lastPrinted>
  <dcterms:modified xsi:type="dcterms:W3CDTF">2026-05-20T17:28:09Z</dcterms:modified>
  <dc:title>建设项目环境影响报告表（污染影响类）</dc:title>
  <cp:revision>9461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2052-11.8.2.1130</vt:lpwstr>
  </property>
  <property fmtid="{D5CDD505-2E9C-101B-9397-08002B2CF9AE}" pid="3" name="KSOTemplateDocerSaveRecord">
    <vt:lpwstr>eyJoZGlkIjoiYzc4ZWI1Y2M3Mzg0MTcyY2M4MzVjMTQ2MGUyNWZlNDEiLCJ1c2VySWQiOiI0OTQyNzE2MjQifQ==</vt:lpwstr>
  </property>
  <property fmtid="{D5CDD505-2E9C-101B-9397-08002B2CF9AE}" pid="4" name="ICV">
    <vt:lpwstr>2105D0CCBCB547FB95FE503BD2AA67EE_13</vt:lpwstr>
  </property>
</Properties>
</file>